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1AD0D0F" w14:textId="77777777" w:rsidTr="00D517B2">
        <w:trPr>
          <w:cantSplit/>
          <w:trHeight w:val="1134"/>
        </w:trPr>
        <w:tc>
          <w:tcPr>
            <w:tcW w:w="798" w:type="pct"/>
          </w:tcPr>
          <w:p w14:paraId="449C406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3CB78F6" wp14:editId="3FEC687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960ADA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CF1C20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30"/>
        <w:gridCol w:w="4675"/>
      </w:tblGrid>
      <w:tr w:rsidR="00D517B2" w:rsidRPr="00D517B2" w14:paraId="2FCCBE2A" w14:textId="77777777" w:rsidTr="00072F18">
        <w:trPr>
          <w:cantSplit/>
          <w:trHeight w:val="142"/>
          <w:jc w:val="center"/>
        </w:trPr>
        <w:tc>
          <w:tcPr>
            <w:tcW w:w="796" w:type="pct"/>
          </w:tcPr>
          <w:p w14:paraId="16DAF116" w14:textId="77777777" w:rsidR="00D517B2" w:rsidRPr="00D517B2" w:rsidRDefault="00D517B2" w:rsidP="00072F18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685F9D8D" w14:textId="77777777" w:rsidR="00D517B2" w:rsidRPr="00D517B2" w:rsidRDefault="00D517B2" w:rsidP="00072F18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372C0BC8" w14:textId="77777777" w:rsidR="00D517B2" w:rsidRPr="00873469" w:rsidRDefault="00D517B2" w:rsidP="00072F18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81C632E" w14:textId="77777777" w:rsidTr="00072F18">
        <w:trPr>
          <w:cantSplit/>
          <w:trHeight w:val="148"/>
          <w:jc w:val="center"/>
        </w:trPr>
        <w:tc>
          <w:tcPr>
            <w:tcW w:w="796" w:type="pct"/>
          </w:tcPr>
          <w:p w14:paraId="5CA8282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3A1A14C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6" w:type="pct"/>
          </w:tcPr>
          <w:p w14:paraId="159CB6C5" w14:textId="35078C5F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072F18">
              <w:rPr>
                <w:position w:val="2"/>
              </w:rPr>
              <w:t>4</w:t>
            </w:r>
            <w:r w:rsidR="00072F18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="00072F18">
              <w:rPr>
                <w:position w:val="2"/>
                <w:lang w:bidi="ar-EG"/>
              </w:rPr>
              <w:t>2022</w:t>
            </w:r>
          </w:p>
        </w:tc>
      </w:tr>
      <w:tr w:rsidR="00072F18" w:rsidRPr="00D517B2" w14:paraId="157DEFB0" w14:textId="77777777" w:rsidTr="00072F18">
        <w:trPr>
          <w:cantSplit/>
          <w:trHeight w:val="831"/>
          <w:jc w:val="center"/>
        </w:trPr>
        <w:tc>
          <w:tcPr>
            <w:tcW w:w="796" w:type="pct"/>
          </w:tcPr>
          <w:p w14:paraId="3415BDB8" w14:textId="77777777" w:rsidR="00072F18" w:rsidRPr="00A9156F" w:rsidRDefault="00072F18" w:rsidP="009271FA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9" w:type="pct"/>
          </w:tcPr>
          <w:p w14:paraId="411C05CC" w14:textId="51DCD7C0" w:rsidR="00072F18" w:rsidRPr="00D517B2" w:rsidRDefault="00072F18" w:rsidP="009271FA">
            <w:pPr>
              <w:spacing w:before="6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53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SG5/RU</w:t>
            </w:r>
          </w:p>
        </w:tc>
        <w:tc>
          <w:tcPr>
            <w:tcW w:w="2426" w:type="pct"/>
            <w:vMerge w:val="restart"/>
          </w:tcPr>
          <w:p w14:paraId="3ED22BDA" w14:textId="77777777" w:rsidR="00072F18" w:rsidRPr="005731DD" w:rsidRDefault="00072F18" w:rsidP="009271FA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FE90CF5" w14:textId="77777777" w:rsidR="00072F18" w:rsidRPr="00D16533" w:rsidRDefault="00072F18" w:rsidP="009271FA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4AA2E6C6" w14:textId="77777777" w:rsidR="00072F18" w:rsidRPr="005731DD" w:rsidRDefault="00072F18" w:rsidP="009271FA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67C169D" w14:textId="77777777" w:rsidR="00072F18" w:rsidRPr="00821867" w:rsidRDefault="00072F18" w:rsidP="009271F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417C7953" w14:textId="47295D01" w:rsidR="00072F18" w:rsidRPr="00C54E36" w:rsidRDefault="00072F18" w:rsidP="009271F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spacing w:val="-4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C54E36">
              <w:rPr>
                <w:spacing w:val="-4"/>
                <w:rtl/>
              </w:rPr>
              <w:t xml:space="preserve">المنتسبين إلى </w:t>
            </w:r>
            <w:r w:rsidRPr="00C54E36">
              <w:rPr>
                <w:spacing w:val="-4"/>
                <w:rtl/>
                <w:lang w:bidi="ar-EG"/>
              </w:rPr>
              <w:t xml:space="preserve">لجنة الدراسات </w:t>
            </w:r>
            <w:r w:rsidRPr="00C54E36">
              <w:rPr>
                <w:spacing w:val="-4"/>
              </w:rPr>
              <w:t>5</w:t>
            </w:r>
            <w:r w:rsidRPr="00C54E36">
              <w:rPr>
                <w:spacing w:val="-4"/>
                <w:rtl/>
                <w:lang w:bidi="ar-EG"/>
              </w:rPr>
              <w:t xml:space="preserve"> ل</w:t>
            </w:r>
            <w:r w:rsidRPr="00C54E36">
              <w:rPr>
                <w:spacing w:val="-4"/>
                <w:rtl/>
              </w:rPr>
              <w:t>قطاع تقييس الاتصالات؛</w:t>
            </w:r>
          </w:p>
          <w:p w14:paraId="5F473B65" w14:textId="77777777" w:rsidR="00072F18" w:rsidRPr="00821867" w:rsidRDefault="00072F18" w:rsidP="009271F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4ABE6E27" w14:textId="2B97030B" w:rsidR="00072F18" w:rsidRPr="003D0B92" w:rsidRDefault="00072F18" w:rsidP="009271F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>
              <w:rPr>
                <w:position w:val="2"/>
              </w:rPr>
              <w:t>5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0694AD8E" w14:textId="77777777" w:rsidR="00072F18" w:rsidRPr="003D0B92" w:rsidRDefault="00072F18" w:rsidP="009271F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9D46D9C" w14:textId="10D2DCD5" w:rsidR="00072F18" w:rsidRPr="00D517B2" w:rsidRDefault="00072F18" w:rsidP="009271FA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072F18" w:rsidRPr="00D517B2" w14:paraId="02440465" w14:textId="77777777" w:rsidTr="00072F18">
        <w:trPr>
          <w:cantSplit/>
          <w:trHeight w:val="340"/>
          <w:jc w:val="center"/>
        </w:trPr>
        <w:tc>
          <w:tcPr>
            <w:tcW w:w="796" w:type="pct"/>
          </w:tcPr>
          <w:p w14:paraId="1B60E9A3" w14:textId="77777777" w:rsidR="00072F18" w:rsidRPr="00A9156F" w:rsidRDefault="00072F18" w:rsidP="009271FA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9" w:type="pct"/>
          </w:tcPr>
          <w:p w14:paraId="6FEFDC9E" w14:textId="1FD214B4" w:rsidR="00072F18" w:rsidRPr="00D517B2" w:rsidRDefault="00072F18" w:rsidP="009271FA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A66ABB">
              <w:rPr>
                <w:rFonts w:cstheme="minorHAnsi"/>
              </w:rPr>
              <w:t xml:space="preserve">+41 22 730 </w:t>
            </w:r>
            <w:r w:rsidRPr="00A66ABB">
              <w:t>5356</w:t>
            </w:r>
          </w:p>
        </w:tc>
        <w:tc>
          <w:tcPr>
            <w:tcW w:w="2426" w:type="pct"/>
            <w:vMerge/>
          </w:tcPr>
          <w:p w14:paraId="5FEF8166" w14:textId="77777777" w:rsidR="00072F18" w:rsidRPr="00D517B2" w:rsidRDefault="00072F18" w:rsidP="009271FA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72F18" w:rsidRPr="00D517B2" w14:paraId="4E11F21E" w14:textId="77777777" w:rsidTr="00072F18">
        <w:trPr>
          <w:cantSplit/>
          <w:trHeight w:val="737"/>
          <w:jc w:val="center"/>
        </w:trPr>
        <w:tc>
          <w:tcPr>
            <w:tcW w:w="796" w:type="pct"/>
          </w:tcPr>
          <w:p w14:paraId="06693E1C" w14:textId="77777777" w:rsidR="00072F18" w:rsidRPr="00A9156F" w:rsidRDefault="00072F18" w:rsidP="009271FA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9" w:type="pct"/>
          </w:tcPr>
          <w:p w14:paraId="0E805A1F" w14:textId="2D1A0513" w:rsidR="00072F18" w:rsidRPr="00D517B2" w:rsidRDefault="00072F18" w:rsidP="009271FA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A66ABB">
              <w:rPr>
                <w:rFonts w:cstheme="minorHAnsi"/>
              </w:rPr>
              <w:t>+41 22 730 5853</w:t>
            </w:r>
          </w:p>
        </w:tc>
        <w:tc>
          <w:tcPr>
            <w:tcW w:w="2426" w:type="pct"/>
            <w:vMerge/>
          </w:tcPr>
          <w:p w14:paraId="6D0E063B" w14:textId="77777777" w:rsidR="00072F18" w:rsidRPr="00D517B2" w:rsidRDefault="00072F18" w:rsidP="009271FA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72F18" w:rsidRPr="00D517B2" w14:paraId="54D67A7C" w14:textId="77777777" w:rsidTr="00072F18">
        <w:trPr>
          <w:cantSplit/>
          <w:jc w:val="center"/>
        </w:trPr>
        <w:tc>
          <w:tcPr>
            <w:tcW w:w="796" w:type="pct"/>
          </w:tcPr>
          <w:p w14:paraId="218241B1" w14:textId="77777777" w:rsidR="00072F18" w:rsidRPr="00A9156F" w:rsidRDefault="00072F18" w:rsidP="009271FA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9" w:type="pct"/>
          </w:tcPr>
          <w:p w14:paraId="1D1EE025" w14:textId="20CFAF1D" w:rsidR="00072F18" w:rsidRPr="006E1BAD" w:rsidRDefault="00072F18" w:rsidP="009271FA">
            <w:pPr>
              <w:spacing w:before="6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426" w:type="pct"/>
            <w:vMerge/>
          </w:tcPr>
          <w:p w14:paraId="6FD4E15C" w14:textId="4DE26726" w:rsidR="00072F18" w:rsidRPr="00D517B2" w:rsidRDefault="00072F18" w:rsidP="009271F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9269DC0" w14:textId="77777777" w:rsidTr="00072F18">
        <w:trPr>
          <w:cantSplit/>
          <w:jc w:val="center"/>
        </w:trPr>
        <w:tc>
          <w:tcPr>
            <w:tcW w:w="796" w:type="pct"/>
          </w:tcPr>
          <w:p w14:paraId="4325CED3" w14:textId="77777777" w:rsidR="00CE1C08" w:rsidRPr="00A9156F" w:rsidRDefault="00CE1C08" w:rsidP="00CF782D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9" w:type="pct"/>
          </w:tcPr>
          <w:p w14:paraId="1C7C3E16" w14:textId="77777777" w:rsidR="00CE1C08" w:rsidRPr="00D517B2" w:rsidRDefault="00CE1C08" w:rsidP="00CF782D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656685C4" w14:textId="77777777" w:rsidR="00CE1C08" w:rsidRPr="00D517B2" w:rsidRDefault="00CE1C08" w:rsidP="00CF782D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E3DEB24" w14:textId="77777777" w:rsidTr="00D517B2">
        <w:trPr>
          <w:cantSplit/>
          <w:jc w:val="center"/>
        </w:trPr>
        <w:tc>
          <w:tcPr>
            <w:tcW w:w="796" w:type="pct"/>
          </w:tcPr>
          <w:p w14:paraId="497E97A8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88CD7C2" w14:textId="4E131323" w:rsidR="00CE1C08" w:rsidRPr="00FE4F1C" w:rsidRDefault="00072F18" w:rsidP="00FE4F1C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 w:rsidRPr="00FE4F1C">
              <w:rPr>
                <w:rFonts w:hint="cs"/>
                <w:b/>
                <w:bCs/>
                <w:rtl/>
              </w:rPr>
              <w:t xml:space="preserve">اقتراح بإلغاء التوصيات </w:t>
            </w:r>
            <w:r w:rsidRPr="00FE4F1C">
              <w:rPr>
                <w:b/>
                <w:bCs/>
              </w:rPr>
              <w:t>ITU</w:t>
            </w:r>
            <w:r w:rsidRPr="00FE4F1C">
              <w:rPr>
                <w:b/>
                <w:bCs/>
              </w:rPr>
              <w:noBreakHyphen/>
              <w:t>T k.43</w:t>
            </w:r>
            <w:r w:rsidRPr="00FE4F1C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Pr="00FE4F1C">
              <w:rPr>
                <w:b/>
                <w:bCs/>
                <w:lang w:bidi="ar-EG"/>
              </w:rPr>
              <w:t>ITU-T K48</w:t>
            </w:r>
            <w:r w:rsidRPr="00FE4F1C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Pr="00FE4F1C">
              <w:rPr>
                <w:b/>
                <w:bCs/>
                <w:lang w:bidi="ar-EG"/>
              </w:rPr>
              <w:t>ITU-T K.88</w:t>
            </w:r>
            <w:r w:rsidRPr="00FE4F1C">
              <w:rPr>
                <w:rFonts w:hint="cs"/>
                <w:b/>
                <w:bCs/>
                <w:rtl/>
              </w:rPr>
              <w:t xml:space="preserve"> اتفقت عليه لجنة الدراسات </w:t>
            </w:r>
            <w:r w:rsidRPr="00FE4F1C">
              <w:rPr>
                <w:b/>
                <w:bCs/>
              </w:rPr>
              <w:t>5</w:t>
            </w:r>
            <w:r w:rsidRPr="00FE4F1C">
              <w:rPr>
                <w:rFonts w:hint="cs"/>
                <w:b/>
                <w:bCs/>
                <w:rtl/>
              </w:rPr>
              <w:t xml:space="preserve"> </w:t>
            </w:r>
            <w:r w:rsidR="00FE4F1C" w:rsidRPr="00FE4F1C">
              <w:rPr>
                <w:rFonts w:hint="cs"/>
                <w:b/>
                <w:bCs/>
                <w:rtl/>
              </w:rPr>
              <w:t xml:space="preserve">لقطاع تقييس الاتصالات </w:t>
            </w:r>
            <w:r w:rsidRPr="00FE4F1C">
              <w:rPr>
                <w:rFonts w:hint="cs"/>
                <w:b/>
                <w:bCs/>
                <w:rtl/>
              </w:rPr>
              <w:t>في</w:t>
            </w:r>
            <w:r w:rsidRPr="00FE4F1C">
              <w:rPr>
                <w:rFonts w:hint="eastAsia"/>
                <w:b/>
                <w:bCs/>
                <w:rtl/>
              </w:rPr>
              <w:t> </w:t>
            </w:r>
            <w:r w:rsidRPr="00FE4F1C">
              <w:rPr>
                <w:rFonts w:hint="cs"/>
                <w:b/>
                <w:bCs/>
                <w:rtl/>
              </w:rPr>
              <w:t xml:space="preserve">اجتماعها الذي عُقد في الفترة </w:t>
            </w:r>
            <w:r w:rsidR="004D3CBE">
              <w:rPr>
                <w:b/>
                <w:bCs/>
              </w:rPr>
              <w:t>27-17</w:t>
            </w:r>
            <w:r w:rsidRPr="00FE4F1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E4F1C">
              <w:rPr>
                <w:rFonts w:hint="cs"/>
                <w:b/>
                <w:bCs/>
                <w:rtl/>
              </w:rPr>
              <w:t xml:space="preserve">أكتوبر </w:t>
            </w:r>
            <w:r w:rsidRPr="00FE4F1C">
              <w:rPr>
                <w:b/>
                <w:bCs/>
              </w:rPr>
              <w:t>2022</w:t>
            </w:r>
            <w:r w:rsidRPr="00FE4F1C">
              <w:rPr>
                <w:rFonts w:hint="cs"/>
                <w:b/>
                <w:bCs/>
                <w:rtl/>
              </w:rPr>
              <w:t xml:space="preserve">، </w:t>
            </w:r>
            <w:r w:rsidR="00876C8A">
              <w:rPr>
                <w:rFonts w:hint="cs"/>
                <w:b/>
                <w:bCs/>
                <w:rtl/>
                <w:lang w:bidi="ar-EG"/>
              </w:rPr>
              <w:t xml:space="preserve">في </w:t>
            </w:r>
            <w:r w:rsidRPr="00FE4F1C">
              <w:rPr>
                <w:rFonts w:hint="cs"/>
                <w:b/>
                <w:bCs/>
                <w:rtl/>
              </w:rPr>
              <w:t>روما (إيطاليا).</w:t>
            </w:r>
          </w:p>
        </w:tc>
      </w:tr>
    </w:tbl>
    <w:p w14:paraId="546433E3" w14:textId="77777777" w:rsidR="00072F18" w:rsidRPr="00D517B2" w:rsidRDefault="00072F18" w:rsidP="00CF782D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276AA0" w14:textId="77777777" w:rsidR="00072F18" w:rsidRPr="00D517B2" w:rsidRDefault="00072F18" w:rsidP="00072F18">
      <w:pPr>
        <w:rPr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A3249D4" w14:textId="7EB5F35A" w:rsidR="00072F18" w:rsidRPr="00593CC2" w:rsidRDefault="00072F18" w:rsidP="00072F18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 w:rsidR="0050080D">
        <w:t>5</w:t>
      </w:r>
      <w:r w:rsidRPr="00593CC2">
        <w:rPr>
          <w:rFonts w:hint="cs"/>
          <w:rtl/>
        </w:rPr>
        <w:t xml:space="preserve"> </w:t>
      </w:r>
      <w:r w:rsidRPr="0050080D">
        <w:rPr>
          <w:rFonts w:hint="cs"/>
          <w:rtl/>
        </w:rPr>
        <w:t>(</w:t>
      </w:r>
      <w:r w:rsidR="0050080D" w:rsidRPr="0050080D">
        <w:rPr>
          <w:rFonts w:hint="cs"/>
          <w:color w:val="000000"/>
          <w:rtl/>
        </w:rPr>
        <w:t xml:space="preserve">المجالات الكهرمغنطيسية </w:t>
      </w:r>
      <w:r w:rsidR="0050080D" w:rsidRPr="0050080D">
        <w:rPr>
          <w:color w:val="000000"/>
          <w:lang w:bidi="ar-EG"/>
        </w:rPr>
        <w:t>(EMF)</w:t>
      </w:r>
      <w:r w:rsidR="0050080D" w:rsidRPr="0050080D">
        <w:rPr>
          <w:rFonts w:hint="cs"/>
          <w:color w:val="000000"/>
          <w:rtl/>
          <w:lang w:bidi="ar-EG"/>
        </w:rPr>
        <w:t xml:space="preserve"> والبيئة والعمل المناخي والرقمنة المستدامة</w:t>
      </w:r>
      <w:r w:rsidR="00F53876">
        <w:rPr>
          <w:rFonts w:hint="cs"/>
          <w:rtl/>
        </w:rPr>
        <w:t xml:space="preserve"> </w:t>
      </w:r>
      <w:r w:rsidR="000524DC">
        <w:rPr>
          <w:rFonts w:hint="cs"/>
          <w:rtl/>
        </w:rPr>
        <w:t>والاقتصاد</w:t>
      </w:r>
      <w:r w:rsidR="00F53876">
        <w:rPr>
          <w:rFonts w:hint="cs"/>
          <w:rtl/>
        </w:rPr>
        <w:t xml:space="preserve"> </w:t>
      </w:r>
      <w:proofErr w:type="gramStart"/>
      <w:r w:rsidR="00C91A0A">
        <w:rPr>
          <w:rFonts w:hint="cs"/>
          <w:rtl/>
        </w:rPr>
        <w:t>الدائري</w:t>
      </w:r>
      <w:r w:rsidRPr="0050080D">
        <w:rPr>
          <w:rFonts w:hint="cs"/>
          <w:rtl/>
        </w:rPr>
        <w:t>)</w:t>
      </w:r>
      <w:r w:rsidRPr="00593CC2">
        <w:rPr>
          <w:rFonts w:hint="cs"/>
          <w:rtl/>
        </w:rPr>
        <w:t>،</w:t>
      </w:r>
      <w:proofErr w:type="gramEnd"/>
      <w:r w:rsidR="00F53876">
        <w:rPr>
          <w:rFonts w:hint="cs"/>
          <w:rtl/>
        </w:rPr>
        <w:t xml:space="preserve"> </w:t>
      </w:r>
      <w:r w:rsidRPr="00593CC2">
        <w:rPr>
          <w:rFonts w:hint="cs"/>
          <w:rtl/>
        </w:rPr>
        <w:t xml:space="preserve">أتشرف </w:t>
      </w:r>
      <w:r>
        <w:rPr>
          <w:rFonts w:hint="cs"/>
          <w:rtl/>
        </w:rPr>
        <w:t>بإفادتكم</w:t>
      </w:r>
      <w:r w:rsidRPr="00593CC2">
        <w:rPr>
          <w:rFonts w:hint="cs"/>
          <w:rtl/>
        </w:rPr>
        <w:t xml:space="preserve"> بأن لجنة الدراسات هذه </w:t>
      </w:r>
      <w:r>
        <w:rPr>
          <w:rFonts w:hint="cs"/>
          <w:rtl/>
        </w:rPr>
        <w:t>اتفقت</w:t>
      </w:r>
      <w:r w:rsidRPr="00593CC2">
        <w:rPr>
          <w:rFonts w:hint="cs"/>
          <w:rtl/>
        </w:rPr>
        <w:t xml:space="preserve"> في اجتماعها الذي عُقد</w:t>
      </w:r>
      <w:r>
        <w:rPr>
          <w:rFonts w:hint="cs"/>
          <w:rtl/>
        </w:rPr>
        <w:t xml:space="preserve"> في الفترة</w:t>
      </w:r>
      <w:r w:rsidRPr="00593CC2">
        <w:rPr>
          <w:rFonts w:hint="cs"/>
          <w:rtl/>
        </w:rPr>
        <w:t xml:space="preserve"> </w:t>
      </w:r>
      <w:r w:rsidR="00C15BAE">
        <w:rPr>
          <w:lang w:bidi="ar-EG"/>
        </w:rPr>
        <w:t>27</w:t>
      </w:r>
      <w:r w:rsidR="00C15BAE">
        <w:rPr>
          <w:lang w:bidi="ar-EG"/>
        </w:rPr>
        <w:noBreakHyphen/>
        <w:t>17</w:t>
      </w:r>
      <w:r w:rsidR="00C15BAE">
        <w:rPr>
          <w:rFonts w:hint="eastAsia"/>
          <w:rtl/>
          <w:lang w:bidi="ar-EG"/>
        </w:rPr>
        <w:t> </w:t>
      </w:r>
      <w:r w:rsidR="008A6AE1">
        <w:rPr>
          <w:rFonts w:hint="cs"/>
          <w:rtl/>
          <w:lang w:bidi="ar-EG"/>
        </w:rPr>
        <w:t>أكتوبر</w:t>
      </w:r>
      <w:r w:rsidR="00003323">
        <w:rPr>
          <w:rFonts w:hint="eastAsia"/>
          <w:rtl/>
          <w:lang w:bidi="ar-EG"/>
        </w:rPr>
        <w:t> </w:t>
      </w:r>
      <w:r>
        <w:rPr>
          <w:lang w:bidi="ar-EG"/>
        </w:rPr>
        <w:t>2022</w:t>
      </w:r>
      <w:r w:rsidR="00876C8A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003323">
        <w:rPr>
          <w:rFonts w:hint="cs"/>
          <w:rtl/>
        </w:rPr>
        <w:t xml:space="preserve">في روما (إيطاليا)، </w:t>
      </w:r>
      <w:r w:rsidRPr="00593CC2">
        <w:rPr>
          <w:rFonts w:hint="cs"/>
          <w:rtl/>
        </w:rPr>
        <w:t xml:space="preserve">على </w:t>
      </w:r>
      <w:r>
        <w:rPr>
          <w:rFonts w:hint="cs"/>
          <w:rtl/>
          <w:lang w:bidi="ar-EG"/>
        </w:rPr>
        <w:t xml:space="preserve">الشروع في إلغاء </w:t>
      </w:r>
      <w:r w:rsidR="007A5BB7">
        <w:rPr>
          <w:rFonts w:hint="cs"/>
          <w:rtl/>
        </w:rPr>
        <w:t>توصيات</w:t>
      </w:r>
      <w:r w:rsidRPr="00593CC2">
        <w:rPr>
          <w:rFonts w:hint="cs"/>
          <w:rtl/>
        </w:rPr>
        <w:t xml:space="preserve"> قطاع تقييس الاتصالات</w:t>
      </w:r>
      <w:r w:rsidR="007A5BB7">
        <w:rPr>
          <w:rFonts w:hint="cs"/>
          <w:rtl/>
        </w:rPr>
        <w:t xml:space="preserve"> المذكورة أعلاه</w:t>
      </w:r>
      <w:r w:rsidRPr="00593CC2">
        <w:rPr>
          <w:rFonts w:hint="cs"/>
          <w:rtl/>
        </w:rPr>
        <w:t xml:space="preserve"> عملاً بأحكام البند</w:t>
      </w:r>
      <w:r>
        <w:rPr>
          <w:rFonts w:hint="eastAsia"/>
          <w:rtl/>
        </w:rPr>
        <w:t> </w:t>
      </w:r>
      <w:r w:rsidRPr="00593CC2">
        <w:t>2.8.9</w:t>
      </w:r>
      <w:r w:rsidRPr="00593CC2">
        <w:rPr>
          <w:rFonts w:hint="cs"/>
          <w:rtl/>
          <w:lang w:bidi="ar-EG"/>
        </w:rPr>
        <w:t xml:space="preserve"> من القسم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(المراجَع في </w:t>
      </w:r>
      <w:r>
        <w:rPr>
          <w:rFonts w:hint="cs"/>
          <w:rtl/>
          <w:lang w:bidi="ar-EG"/>
        </w:rPr>
        <w:t>جنيف، 2022</w:t>
      </w:r>
      <w:r w:rsidRPr="00593CC2">
        <w:rPr>
          <w:rFonts w:hint="cs"/>
          <w:rtl/>
          <w:lang w:bidi="ar-EG"/>
        </w:rPr>
        <w:t xml:space="preserve">) للجمعية العالمية لتقييس الاتصالات. </w:t>
      </w:r>
      <w:r>
        <w:rPr>
          <w:rFonts w:hint="cs"/>
          <w:rtl/>
          <w:lang w:bidi="ar-EG"/>
        </w:rPr>
        <w:t>ولم يلق هذا الأمر أي معارضة</w:t>
      </w:r>
      <w:r w:rsidRPr="00445A80">
        <w:rPr>
          <w:rtl/>
          <w:lang w:bidi="ar-EG"/>
        </w:rPr>
        <w:t xml:space="preserve"> من الدول الأعضاء أو أعضاء القطاع </w:t>
      </w:r>
      <w:r>
        <w:rPr>
          <w:rFonts w:hint="cs"/>
          <w:rtl/>
          <w:lang w:bidi="ar-EG"/>
        </w:rPr>
        <w:t>المشاركين</w:t>
      </w:r>
      <w:r w:rsidRPr="00445A80">
        <w:rPr>
          <w:rtl/>
          <w:lang w:bidi="ar-EG"/>
        </w:rPr>
        <w:t xml:space="preserve"> في الاجتماع.</w:t>
      </w:r>
    </w:p>
    <w:p w14:paraId="36470B5B" w14:textId="77777777" w:rsidR="00072F18" w:rsidRPr="00593CC2" w:rsidRDefault="00072F18" w:rsidP="00072F18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14:paraId="5E8B6485" w14:textId="1A0DA3E4" w:rsidR="00072F18" w:rsidRPr="00593CC2" w:rsidRDefault="00072F18" w:rsidP="00072F18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>وتبعاً لأحكام القسم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A526D4">
        <w:rPr>
          <w:rFonts w:hint="cs"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 w:rsidR="008A6AE1">
        <w:rPr>
          <w:b/>
          <w:bCs/>
          <w:lang w:bidi="ar-EG"/>
        </w:rPr>
        <w:t>4</w:t>
      </w:r>
      <w:r>
        <w:rPr>
          <w:rFonts w:hint="cs"/>
          <w:b/>
          <w:bCs/>
          <w:rtl/>
          <w:lang w:bidi="ar-EG"/>
        </w:rPr>
        <w:t xml:space="preserve"> </w:t>
      </w:r>
      <w:r w:rsidR="008A6AE1">
        <w:rPr>
          <w:rFonts w:hint="cs"/>
          <w:b/>
          <w:bCs/>
          <w:rtl/>
          <w:lang w:bidi="ar-EG"/>
        </w:rPr>
        <w:t>فبراير</w:t>
      </w:r>
      <w:r>
        <w:rPr>
          <w:rFonts w:hint="cs"/>
          <w:b/>
          <w:bCs/>
          <w:rtl/>
          <w:lang w:bidi="ar-EG"/>
        </w:rPr>
        <w:t xml:space="preserve"> </w:t>
      </w:r>
      <w:r w:rsidR="00972122">
        <w:rPr>
          <w:b/>
          <w:bCs/>
          <w:lang w:bidi="ar-EG"/>
        </w:rPr>
        <w:t>2023</w:t>
      </w:r>
      <w:r w:rsidRPr="00593CC2">
        <w:rPr>
          <w:rFonts w:hint="cs"/>
          <w:rtl/>
          <w:lang w:bidi="ar-EG"/>
        </w:rPr>
        <w:t xml:space="preserve"> بما إذا كانت إدارتكم/منظمتكم تؤيد أم ترفض هذا الإلغاء.</w:t>
      </w:r>
    </w:p>
    <w:p w14:paraId="249C2094" w14:textId="77777777" w:rsidR="00072F18" w:rsidRPr="00593CC2" w:rsidRDefault="00072F18" w:rsidP="00072F18">
      <w:pPr>
        <w:rPr>
          <w:rtl/>
        </w:rPr>
      </w:pPr>
      <w:r w:rsidRPr="00593CC2">
        <w:rPr>
          <w:rFonts w:hint="cs"/>
          <w:rtl/>
          <w:lang w:bidi="ar-EG"/>
        </w:rPr>
        <w:tab/>
        <w:t>وإذا رأت أي دولة من الدول الأعضاء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أي عضو من أعضاء القطاع ما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يمنع الموافقة على الإلغاء، يرجى منها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منه بيان أسباب ذلك الاعتراض وعندئذ تُعاد المسألة إلى لجنة </w:t>
      </w:r>
      <w:r w:rsidRPr="00E10B10">
        <w:rPr>
          <w:rFonts w:hint="cs"/>
          <w:rtl/>
          <w:lang w:bidi="ar-EG"/>
        </w:rPr>
        <w:t xml:space="preserve">الدراسات. </w:t>
      </w:r>
    </w:p>
    <w:p w14:paraId="149A9493" w14:textId="342D3283" w:rsidR="00072F18" w:rsidRPr="00593CC2" w:rsidRDefault="00072F18" w:rsidP="00072F18">
      <w:pPr>
        <w:rPr>
          <w:rtl/>
          <w:lang w:bidi="ar-EG"/>
        </w:rPr>
      </w:pPr>
      <w:r w:rsidRPr="00593CC2">
        <w:rPr>
          <w:lang w:bidi="ar-EG"/>
        </w:rPr>
        <w:t>4</w:t>
      </w:r>
      <w:r w:rsidRPr="00593CC2">
        <w:rPr>
          <w:rFonts w:hint="cs"/>
          <w:rtl/>
          <w:lang w:bidi="ar-EG"/>
        </w:rPr>
        <w:tab/>
        <w:t>وفي أعقاب المهلة المذكورة أعلاه،</w:t>
      </w:r>
      <w:r>
        <w:rPr>
          <w:rFonts w:hint="cs"/>
          <w:rtl/>
          <w:lang w:bidi="ar-EG"/>
        </w:rPr>
        <w:t xml:space="preserve"> أي</w:t>
      </w:r>
      <w:r w:rsidRPr="00593CC2">
        <w:rPr>
          <w:rFonts w:hint="cs"/>
          <w:rtl/>
          <w:lang w:bidi="ar-EG"/>
        </w:rPr>
        <w:t xml:space="preserve"> </w:t>
      </w:r>
      <w:r w:rsidR="008A6AE1">
        <w:rPr>
          <w:b/>
          <w:bCs/>
          <w:lang w:bidi="ar-EG"/>
        </w:rPr>
        <w:t>4</w:t>
      </w:r>
      <w:r>
        <w:rPr>
          <w:rFonts w:hint="cs"/>
          <w:b/>
          <w:bCs/>
          <w:rtl/>
          <w:lang w:bidi="ar-EG"/>
        </w:rPr>
        <w:t xml:space="preserve"> </w:t>
      </w:r>
      <w:r w:rsidR="008A6AE1">
        <w:rPr>
          <w:rFonts w:hint="cs"/>
          <w:b/>
          <w:bCs/>
          <w:rtl/>
          <w:lang w:bidi="ar-EG"/>
        </w:rPr>
        <w:t>فبراير</w:t>
      </w:r>
      <w:r>
        <w:rPr>
          <w:rFonts w:hint="cs"/>
          <w:b/>
          <w:bCs/>
          <w:rtl/>
          <w:lang w:bidi="ar-EG"/>
        </w:rPr>
        <w:t xml:space="preserve"> </w:t>
      </w:r>
      <w:r w:rsidR="00972122">
        <w:rPr>
          <w:b/>
          <w:bCs/>
          <w:lang w:bidi="ar-EG"/>
        </w:rPr>
        <w:t>2023</w:t>
      </w:r>
      <w:r w:rsidRPr="00593CC2">
        <w:rPr>
          <w:rFonts w:hint="cs"/>
          <w:rtl/>
          <w:lang w:bidi="ar-EG"/>
        </w:rPr>
        <w:t>، سوف يُعلِن مدير مكتب تقييس الاتصالات، في رسالة معممة، نتيجة المشاورة. و</w:t>
      </w:r>
      <w:r>
        <w:rPr>
          <w:rFonts w:hint="cs"/>
          <w:rtl/>
          <w:lang w:bidi="ar-EG"/>
        </w:rPr>
        <w:t xml:space="preserve">سوف </w:t>
      </w:r>
      <w:r w:rsidRPr="00593CC2">
        <w:rPr>
          <w:rFonts w:hint="cs"/>
          <w:rtl/>
          <w:lang w:bidi="ar-EG"/>
        </w:rPr>
        <w:t>تُنشَر هذه المعلومات أيضاً في النشرة التشغيلية للاتحاد.</w:t>
      </w:r>
    </w:p>
    <w:p w14:paraId="094297D5" w14:textId="2BF1AE7E" w:rsidR="00072F18" w:rsidRDefault="00072F18" w:rsidP="00072F18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32D0620" w14:textId="71BFD42A" w:rsidR="00072F18" w:rsidRPr="00D517B2" w:rsidRDefault="004400A0" w:rsidP="006F037C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5F3AC2F" wp14:editId="7922590F">
            <wp:simplePos x="0" y="0"/>
            <wp:positionH relativeFrom="column">
              <wp:posOffset>5361799</wp:posOffset>
            </wp:positionH>
            <wp:positionV relativeFrom="paragraph">
              <wp:posOffset>31750</wp:posOffset>
            </wp:positionV>
            <wp:extent cx="747536" cy="517525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77" cy="517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72F18" w:rsidRPr="00D517B2">
        <w:rPr>
          <w:rFonts w:hint="cs"/>
          <w:rtl/>
          <w:lang w:bidi="ar-SY"/>
        </w:rPr>
        <w:t>ت</w:t>
      </w:r>
      <w:r w:rsidR="00072F18" w:rsidRPr="00826916">
        <w:rPr>
          <w:rFonts w:hint="cs"/>
          <w:rtl/>
          <w:lang w:bidi="ar-SY"/>
        </w:rPr>
        <w:t>شيساب</w:t>
      </w:r>
      <w:proofErr w:type="spellEnd"/>
      <w:r w:rsidR="00072F18" w:rsidRPr="00826916">
        <w:rPr>
          <w:rtl/>
          <w:lang w:bidi="ar-SY"/>
        </w:rPr>
        <w:t xml:space="preserve"> </w:t>
      </w:r>
      <w:r w:rsidR="00072F18" w:rsidRPr="00826916">
        <w:rPr>
          <w:rFonts w:hint="cs"/>
          <w:rtl/>
          <w:lang w:bidi="ar-SY"/>
        </w:rPr>
        <w:t>لي</w:t>
      </w:r>
      <w:r w:rsidR="00072F18" w:rsidRPr="00D517B2">
        <w:rPr>
          <w:rtl/>
          <w:lang w:bidi="ar-SY"/>
        </w:rPr>
        <w:br/>
      </w:r>
      <w:r w:rsidR="00072F18" w:rsidRPr="00D517B2">
        <w:rPr>
          <w:rFonts w:hint="cs"/>
          <w:rtl/>
          <w:lang w:bidi="ar-SY"/>
        </w:rPr>
        <w:t>مدير</w:t>
      </w:r>
      <w:r w:rsidR="00072F18" w:rsidRPr="00D517B2">
        <w:rPr>
          <w:rtl/>
          <w:lang w:bidi="ar-SY"/>
        </w:rPr>
        <w:t xml:space="preserve"> </w:t>
      </w:r>
      <w:r w:rsidR="00072F18" w:rsidRPr="00D517B2">
        <w:rPr>
          <w:rFonts w:hint="cs"/>
          <w:rtl/>
          <w:lang w:bidi="ar-SY"/>
        </w:rPr>
        <w:t>مكتب</w:t>
      </w:r>
      <w:r w:rsidR="00072F18" w:rsidRPr="00D517B2">
        <w:rPr>
          <w:rtl/>
          <w:lang w:bidi="ar-SY"/>
        </w:rPr>
        <w:t xml:space="preserve"> </w:t>
      </w:r>
      <w:r w:rsidR="00072F18" w:rsidRPr="00D517B2">
        <w:rPr>
          <w:rFonts w:hint="cs"/>
          <w:rtl/>
          <w:lang w:bidi="ar-SY"/>
        </w:rPr>
        <w:t>تقييس</w:t>
      </w:r>
      <w:r w:rsidR="00072F18" w:rsidRPr="00D517B2">
        <w:rPr>
          <w:rtl/>
          <w:lang w:bidi="ar-SY"/>
        </w:rPr>
        <w:t xml:space="preserve"> </w:t>
      </w:r>
      <w:r w:rsidR="00072F18" w:rsidRPr="00D517B2">
        <w:rPr>
          <w:rFonts w:hint="cs"/>
          <w:rtl/>
          <w:lang w:bidi="ar-SY"/>
        </w:rPr>
        <w:t>الاتصالات</w:t>
      </w:r>
    </w:p>
    <w:p w14:paraId="6150D184" w14:textId="77777777" w:rsidR="00072F18" w:rsidRDefault="00072F18" w:rsidP="009271FA">
      <w:pPr>
        <w:spacing w:before="240"/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>
        <w:rPr>
          <w:rtl/>
          <w:lang w:bidi="ar-EG"/>
        </w:rPr>
        <w:br w:type="page"/>
      </w:r>
    </w:p>
    <w:p w14:paraId="6D9A03AB" w14:textId="2FB6BFAB" w:rsidR="008A6AE1" w:rsidRPr="0071005F" w:rsidRDefault="008A6AE1" w:rsidP="008A6AE1">
      <w:pPr>
        <w:pStyle w:val="Annextitle"/>
        <w:rPr>
          <w:rtl/>
          <w:lang w:bidi="ar-EG"/>
        </w:rPr>
      </w:pPr>
      <w:r w:rsidRPr="0071005F">
        <w:rPr>
          <w:rFonts w:hint="cs"/>
          <w:rtl/>
        </w:rPr>
        <w:lastRenderedPageBreak/>
        <w:t xml:space="preserve">الملحق </w:t>
      </w:r>
      <w:r w:rsidRPr="0071005F">
        <w:t>1</w:t>
      </w:r>
      <w:r>
        <w:rPr>
          <w:rtl/>
        </w:rPr>
        <w:br/>
      </w:r>
      <w:r>
        <w:rPr>
          <w:rFonts w:hint="cs"/>
          <w:rtl/>
          <w:lang w:bidi="ar-SA"/>
        </w:rPr>
        <w:t>التوصيات</w:t>
      </w:r>
      <w:r w:rsidRPr="00BC6505">
        <w:rPr>
          <w:rFonts w:hint="cs"/>
          <w:rtl/>
          <w:lang w:bidi="ar-SA"/>
        </w:rPr>
        <w:t xml:space="preserve"> المقترح </w:t>
      </w:r>
      <w:r>
        <w:rPr>
          <w:rFonts w:hint="cs"/>
          <w:rtl/>
          <w:lang w:bidi="ar-SA"/>
        </w:rPr>
        <w:t>إلغاؤها</w:t>
      </w:r>
      <w:r w:rsidRPr="00BC6505">
        <w:rPr>
          <w:rFonts w:hint="cs"/>
          <w:rtl/>
          <w:lang w:bidi="ar-SA"/>
        </w:rPr>
        <w:t>:</w:t>
      </w:r>
      <w:r w:rsidRPr="003C53F4">
        <w:rPr>
          <w:rFonts w:hint="cs"/>
          <w:rtl/>
          <w:lang w:bidi="ar-SA"/>
        </w:rPr>
        <w:t xml:space="preserve"> </w:t>
      </w:r>
      <w:r w:rsidRPr="003C53F4">
        <w:rPr>
          <w:lang w:bidi="ar-EG"/>
        </w:rPr>
        <w:t>ITU</w:t>
      </w:r>
      <w:r w:rsidRPr="003C53F4">
        <w:rPr>
          <w:lang w:bidi="ar-EG"/>
        </w:rPr>
        <w:noBreakHyphen/>
        <w:t>T </w:t>
      </w:r>
      <w:r>
        <w:rPr>
          <w:lang w:bidi="ar-EG"/>
        </w:rPr>
        <w:t>K.43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ITU-T K.48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ITU-T K</w:t>
      </w:r>
      <w:r w:rsidR="00AF43ED">
        <w:rPr>
          <w:lang w:bidi="ar-EG"/>
        </w:rPr>
        <w:t>.</w:t>
      </w:r>
      <w:r>
        <w:rPr>
          <w:lang w:bidi="ar-EG"/>
        </w:rPr>
        <w:t>88</w:t>
      </w:r>
    </w:p>
    <w:p w14:paraId="38510C3C" w14:textId="5C67A027" w:rsidR="006A7C99" w:rsidRPr="000C7D61" w:rsidRDefault="00A640D4" w:rsidP="00962BEE">
      <w:pPr>
        <w:pStyle w:val="Rectitle"/>
        <w:spacing w:before="360" w:after="240"/>
        <w:jc w:val="left"/>
        <w:rPr>
          <w:sz w:val="24"/>
          <w:szCs w:val="24"/>
          <w:highlight w:val="red"/>
          <w:rtl/>
        </w:rPr>
      </w:pPr>
      <w:r w:rsidRPr="000C7D61">
        <w:rPr>
          <w:rFonts w:hint="cs"/>
          <w:sz w:val="24"/>
          <w:szCs w:val="24"/>
          <w:rtl/>
          <w:lang w:bidi="ar-EG"/>
        </w:rPr>
        <w:t xml:space="preserve">التوصية </w:t>
      </w:r>
      <w:r w:rsidRPr="000C7D61">
        <w:rPr>
          <w:sz w:val="24"/>
          <w:szCs w:val="24"/>
          <w:lang w:bidi="ar-EG"/>
        </w:rPr>
        <w:t>ITU-T K.43</w:t>
      </w:r>
      <w:r w:rsidRPr="000C7D61">
        <w:rPr>
          <w:rFonts w:hint="cs"/>
          <w:sz w:val="24"/>
          <w:szCs w:val="24"/>
          <w:rtl/>
        </w:rPr>
        <w:t xml:space="preserve">، </w:t>
      </w:r>
      <w:r w:rsidR="0013324B" w:rsidRPr="000C7D61">
        <w:rPr>
          <w:sz w:val="24"/>
          <w:szCs w:val="24"/>
          <w:rtl/>
        </w:rPr>
        <w:t xml:space="preserve">متطلبات الحصانة لمعدات </w:t>
      </w:r>
      <w:r w:rsidR="0013324B" w:rsidRPr="000C7D61">
        <w:rPr>
          <w:rFonts w:hint="cs"/>
          <w:sz w:val="24"/>
          <w:szCs w:val="24"/>
          <w:rtl/>
        </w:rPr>
        <w:t xml:space="preserve">شبكات </w:t>
      </w:r>
      <w:r w:rsidR="0013324B" w:rsidRPr="000C7D61">
        <w:rPr>
          <w:sz w:val="24"/>
          <w:szCs w:val="24"/>
          <w:rtl/>
        </w:rPr>
        <w:t>الاتصالات</w:t>
      </w:r>
    </w:p>
    <w:p w14:paraId="246702F9" w14:textId="2B807528" w:rsidR="00AF6B5C" w:rsidRPr="00876C8A" w:rsidRDefault="00876C8A" w:rsidP="00D517B2">
      <w:pPr>
        <w:rPr>
          <w:b/>
          <w:bCs/>
          <w:rtl/>
          <w:lang w:bidi="ar-EG"/>
        </w:rPr>
      </w:pPr>
      <w:r w:rsidRPr="00876C8A">
        <w:rPr>
          <w:rFonts w:hint="cs"/>
          <w:b/>
          <w:bCs/>
          <w:rtl/>
          <w:lang w:bidi="ar-EG"/>
        </w:rPr>
        <w:t>تاريخ الموافقة</w:t>
      </w:r>
      <w:r w:rsidR="008A6AE1" w:rsidRPr="00876C8A">
        <w:rPr>
          <w:rFonts w:hint="cs"/>
          <w:b/>
          <w:bCs/>
          <w:rtl/>
          <w:lang w:bidi="ar-EG"/>
        </w:rPr>
        <w:t xml:space="preserve">: يوليو </w:t>
      </w:r>
      <w:r w:rsidR="008A6AE1" w:rsidRPr="00876C8A">
        <w:rPr>
          <w:b/>
          <w:bCs/>
          <w:lang w:bidi="ar-EG"/>
        </w:rPr>
        <w:t>2009</w:t>
      </w:r>
    </w:p>
    <w:p w14:paraId="1B293669" w14:textId="1C4681A6" w:rsidR="008A6AE1" w:rsidRPr="00EA249D" w:rsidRDefault="00876C8A" w:rsidP="00EA249D">
      <w:pPr>
        <w:pStyle w:val="HeadingI"/>
        <w:rPr>
          <w:rtl/>
          <w:lang w:bidi="ar-EG"/>
        </w:rPr>
      </w:pPr>
      <w:r w:rsidRPr="00EA249D">
        <w:rPr>
          <w:rFonts w:hint="cs"/>
          <w:rtl/>
          <w:lang w:bidi="ar-EG"/>
        </w:rPr>
        <w:t>مجال التطبيق</w:t>
      </w:r>
      <w:r w:rsidR="007F13F0" w:rsidRPr="00EA249D">
        <w:rPr>
          <w:rFonts w:hint="cs"/>
          <w:rtl/>
          <w:lang w:bidi="ar-EG"/>
        </w:rPr>
        <w:t>:</w:t>
      </w:r>
      <w:r w:rsidR="008A6AE1" w:rsidRPr="00EA249D">
        <w:rPr>
          <w:rFonts w:hint="cs"/>
          <w:rtl/>
          <w:lang w:bidi="ar-EG"/>
        </w:rPr>
        <w:t xml:space="preserve"> </w:t>
      </w:r>
    </w:p>
    <w:p w14:paraId="0B52FB97" w14:textId="33130227" w:rsidR="008A6AE1" w:rsidRDefault="00876C8A" w:rsidP="00876C8A">
      <w:pPr>
        <w:rPr>
          <w:rtl/>
          <w:lang w:bidi="ar-EG"/>
        </w:rPr>
      </w:pPr>
      <w:r>
        <w:rPr>
          <w:rtl/>
          <w:lang w:bidi="ar-EG"/>
        </w:rPr>
        <w:t>تحدد هذه التوصية متطلبات الحصانة للمعدات المستخدمة في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شبكات الاتصالات </w:t>
      </w:r>
      <w:r>
        <w:rPr>
          <w:rFonts w:hint="cs"/>
          <w:rtl/>
          <w:lang w:bidi="ar-EG"/>
        </w:rPr>
        <w:t>العمومية</w:t>
      </w:r>
      <w:r>
        <w:rPr>
          <w:rtl/>
          <w:lang w:bidi="ar-EG"/>
        </w:rPr>
        <w:t xml:space="preserve"> والمعدات الطرفية الم</w:t>
      </w:r>
      <w:r>
        <w:rPr>
          <w:rFonts w:hint="cs"/>
          <w:rtl/>
          <w:lang w:bidi="ar-EG"/>
        </w:rPr>
        <w:t xml:space="preserve">وصولة </w:t>
      </w:r>
      <w:r>
        <w:rPr>
          <w:rtl/>
          <w:lang w:bidi="ar-EG"/>
        </w:rPr>
        <w:t>بهذه الشبكات.</w:t>
      </w:r>
      <w:r w:rsidR="008A6AE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وهي توصية </w:t>
      </w:r>
      <w:r w:rsidRPr="00BF01A0">
        <w:rPr>
          <w:rFonts w:hint="cs"/>
          <w:rtl/>
          <w:lang w:bidi="ar-EG"/>
        </w:rPr>
        <w:t>لمجموعة</w:t>
      </w:r>
      <w:r>
        <w:rPr>
          <w:rFonts w:hint="cs"/>
          <w:rtl/>
          <w:lang w:bidi="ar-EG"/>
        </w:rPr>
        <w:t xml:space="preserve"> منتجات.</w:t>
      </w:r>
    </w:p>
    <w:p w14:paraId="73FD45FA" w14:textId="77777777" w:rsidR="00876C8A" w:rsidRDefault="00876C8A" w:rsidP="00876C8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تقدم هذه التوصية مستويات الاختبار الدنيا المطبقة في بيئة معينة.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المتطلبات الواردة في توصيات </w:t>
      </w:r>
      <w:r w:rsidRPr="00BF01A0">
        <w:rPr>
          <w:rtl/>
          <w:lang w:bidi="ar-EG"/>
        </w:rPr>
        <w:t>مجموعة</w:t>
      </w:r>
      <w:r>
        <w:rPr>
          <w:rtl/>
          <w:lang w:bidi="ar-EG"/>
        </w:rPr>
        <w:t xml:space="preserve"> منتجات معينة تحل محل تلك الواردة في هذ</w:t>
      </w:r>
      <w:r>
        <w:rPr>
          <w:rFonts w:hint="cs"/>
          <w:rtl/>
          <w:lang w:bidi="ar-EG"/>
        </w:rPr>
        <w:t>ه التوصية.</w:t>
      </w:r>
    </w:p>
    <w:p w14:paraId="7CDEB191" w14:textId="56727357" w:rsidR="008A6AE1" w:rsidRPr="008A6AE1" w:rsidRDefault="00876C8A" w:rsidP="00876C8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تنطبق هذه التوصية على جميع أنواع المعدات:</w:t>
      </w:r>
      <w:r w:rsidR="008A6AE1">
        <w:rPr>
          <w:rFonts w:hint="cs"/>
          <w:rtl/>
          <w:lang w:bidi="ar-EG"/>
        </w:rPr>
        <w:t xml:space="preserve"> </w:t>
      </w:r>
    </w:p>
    <w:p w14:paraId="05C1AA08" w14:textId="24FD6B74" w:rsidR="00876C8A" w:rsidRDefault="008A6AE1" w:rsidP="00876C8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76C8A">
        <w:rPr>
          <w:rtl/>
        </w:rPr>
        <w:t xml:space="preserve">المعدات </w:t>
      </w:r>
      <w:r w:rsidR="00876C8A">
        <w:rPr>
          <w:rFonts w:hint="cs"/>
          <w:rtl/>
        </w:rPr>
        <w:t xml:space="preserve">الموجودة </w:t>
      </w:r>
      <w:r w:rsidR="00876C8A">
        <w:rPr>
          <w:rtl/>
        </w:rPr>
        <w:t>في شبكات الاتصالات، بما في ذلك معدات التبديل،</w:t>
      </w:r>
      <w:r w:rsidR="00876C8A">
        <w:rPr>
          <w:rFonts w:hint="cs"/>
          <w:rtl/>
        </w:rPr>
        <w:t xml:space="preserve"> و</w:t>
      </w:r>
      <w:r w:rsidR="00876C8A" w:rsidRPr="00876C8A">
        <w:rPr>
          <w:rtl/>
        </w:rPr>
        <w:t xml:space="preserve">معدات الإرسال، </w:t>
      </w:r>
      <w:r w:rsidR="00615A44">
        <w:rPr>
          <w:rFonts w:hint="cs"/>
          <w:rtl/>
        </w:rPr>
        <w:t>وال</w:t>
      </w:r>
      <w:r w:rsidR="00876C8A" w:rsidRPr="00876C8A">
        <w:rPr>
          <w:rtl/>
        </w:rPr>
        <w:t>معدات الراديو</w:t>
      </w:r>
      <w:r w:rsidR="00615A44">
        <w:rPr>
          <w:rFonts w:hint="cs"/>
          <w:rtl/>
        </w:rPr>
        <w:t>ية</w:t>
      </w:r>
      <w:r w:rsidR="00876C8A" w:rsidRPr="00876C8A">
        <w:rPr>
          <w:rtl/>
        </w:rPr>
        <w:t xml:space="preserve">، </w:t>
      </w:r>
      <w:r w:rsidR="00615A44">
        <w:rPr>
          <w:rFonts w:hint="cs"/>
          <w:rtl/>
        </w:rPr>
        <w:t>و</w:t>
      </w:r>
      <w:r w:rsidR="00876C8A" w:rsidRPr="00876C8A">
        <w:rPr>
          <w:rtl/>
        </w:rPr>
        <w:t xml:space="preserve">معدات </w:t>
      </w:r>
      <w:r w:rsidR="00615A44">
        <w:rPr>
          <w:rFonts w:hint="cs"/>
          <w:rtl/>
        </w:rPr>
        <w:t>ال</w:t>
      </w:r>
      <w:r w:rsidR="00876C8A" w:rsidRPr="00876C8A">
        <w:rPr>
          <w:rtl/>
        </w:rPr>
        <w:t xml:space="preserve">إمداد </w:t>
      </w:r>
      <w:r w:rsidR="00615A44">
        <w:rPr>
          <w:rFonts w:hint="cs"/>
          <w:rtl/>
        </w:rPr>
        <w:t>ب</w:t>
      </w:r>
      <w:r w:rsidR="00876C8A" w:rsidRPr="00876C8A">
        <w:rPr>
          <w:rtl/>
        </w:rPr>
        <w:t xml:space="preserve">الطاقة، </w:t>
      </w:r>
      <w:r w:rsidR="00615A44">
        <w:rPr>
          <w:rFonts w:hint="cs"/>
          <w:rtl/>
        </w:rPr>
        <w:t>و</w:t>
      </w:r>
      <w:r w:rsidR="00876C8A" w:rsidRPr="00876C8A">
        <w:rPr>
          <w:rtl/>
        </w:rPr>
        <w:t>المعدات الإشرافية</w:t>
      </w:r>
      <w:r w:rsidR="00615A44">
        <w:rPr>
          <w:rFonts w:hint="cs"/>
          <w:rtl/>
        </w:rPr>
        <w:t xml:space="preserve"> </w:t>
      </w:r>
      <w:r w:rsidR="00615A44" w:rsidRPr="00615A44">
        <w:rPr>
          <w:rtl/>
        </w:rPr>
        <w:t>ومعدات التحكم</w:t>
      </w:r>
      <w:r w:rsidR="00615A44">
        <w:rPr>
          <w:rFonts w:hint="cs"/>
          <w:rtl/>
        </w:rPr>
        <w:t>؛</w:t>
      </w:r>
    </w:p>
    <w:p w14:paraId="394F6D1C" w14:textId="015EFEE3" w:rsidR="008A6AE1" w:rsidRDefault="008A6AE1" w:rsidP="008A6AE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5A44" w:rsidRPr="00615A44">
        <w:rPr>
          <w:rtl/>
        </w:rPr>
        <w:t>المعدات الطرفية الم</w:t>
      </w:r>
      <w:r w:rsidR="00615A44">
        <w:rPr>
          <w:rFonts w:hint="cs"/>
          <w:rtl/>
        </w:rPr>
        <w:t>وصولة</w:t>
      </w:r>
      <w:r w:rsidR="00615A44" w:rsidRPr="00615A44">
        <w:rPr>
          <w:rtl/>
        </w:rPr>
        <w:t xml:space="preserve"> بشبكات الاتصالات، بما في ذلك </w:t>
      </w:r>
      <w:r w:rsidR="00615A44">
        <w:rPr>
          <w:rFonts w:hint="cs"/>
          <w:rtl/>
        </w:rPr>
        <w:t>أجهزة</w:t>
      </w:r>
      <w:r w:rsidR="00615A44" w:rsidRPr="00615A44">
        <w:rPr>
          <w:rtl/>
        </w:rPr>
        <w:t xml:space="preserve"> الهاتف</w:t>
      </w:r>
      <w:r w:rsidR="00615A44">
        <w:rPr>
          <w:rFonts w:hint="cs"/>
          <w:rtl/>
        </w:rPr>
        <w:t xml:space="preserve"> والفاكس والبدالات الفرعية؛</w:t>
      </w:r>
    </w:p>
    <w:p w14:paraId="2A400E31" w14:textId="43347D51" w:rsidR="00615A44" w:rsidRDefault="008A6AE1" w:rsidP="00615A4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5A44">
        <w:rPr>
          <w:rtl/>
        </w:rPr>
        <w:t xml:space="preserve">المعدات الطرفية التي تستخدم شبكة </w:t>
      </w:r>
      <w:r w:rsidR="00615A44">
        <w:t>LV AC</w:t>
      </w:r>
      <w:r w:rsidR="00615A44">
        <w:rPr>
          <w:rtl/>
        </w:rPr>
        <w:t xml:space="preserve"> للاتصالات (أي</w:t>
      </w:r>
      <w:r w:rsidR="00615A44">
        <w:rPr>
          <w:rFonts w:hint="cs"/>
          <w:rtl/>
        </w:rPr>
        <w:t xml:space="preserve"> أجهزة</w:t>
      </w:r>
      <w:r w:rsidR="00615A44">
        <w:rPr>
          <w:rtl/>
        </w:rPr>
        <w:t xml:space="preserve"> </w:t>
      </w:r>
      <w:r w:rsidR="00615A44">
        <w:t>PLT</w:t>
      </w:r>
      <w:r w:rsidR="00615A44">
        <w:rPr>
          <w:rFonts w:hint="cs"/>
          <w:rtl/>
        </w:rPr>
        <w:t>).</w:t>
      </w:r>
    </w:p>
    <w:p w14:paraId="0133BFBD" w14:textId="4B78772F" w:rsidR="008A6AE1" w:rsidRDefault="00615A44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وتشمل هذه التوصية متطلبات الحصانة في مدى التردد:</w:t>
      </w:r>
      <w:r w:rsidR="008A6AE1">
        <w:rPr>
          <w:rFonts w:hint="cs"/>
          <w:rtl/>
          <w:lang w:bidi="ar-EG"/>
        </w:rPr>
        <w:t xml:space="preserve"> </w:t>
      </w:r>
    </w:p>
    <w:p w14:paraId="09EE2FEF" w14:textId="2AD0F426" w:rsidR="008A6AE1" w:rsidRDefault="00D135E3" w:rsidP="008A6AE1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lang w:bidi="ar-EG"/>
        </w:rPr>
        <w:sym w:font="Symbol" w:char="F0B7"/>
      </w:r>
      <w:r w:rsidR="008A6AE1">
        <w:rPr>
          <w:rtl/>
          <w:lang w:bidi="ar-EG"/>
        </w:rPr>
        <w:tab/>
      </w:r>
      <w:r w:rsidR="00615A44">
        <w:t>MHz 80-kHz 150</w:t>
      </w:r>
      <w:r w:rsidR="00615A44">
        <w:rPr>
          <w:rFonts w:hint="cs"/>
          <w:rtl/>
          <w:lang w:bidi="ar-EG"/>
        </w:rPr>
        <w:t xml:space="preserve"> للحصانة </w:t>
      </w:r>
      <w:proofErr w:type="gramStart"/>
      <w:r w:rsidR="00D8784F">
        <w:rPr>
          <w:rFonts w:hint="cs"/>
          <w:rtl/>
          <w:lang w:bidi="ar-EG"/>
        </w:rPr>
        <w:t>التوصيلية</w:t>
      </w:r>
      <w:r w:rsidR="00615A44">
        <w:rPr>
          <w:rFonts w:hint="cs"/>
          <w:rtl/>
          <w:lang w:bidi="ar-EG"/>
        </w:rPr>
        <w:t>؛</w:t>
      </w:r>
      <w:proofErr w:type="gramEnd"/>
    </w:p>
    <w:p w14:paraId="033A5708" w14:textId="44E44905" w:rsidR="008A6AE1" w:rsidRDefault="00D135E3" w:rsidP="008A6AE1">
      <w:pPr>
        <w:pStyle w:val="enumlev1"/>
        <w:rPr>
          <w:rtl/>
        </w:rPr>
      </w:pPr>
      <w:r>
        <w:rPr>
          <w:rFonts w:ascii="Times New Roman" w:hAnsi="Times New Roman" w:cs="Times New Roman"/>
          <w:lang w:bidi="ar-EG"/>
        </w:rPr>
        <w:sym w:font="Symbol" w:char="F0B7"/>
      </w:r>
      <w:r w:rsidR="008A6AE1">
        <w:rPr>
          <w:rtl/>
          <w:lang w:bidi="ar-EG"/>
        </w:rPr>
        <w:tab/>
      </w:r>
      <w:r w:rsidR="00481700">
        <w:t>MHz 2700</w:t>
      </w:r>
      <w:r w:rsidR="00615A44">
        <w:t>-80</w:t>
      </w:r>
      <w:r w:rsidR="00615A44">
        <w:rPr>
          <w:rFonts w:hint="cs"/>
          <w:rtl/>
          <w:lang w:bidi="ar-EG"/>
        </w:rPr>
        <w:t xml:space="preserve"> للحصانة المشعة.</w:t>
      </w:r>
      <w:r w:rsidR="008A6AE1">
        <w:rPr>
          <w:rFonts w:hint="cs"/>
          <w:rtl/>
        </w:rPr>
        <w:t xml:space="preserve"> </w:t>
      </w:r>
    </w:p>
    <w:p w14:paraId="5F13AEE9" w14:textId="09F9D030" w:rsidR="008A6AE1" w:rsidRPr="00920CB1" w:rsidRDefault="00615A44" w:rsidP="008A6AE1">
      <w:pPr>
        <w:rPr>
          <w:spacing w:val="-4"/>
          <w:rtl/>
        </w:rPr>
      </w:pPr>
      <w:r w:rsidRPr="00920CB1">
        <w:rPr>
          <w:rFonts w:hint="cs"/>
          <w:spacing w:val="-4"/>
          <w:rtl/>
        </w:rPr>
        <w:t xml:space="preserve">وتُغطى مديات التردد الأخرى بتوصيات أخرى من توصيات السلسلة </w:t>
      </w:r>
      <w:r w:rsidRPr="00920CB1">
        <w:rPr>
          <w:spacing w:val="-4"/>
        </w:rPr>
        <w:t>K</w:t>
      </w:r>
      <w:r w:rsidRPr="00920CB1">
        <w:rPr>
          <w:rFonts w:hint="cs"/>
          <w:spacing w:val="-4"/>
          <w:rtl/>
          <w:lang w:bidi="ar-EG"/>
        </w:rPr>
        <w:t xml:space="preserve"> لقطاع تقييس الاتصالات، مثل التوصية </w:t>
      </w:r>
      <w:r w:rsidRPr="00920CB1">
        <w:rPr>
          <w:spacing w:val="-4"/>
          <w:lang w:bidi="ar-EG"/>
        </w:rPr>
        <w:t>[b-ITU-T K.76]</w:t>
      </w:r>
      <w:r w:rsidRPr="00920CB1">
        <w:rPr>
          <w:rFonts w:hint="cs"/>
          <w:spacing w:val="-4"/>
          <w:rtl/>
          <w:lang w:bidi="ar-EG"/>
        </w:rPr>
        <w:t xml:space="preserve"> لمدى التردد </w:t>
      </w:r>
      <w:r w:rsidRPr="00920CB1">
        <w:rPr>
          <w:spacing w:val="-4"/>
          <w:lang w:bidi="ar-EG"/>
        </w:rPr>
        <w:t>kHz 150-9</w:t>
      </w:r>
      <w:r w:rsidR="00F60B34" w:rsidRPr="00920CB1">
        <w:rPr>
          <w:rFonts w:hint="cs"/>
          <w:spacing w:val="-4"/>
          <w:rtl/>
          <w:lang w:bidi="ar-EG"/>
        </w:rPr>
        <w:t>.</w:t>
      </w:r>
      <w:r w:rsidR="008A6AE1" w:rsidRPr="00920CB1">
        <w:rPr>
          <w:rFonts w:hint="cs"/>
          <w:spacing w:val="-4"/>
          <w:rtl/>
        </w:rPr>
        <w:t xml:space="preserve"> </w:t>
      </w:r>
    </w:p>
    <w:p w14:paraId="4E813907" w14:textId="363578F1" w:rsidR="006A7C99" w:rsidRPr="000C7D61" w:rsidRDefault="00AC55E5" w:rsidP="009E2DD2">
      <w:pPr>
        <w:pStyle w:val="Rectitle"/>
        <w:spacing w:before="360" w:after="240"/>
        <w:jc w:val="left"/>
        <w:rPr>
          <w:noProof/>
          <w:sz w:val="24"/>
          <w:szCs w:val="24"/>
          <w:rtl/>
          <w:lang w:bidi="ar-EG"/>
        </w:rPr>
      </w:pPr>
      <w:bookmarkStart w:id="0" w:name="_Toc243112046"/>
      <w:bookmarkStart w:id="1" w:name="_Toc48363662"/>
      <w:bookmarkStart w:id="2" w:name="_Toc48365770"/>
      <w:bookmarkStart w:id="3" w:name="_Toc54692377"/>
      <w:bookmarkStart w:id="4" w:name="_Toc54767046"/>
      <w:bookmarkStart w:id="5" w:name="_Toc55643023"/>
      <w:bookmarkStart w:id="6" w:name="_Toc55644430"/>
      <w:bookmarkStart w:id="7" w:name="_Toc55705210"/>
      <w:bookmarkStart w:id="8" w:name="_Toc55705932"/>
      <w:bookmarkStart w:id="9" w:name="_Toc55706944"/>
      <w:bookmarkStart w:id="10" w:name="_Toc55723514"/>
      <w:bookmarkStart w:id="11" w:name="_Toc55788850"/>
      <w:bookmarkStart w:id="12" w:name="_Toc57800278"/>
      <w:bookmarkStart w:id="13" w:name="_Toc148516699"/>
      <w:bookmarkStart w:id="14" w:name="_Toc148519002"/>
      <w:bookmarkStart w:id="15" w:name="_Toc150588229"/>
      <w:bookmarkStart w:id="16" w:name="_Toc150916519"/>
      <w:r w:rsidRPr="000C7D61">
        <w:rPr>
          <w:rFonts w:hint="cs"/>
          <w:sz w:val="24"/>
          <w:szCs w:val="24"/>
          <w:rtl/>
        </w:rPr>
        <w:t xml:space="preserve">التوصية </w:t>
      </w:r>
      <w:r w:rsidRPr="000C7D61">
        <w:rPr>
          <w:sz w:val="24"/>
          <w:szCs w:val="24"/>
        </w:rPr>
        <w:t>ITU-T K.48</w:t>
      </w:r>
      <w:r w:rsidRPr="000C7D61">
        <w:rPr>
          <w:rFonts w:hint="cs"/>
          <w:noProof/>
          <w:sz w:val="24"/>
          <w:szCs w:val="24"/>
          <w:rtl/>
          <w:lang w:bidi="ar-EG"/>
        </w:rPr>
        <w:t xml:space="preserve">، </w:t>
      </w:r>
      <w:r w:rsidR="006A7C99" w:rsidRPr="000C7D61">
        <w:rPr>
          <w:rFonts w:hint="cs"/>
          <w:noProof/>
          <w:sz w:val="24"/>
          <w:szCs w:val="24"/>
          <w:rtl/>
          <w:lang w:bidi="ar-EG"/>
        </w:rPr>
        <w:t>متطلبات الملاءمة الكهرمغنطيسية لمعدات الاتصالات - توصية بشأن فصيلة المنتجات</w:t>
      </w:r>
      <w:bookmarkEnd w:id="0"/>
    </w:p>
    <w:p w14:paraId="6CB87058" w14:textId="320088C7" w:rsidR="006A7C99" w:rsidRPr="006A7C99" w:rsidRDefault="005129AF" w:rsidP="006A7C99">
      <w:pPr>
        <w:rPr>
          <w:b/>
          <w:bCs/>
          <w:rtl/>
          <w:lang w:bidi="ar-EG"/>
        </w:rPr>
      </w:pPr>
      <w:bookmarkStart w:id="17" w:name="_Toc243112047"/>
      <w:r w:rsidRPr="005129AF">
        <w:rPr>
          <w:b/>
          <w:bCs/>
          <w:rtl/>
          <w:lang w:bidi="ar-EG"/>
        </w:rPr>
        <w:t>تاريخ الموافقة</w:t>
      </w:r>
      <w:r w:rsidR="006A7C99" w:rsidRPr="006A7C99">
        <w:rPr>
          <w:rFonts w:hint="cs"/>
          <w:b/>
          <w:bCs/>
          <w:rtl/>
          <w:lang w:bidi="ar-EG"/>
        </w:rPr>
        <w:t>:</w:t>
      </w:r>
      <w:r w:rsidR="006A7C99" w:rsidRPr="006A7C99">
        <w:rPr>
          <w:b/>
          <w:bCs/>
          <w:rtl/>
          <w:lang w:bidi="ar-EG"/>
        </w:rPr>
        <w:tab/>
      </w:r>
      <w:r w:rsidR="006A7C99" w:rsidRPr="006A7C99">
        <w:rPr>
          <w:rFonts w:hint="cs"/>
          <w:b/>
          <w:bCs/>
          <w:rtl/>
          <w:lang w:bidi="ar-EG"/>
        </w:rPr>
        <w:t xml:space="preserve">سبتمبر </w:t>
      </w:r>
      <w:r w:rsidR="006A7C99" w:rsidRPr="006A7C99">
        <w:rPr>
          <w:b/>
          <w:bCs/>
          <w:lang w:bidi="ar-EG"/>
        </w:rPr>
        <w:t>2006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4E7595E9" w14:textId="499D4EA1" w:rsidR="006A7C99" w:rsidRPr="00EA249D" w:rsidRDefault="005129AF" w:rsidP="00EA249D">
      <w:pPr>
        <w:pStyle w:val="HeadingI"/>
        <w:rPr>
          <w:lang w:bidi="ar-EG"/>
        </w:rPr>
      </w:pPr>
      <w:r>
        <w:rPr>
          <w:rFonts w:hint="cs"/>
          <w:rtl/>
          <w:lang w:bidi="ar-EG"/>
        </w:rPr>
        <w:t>مجال التطبيق:</w:t>
      </w:r>
    </w:p>
    <w:p w14:paraId="1004F9B8" w14:textId="1427F6A8" w:rsidR="006A7C99" w:rsidRPr="00114E25" w:rsidRDefault="006A7C99" w:rsidP="006A7C99">
      <w:pPr>
        <w:rPr>
          <w:rtl/>
        </w:rPr>
      </w:pPr>
      <w:r w:rsidRPr="00114E25">
        <w:rPr>
          <w:rFonts w:hint="cs"/>
          <w:rtl/>
        </w:rPr>
        <w:t xml:space="preserve">تحدد هذه التوصية متطلبات البث والحصانة بالنسبة </w:t>
      </w:r>
      <w:r w:rsidR="00CD5A6B">
        <w:rPr>
          <w:rFonts w:hint="cs"/>
          <w:rtl/>
        </w:rPr>
        <w:t>إلى التبديل</w:t>
      </w:r>
      <w:r w:rsidRPr="00114E25">
        <w:rPr>
          <w:rFonts w:hint="cs"/>
          <w:rtl/>
        </w:rPr>
        <w:t>، والإرسال، والقدرة ومحطة القاعدة الرقمية النقالة، وشبكات المنطقة المحلية اللاسلكية، ونظام الترحيل الراديوي الرقمي، والخط الرقمي ل</w:t>
      </w:r>
      <w:r>
        <w:rPr>
          <w:rFonts w:hint="cs"/>
          <w:rtl/>
        </w:rPr>
        <w:t>ل</w:t>
      </w:r>
      <w:r w:rsidRPr="00114E25">
        <w:rPr>
          <w:rFonts w:hint="cs"/>
          <w:rtl/>
        </w:rPr>
        <w:t xml:space="preserve">مشترك </w:t>
      </w:r>
      <w:r w:rsidRPr="00114E25">
        <w:t>(</w:t>
      </w:r>
      <w:proofErr w:type="spellStart"/>
      <w:r w:rsidRPr="00114E25">
        <w:t>xDSL</w:t>
      </w:r>
      <w:proofErr w:type="spellEnd"/>
      <w:r w:rsidRPr="00114E25">
        <w:t>)</w:t>
      </w:r>
      <w:r w:rsidRPr="00114E25">
        <w:rPr>
          <w:rFonts w:hint="cs"/>
          <w:rtl/>
        </w:rPr>
        <w:t xml:space="preserve">، ومعدات الإشراف. وهي تصف كذلك الشروط التشغيلية لاختبار الانبعاثات والحصانة. كما تحدد معايير الأداء لاختبارات الحصانة. </w:t>
      </w:r>
      <w:r w:rsidR="00ED23B8">
        <w:rPr>
          <w:rFonts w:hint="cs"/>
          <w:rtl/>
        </w:rPr>
        <w:t>ويوصى</w:t>
      </w:r>
      <w:r w:rsidRPr="00114E25">
        <w:rPr>
          <w:rFonts w:hint="cs"/>
          <w:rtl/>
        </w:rPr>
        <w:t xml:space="preserve"> بمعايير الأداء وشرط التشغيل العام في التوصية </w:t>
      </w:r>
      <w:r>
        <w:t>ITU</w:t>
      </w:r>
      <w:r>
        <w:noBreakHyphen/>
        <w:t>T </w:t>
      </w:r>
      <w:r w:rsidRPr="00114E25">
        <w:t>K.43</w:t>
      </w:r>
      <w:r w:rsidRPr="00114E25">
        <w:rPr>
          <w:rFonts w:hint="cs"/>
          <w:rtl/>
        </w:rPr>
        <w:t>. وتصف هذه التوصية شروط الاختبار المحددة التي ينبغي تطبيقها على معدات شبكة</w:t>
      </w:r>
      <w:r w:rsidR="00AE206C">
        <w:rPr>
          <w:rFonts w:hint="eastAsia"/>
          <w:rtl/>
        </w:rPr>
        <w:t> </w:t>
      </w:r>
      <w:r w:rsidRPr="00114E25">
        <w:rPr>
          <w:rFonts w:hint="cs"/>
          <w:rtl/>
        </w:rPr>
        <w:t>الاتصالات.</w:t>
      </w:r>
    </w:p>
    <w:p w14:paraId="630546CE" w14:textId="59659D93" w:rsidR="006A7C99" w:rsidRPr="000C7D61" w:rsidRDefault="000C7D61" w:rsidP="009E2DD2">
      <w:pPr>
        <w:pStyle w:val="Rectitle"/>
        <w:spacing w:before="360" w:after="240"/>
        <w:jc w:val="left"/>
        <w:rPr>
          <w:sz w:val="24"/>
          <w:szCs w:val="24"/>
          <w:rtl/>
        </w:rPr>
      </w:pPr>
      <w:r>
        <w:rPr>
          <w:rFonts w:hint="cs"/>
          <w:rtl/>
        </w:rPr>
        <w:t xml:space="preserve">التوصية </w:t>
      </w:r>
      <w:r>
        <w:t>ITU-T K.88</w:t>
      </w:r>
      <w:r>
        <w:rPr>
          <w:rFonts w:hint="cs"/>
          <w:sz w:val="24"/>
          <w:szCs w:val="24"/>
          <w:rtl/>
        </w:rPr>
        <w:t xml:space="preserve">، </w:t>
      </w:r>
      <w:r w:rsidR="006A7C99" w:rsidRPr="000C7D61">
        <w:rPr>
          <w:rFonts w:hint="cs"/>
          <w:sz w:val="24"/>
          <w:szCs w:val="24"/>
          <w:rtl/>
        </w:rPr>
        <w:t xml:space="preserve">متطلبات الملاءمة الكهرمغنطيسية لمعدات </w:t>
      </w:r>
      <w:r w:rsidR="005129AF" w:rsidRPr="000C7D61">
        <w:rPr>
          <w:rFonts w:hint="cs"/>
          <w:sz w:val="24"/>
          <w:szCs w:val="24"/>
          <w:rtl/>
        </w:rPr>
        <w:t>شبكات الجيل التالي</w:t>
      </w:r>
    </w:p>
    <w:p w14:paraId="5C7A3609" w14:textId="4A8CAA19" w:rsidR="006A7C99" w:rsidRPr="006A7C99" w:rsidRDefault="005129AF" w:rsidP="006A7C99">
      <w:pPr>
        <w:rPr>
          <w:b/>
          <w:bCs/>
          <w:rtl/>
          <w:lang w:bidi="ar-EG"/>
        </w:rPr>
      </w:pPr>
      <w:r w:rsidRPr="005129AF">
        <w:rPr>
          <w:b/>
          <w:bCs/>
          <w:rtl/>
          <w:lang w:bidi="ar-EG"/>
        </w:rPr>
        <w:t>تاريخ الموافقة</w:t>
      </w:r>
      <w:r w:rsidR="006A7C99" w:rsidRPr="006A7C99">
        <w:rPr>
          <w:rFonts w:hint="cs"/>
          <w:b/>
          <w:bCs/>
          <w:rtl/>
          <w:lang w:bidi="ar-EG"/>
        </w:rPr>
        <w:t>:</w:t>
      </w:r>
      <w:r w:rsidR="006A7C99" w:rsidRPr="006A7C99">
        <w:rPr>
          <w:b/>
          <w:bCs/>
          <w:rtl/>
          <w:lang w:bidi="ar-EG"/>
        </w:rPr>
        <w:tab/>
      </w:r>
      <w:r w:rsidR="006A7C99">
        <w:rPr>
          <w:rFonts w:hint="cs"/>
          <w:b/>
          <w:bCs/>
          <w:rtl/>
          <w:lang w:bidi="ar-EG"/>
        </w:rPr>
        <w:t>نوفمبر</w:t>
      </w:r>
      <w:r w:rsidR="006A7C99" w:rsidRPr="006A7C99">
        <w:rPr>
          <w:rFonts w:hint="cs"/>
          <w:b/>
          <w:bCs/>
          <w:rtl/>
          <w:lang w:bidi="ar-EG"/>
        </w:rPr>
        <w:t xml:space="preserve"> </w:t>
      </w:r>
      <w:r w:rsidR="006A7C99">
        <w:rPr>
          <w:b/>
          <w:bCs/>
          <w:lang w:bidi="ar-EG"/>
        </w:rPr>
        <w:t>2011</w:t>
      </w:r>
    </w:p>
    <w:p w14:paraId="1AF67679" w14:textId="77777777" w:rsidR="005129AF" w:rsidRPr="00EA249D" w:rsidRDefault="005129AF" w:rsidP="00EA249D">
      <w:pPr>
        <w:pStyle w:val="HeadingI"/>
        <w:rPr>
          <w:rtl/>
          <w:lang w:bidi="ar-EG"/>
        </w:rPr>
      </w:pPr>
      <w:r w:rsidRPr="00EA249D">
        <w:rPr>
          <w:rtl/>
          <w:lang w:bidi="ar-EG"/>
        </w:rPr>
        <w:t>مجال التطبيق:</w:t>
      </w:r>
    </w:p>
    <w:p w14:paraId="2AC06F4B" w14:textId="0DE2FF49" w:rsidR="006A7C99" w:rsidRPr="00114E25" w:rsidRDefault="006A7C99" w:rsidP="006A7C99">
      <w:pPr>
        <w:rPr>
          <w:rtl/>
        </w:rPr>
      </w:pPr>
      <w:r w:rsidRPr="00114E25">
        <w:rPr>
          <w:rFonts w:hint="cs"/>
          <w:rtl/>
        </w:rPr>
        <w:t xml:space="preserve">تحدد هذه التوصية متطلبات البث والحصانة بالنسبة </w:t>
      </w:r>
      <w:r w:rsidR="00F6287D">
        <w:rPr>
          <w:rFonts w:hint="cs"/>
          <w:rtl/>
        </w:rPr>
        <w:t>إلى معدات</w:t>
      </w:r>
      <w:r w:rsidR="005129AF">
        <w:rPr>
          <w:rFonts w:hint="cs"/>
          <w:rtl/>
        </w:rPr>
        <w:t xml:space="preserve"> ا</w:t>
      </w:r>
      <w:r w:rsidRPr="00114E25">
        <w:rPr>
          <w:rFonts w:hint="cs"/>
          <w:rtl/>
        </w:rPr>
        <w:t xml:space="preserve">لتبديل، والإرسال، </w:t>
      </w:r>
      <w:r w:rsidR="005129AF">
        <w:rPr>
          <w:rFonts w:hint="cs"/>
          <w:rtl/>
        </w:rPr>
        <w:t>وبوابات الوسائط، استناداً إلى بروتوكول الإنترنت</w:t>
      </w:r>
      <w:r w:rsidR="00DF6853">
        <w:rPr>
          <w:rFonts w:hint="eastAsia"/>
          <w:rtl/>
        </w:rPr>
        <w:t> </w:t>
      </w:r>
      <w:r w:rsidR="005129AF">
        <w:t>(IP)</w:t>
      </w:r>
      <w:r w:rsidR="005129AF">
        <w:rPr>
          <w:rFonts w:hint="cs"/>
          <w:rtl/>
          <w:lang w:bidi="ar-EG"/>
        </w:rPr>
        <w:t xml:space="preserve"> في</w:t>
      </w:r>
      <w:r w:rsidR="004A4F33">
        <w:rPr>
          <w:rFonts w:hint="cs"/>
          <w:rtl/>
          <w:lang w:bidi="ar-EG"/>
        </w:rPr>
        <w:t xml:space="preserve"> شبكات الجيل التالي</w:t>
      </w:r>
      <w:r w:rsidR="005129AF">
        <w:rPr>
          <w:rFonts w:hint="cs"/>
          <w:rtl/>
          <w:lang w:bidi="ar-EG"/>
        </w:rPr>
        <w:t xml:space="preserve"> </w:t>
      </w:r>
      <w:r w:rsidR="005129AF">
        <w:rPr>
          <w:lang w:bidi="ar-EG"/>
        </w:rPr>
        <w:t>(NGN)</w:t>
      </w:r>
      <w:r w:rsidR="005129AF">
        <w:rPr>
          <w:rFonts w:hint="cs"/>
          <w:rtl/>
          <w:lang w:bidi="ar-EG"/>
        </w:rPr>
        <w:t>.</w:t>
      </w:r>
      <w:r w:rsidRPr="00114E25">
        <w:rPr>
          <w:rFonts w:hint="cs"/>
          <w:rtl/>
        </w:rPr>
        <w:t xml:space="preserve"> وهي تصف كذلك الشروط التشغيلية لاختبار الانبعاثات والحصانة. كما تحدد معايير الأداء لاختبارات الحصانة. </w:t>
      </w:r>
      <w:r w:rsidR="006F2F57">
        <w:rPr>
          <w:rFonts w:hint="cs"/>
          <w:rtl/>
        </w:rPr>
        <w:t>ويوصى</w:t>
      </w:r>
      <w:r w:rsidRPr="00114E25">
        <w:rPr>
          <w:rFonts w:hint="cs"/>
          <w:rtl/>
        </w:rPr>
        <w:t xml:space="preserve"> بمعايير الأداء وشر</w:t>
      </w:r>
      <w:r w:rsidR="005129AF">
        <w:rPr>
          <w:rFonts w:hint="cs"/>
          <w:rtl/>
        </w:rPr>
        <w:t>و</w:t>
      </w:r>
      <w:r w:rsidRPr="00114E25">
        <w:rPr>
          <w:rFonts w:hint="cs"/>
          <w:rtl/>
        </w:rPr>
        <w:t xml:space="preserve">ط التشغيل العام في التوصية </w:t>
      </w:r>
      <w:r w:rsidR="005129AF">
        <w:t>[</w:t>
      </w:r>
      <w:r>
        <w:t>ITU</w:t>
      </w:r>
      <w:r>
        <w:noBreakHyphen/>
        <w:t>T </w:t>
      </w:r>
      <w:r w:rsidRPr="00114E25">
        <w:t>K.</w:t>
      </w:r>
      <w:r w:rsidR="005129AF">
        <w:t>4</w:t>
      </w:r>
      <w:r>
        <w:t>8</w:t>
      </w:r>
      <w:r w:rsidR="005129AF">
        <w:t>]</w:t>
      </w:r>
      <w:r w:rsidRPr="00114E25">
        <w:rPr>
          <w:rFonts w:hint="cs"/>
          <w:rtl/>
        </w:rPr>
        <w:t>. وتصف هذه التوصية شروط الاختبار المحددة التي ي</w:t>
      </w:r>
      <w:r w:rsidR="005129AF">
        <w:rPr>
          <w:rFonts w:hint="cs"/>
          <w:rtl/>
        </w:rPr>
        <w:t>جب</w:t>
      </w:r>
      <w:r w:rsidRPr="00114E25">
        <w:rPr>
          <w:rFonts w:hint="cs"/>
          <w:rtl/>
        </w:rPr>
        <w:t xml:space="preserve"> تطبيقها على معدات </w:t>
      </w:r>
      <w:r w:rsidR="005129AF" w:rsidRPr="005129AF">
        <w:rPr>
          <w:rtl/>
        </w:rPr>
        <w:t>شبكات الجيل التالي</w:t>
      </w:r>
      <w:r w:rsidRPr="00114E25">
        <w:rPr>
          <w:rFonts w:hint="cs"/>
          <w:rtl/>
        </w:rPr>
        <w:t>.</w:t>
      </w:r>
    </w:p>
    <w:p w14:paraId="337A5E8C" w14:textId="77D8E574" w:rsidR="006A7C99" w:rsidRDefault="005129AF" w:rsidP="006A7C99">
      <w:pPr>
        <w:rPr>
          <w:rtl/>
        </w:rPr>
      </w:pPr>
      <w:r>
        <w:rPr>
          <w:rFonts w:hint="cs"/>
          <w:rtl/>
        </w:rPr>
        <w:lastRenderedPageBreak/>
        <w:t xml:space="preserve">ويرد بالملحق </w:t>
      </w:r>
      <w:r>
        <w:t>A</w:t>
      </w:r>
      <w:r>
        <w:rPr>
          <w:rFonts w:hint="cs"/>
          <w:rtl/>
          <w:lang w:bidi="ar-EG"/>
        </w:rPr>
        <w:t xml:space="preserve"> مثال للمعدات التي تقع ضمن مجال التطبيق هذا.</w:t>
      </w:r>
      <w:r w:rsidR="006A7C99">
        <w:rPr>
          <w:rFonts w:hint="cs"/>
          <w:rtl/>
        </w:rPr>
        <w:t xml:space="preserve"> </w:t>
      </w:r>
    </w:p>
    <w:p w14:paraId="54184287" w14:textId="146F965C" w:rsidR="006A7C99" w:rsidRPr="00824278" w:rsidRDefault="00824278" w:rsidP="006A7C99">
      <w:pPr>
        <w:rPr>
          <w:i/>
          <w:iCs/>
          <w:rtl/>
        </w:rPr>
      </w:pPr>
      <w:bookmarkStart w:id="18" w:name="_Hlk118906440"/>
      <w:r w:rsidRPr="00824278">
        <w:rPr>
          <w:rFonts w:hint="cs"/>
          <w:i/>
          <w:iCs/>
          <w:rtl/>
        </w:rPr>
        <w:t xml:space="preserve">أسباب إلغاء التوصيتين </w:t>
      </w:r>
      <w:r w:rsidRPr="00824278">
        <w:rPr>
          <w:i/>
          <w:iCs/>
        </w:rPr>
        <w:t>ITU-T K.43</w:t>
      </w:r>
      <w:r w:rsidRPr="00824278">
        <w:rPr>
          <w:rFonts w:hint="cs"/>
          <w:i/>
          <w:iCs/>
          <w:rtl/>
          <w:lang w:bidi="ar-EG"/>
        </w:rPr>
        <w:t xml:space="preserve"> و</w:t>
      </w:r>
      <w:r w:rsidRPr="00824278">
        <w:rPr>
          <w:i/>
          <w:iCs/>
          <w:lang w:bidi="ar-EG"/>
        </w:rPr>
        <w:t>ITU-T K.48</w:t>
      </w:r>
      <w:r w:rsidRPr="00824278">
        <w:rPr>
          <w:rFonts w:hint="cs"/>
          <w:i/>
          <w:iCs/>
          <w:rtl/>
          <w:lang w:bidi="ar-EG"/>
        </w:rPr>
        <w:t xml:space="preserve"> المذكورتين أعلاه:</w:t>
      </w:r>
      <w:r w:rsidR="006A7C99" w:rsidRPr="00824278">
        <w:rPr>
          <w:rFonts w:hint="cs"/>
          <w:i/>
          <w:iCs/>
          <w:rtl/>
        </w:rPr>
        <w:t xml:space="preserve"> </w:t>
      </w:r>
    </w:p>
    <w:bookmarkEnd w:id="18"/>
    <w:p w14:paraId="09A47476" w14:textId="6554B128" w:rsidR="006A7C99" w:rsidRDefault="00824278" w:rsidP="006A7C99">
      <w:pPr>
        <w:rPr>
          <w:rtl/>
        </w:rPr>
      </w:pPr>
      <w:r>
        <w:rPr>
          <w:rFonts w:hint="cs"/>
          <w:rtl/>
        </w:rPr>
        <w:t>المتطلبات الواردة في</w:t>
      </w:r>
      <w:r w:rsidRPr="00824278">
        <w:rPr>
          <w:rtl/>
        </w:rPr>
        <w:t xml:space="preserve"> التوصيتين </w:t>
      </w:r>
      <w:r w:rsidRPr="00824278">
        <w:t>ITU-T K.43</w:t>
      </w:r>
      <w:r w:rsidRPr="00824278">
        <w:rPr>
          <w:rtl/>
        </w:rPr>
        <w:t xml:space="preserve"> و</w:t>
      </w:r>
      <w:r w:rsidRPr="00824278">
        <w:t>ITU-T K.48</w:t>
      </w:r>
      <w:r w:rsidRPr="00824278">
        <w:rPr>
          <w:rtl/>
        </w:rPr>
        <w:t xml:space="preserve"> </w:t>
      </w:r>
      <w:r>
        <w:rPr>
          <w:rFonts w:hint="cs"/>
          <w:rtl/>
        </w:rPr>
        <w:t>مغطاة بالفعل في التوصيات:</w:t>
      </w:r>
      <w:r w:rsidR="006A7C99">
        <w:rPr>
          <w:rFonts w:hint="cs"/>
          <w:rtl/>
        </w:rPr>
        <w:t xml:space="preserve"> </w:t>
      </w:r>
    </w:p>
    <w:p w14:paraId="47D71FC5" w14:textId="3044F3AB" w:rsidR="006A7C99" w:rsidRDefault="006A7C99" w:rsidP="006A7C9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ITU-T K.136</w:t>
      </w:r>
      <w:r>
        <w:rPr>
          <w:rFonts w:hint="cs"/>
          <w:rtl/>
        </w:rPr>
        <w:t xml:space="preserve"> </w:t>
      </w:r>
      <w:r>
        <w:t>(2018)</w:t>
      </w:r>
      <w:r>
        <w:rPr>
          <w:rFonts w:hint="cs"/>
          <w:rtl/>
        </w:rPr>
        <w:t xml:space="preserve">: </w:t>
      </w:r>
      <w:r w:rsidRPr="006A7C99">
        <w:rPr>
          <w:rtl/>
        </w:rPr>
        <w:t>متطلبات التوافق الكهرمغنطيسي لمعدات الاتصالات الراديوية</w:t>
      </w:r>
      <w:r>
        <w:rPr>
          <w:rFonts w:hint="cs"/>
          <w:rtl/>
        </w:rPr>
        <w:t>.</w:t>
      </w:r>
    </w:p>
    <w:p w14:paraId="052B2AD9" w14:textId="30B8772A" w:rsidR="006A7C99" w:rsidRDefault="006A7C99" w:rsidP="006A7C99">
      <w:pPr>
        <w:pStyle w:val="enumlev1"/>
        <w:rPr>
          <w:lang w:bidi="ar-EG"/>
        </w:rPr>
      </w:pPr>
      <w:r w:rsidRPr="003A4A60">
        <w:rPr>
          <w:rFonts w:hint="cs"/>
          <w:rtl/>
        </w:rPr>
        <w:t>-</w:t>
      </w:r>
      <w:r w:rsidRPr="003A4A60">
        <w:rPr>
          <w:rtl/>
        </w:rPr>
        <w:tab/>
      </w:r>
      <w:r w:rsidRPr="003A4A60">
        <w:t>ITU-T K.137</w:t>
      </w:r>
      <w:r w:rsidRPr="003A4A60">
        <w:rPr>
          <w:rFonts w:hint="cs"/>
          <w:rtl/>
        </w:rPr>
        <w:t xml:space="preserve"> </w:t>
      </w:r>
      <w:r w:rsidRPr="003A4A60">
        <w:t>(2022)</w:t>
      </w:r>
      <w:r w:rsidRPr="003A4A60">
        <w:rPr>
          <w:rFonts w:hint="cs"/>
          <w:rtl/>
        </w:rPr>
        <w:t xml:space="preserve">: </w:t>
      </w:r>
      <w:r w:rsidRPr="003A4A60">
        <w:rPr>
          <w:rtl/>
        </w:rPr>
        <w:t>متطلبات التوافق الكهرمغنطيسي وطرائق القياس فيما يتعلق بمعدات شبكات اتصالات الخطوط السلكية</w:t>
      </w:r>
      <w:r w:rsidRPr="003A4A60">
        <w:rPr>
          <w:rFonts w:hint="cs"/>
          <w:rtl/>
        </w:rPr>
        <w:t>.</w:t>
      </w:r>
    </w:p>
    <w:p w14:paraId="6E6556C3" w14:textId="5D749356" w:rsidR="008A6AE1" w:rsidRDefault="006A7C99" w:rsidP="006A7C9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ITU-T K.114</w:t>
      </w:r>
      <w:r>
        <w:rPr>
          <w:rFonts w:hint="cs"/>
          <w:rtl/>
        </w:rPr>
        <w:t xml:space="preserve"> </w:t>
      </w:r>
      <w:r>
        <w:t>(2022)</w:t>
      </w:r>
      <w:r>
        <w:rPr>
          <w:rFonts w:hint="cs"/>
          <w:rtl/>
        </w:rPr>
        <w:t xml:space="preserve">: </w:t>
      </w:r>
      <w:r w:rsidRPr="006A7C99">
        <w:rPr>
          <w:rtl/>
        </w:rPr>
        <w:t xml:space="preserve">متطلبات وأساليب قياس التوافق الكهرمغنطيسي لمعدات </w:t>
      </w:r>
      <w:r w:rsidR="00824278">
        <w:rPr>
          <w:rFonts w:hint="cs"/>
          <w:rtl/>
        </w:rPr>
        <w:t xml:space="preserve">محطة قاعدة في </w:t>
      </w:r>
      <w:r w:rsidRPr="006A7C99">
        <w:rPr>
          <w:rtl/>
        </w:rPr>
        <w:t>الاتصالات الخلوية الرقمية المتنقلة</w:t>
      </w:r>
      <w:r>
        <w:rPr>
          <w:rFonts w:hint="cs"/>
          <w:rtl/>
        </w:rPr>
        <w:t>.</w:t>
      </w:r>
    </w:p>
    <w:p w14:paraId="15775590" w14:textId="4842E6CB" w:rsidR="006A7C99" w:rsidRDefault="006A7C99" w:rsidP="006A7C9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ITU-T K.123</w:t>
      </w:r>
      <w:r>
        <w:rPr>
          <w:rFonts w:hint="cs"/>
          <w:rtl/>
        </w:rPr>
        <w:t xml:space="preserve"> </w:t>
      </w:r>
      <w:r>
        <w:t>(2022)</w:t>
      </w:r>
      <w:r>
        <w:rPr>
          <w:rFonts w:hint="cs"/>
          <w:rtl/>
        </w:rPr>
        <w:t xml:space="preserve">: </w:t>
      </w:r>
      <w:bookmarkStart w:id="19" w:name="_Hlk118906403"/>
      <w:r w:rsidRPr="006A7C99">
        <w:rPr>
          <w:rtl/>
        </w:rPr>
        <w:t>متطلبات التوافق الكهرمغنطيسي ل</w:t>
      </w:r>
      <w:r w:rsidR="00824278">
        <w:rPr>
          <w:rFonts w:hint="cs"/>
          <w:rtl/>
        </w:rPr>
        <w:t>لمعدات</w:t>
      </w:r>
      <w:r w:rsidRPr="006A7C99">
        <w:rPr>
          <w:rtl/>
        </w:rPr>
        <w:t xml:space="preserve"> الكهربائية في مرافق الاتصالات</w:t>
      </w:r>
      <w:r>
        <w:rPr>
          <w:rFonts w:hint="cs"/>
          <w:rtl/>
        </w:rPr>
        <w:t>.</w:t>
      </w:r>
    </w:p>
    <w:bookmarkEnd w:id="19"/>
    <w:p w14:paraId="7CF48369" w14:textId="538A1748" w:rsidR="006A7C99" w:rsidRDefault="006A7C99" w:rsidP="006A7C9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ITU-T K.116</w:t>
      </w:r>
      <w:r>
        <w:rPr>
          <w:rFonts w:hint="cs"/>
          <w:rtl/>
        </w:rPr>
        <w:t xml:space="preserve"> </w:t>
      </w:r>
      <w:r>
        <w:t>(2019)</w:t>
      </w:r>
      <w:r>
        <w:rPr>
          <w:rFonts w:hint="cs"/>
          <w:rtl/>
        </w:rPr>
        <w:t xml:space="preserve">: </w:t>
      </w:r>
      <w:r w:rsidRPr="006A7C99">
        <w:rPr>
          <w:rtl/>
        </w:rPr>
        <w:t>متطلبات التوافق الكهرمغنطيسي وطرائق الاختبار للمعدات المطرافية للاتصالات الراديوية</w:t>
      </w:r>
      <w:r>
        <w:rPr>
          <w:rFonts w:hint="cs"/>
          <w:rtl/>
        </w:rPr>
        <w:t>.</w:t>
      </w:r>
    </w:p>
    <w:p w14:paraId="73ABFA1F" w14:textId="1BE96037" w:rsidR="006A7C99" w:rsidRDefault="006A7C99" w:rsidP="006A7C9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ITU-T K.152</w:t>
      </w:r>
      <w:r>
        <w:rPr>
          <w:rFonts w:hint="cs"/>
          <w:rtl/>
        </w:rPr>
        <w:t xml:space="preserve"> </w:t>
      </w:r>
      <w:r>
        <w:t>(2022)</w:t>
      </w:r>
      <w:r>
        <w:rPr>
          <w:rFonts w:hint="cs"/>
          <w:rtl/>
        </w:rPr>
        <w:t xml:space="preserve">: </w:t>
      </w:r>
      <w:r w:rsidR="00824278" w:rsidRPr="00824278">
        <w:rPr>
          <w:rtl/>
        </w:rPr>
        <w:t>متطلبات التوافق الكهرمغنطيسي لمعدات ال</w:t>
      </w:r>
      <w:r w:rsidR="00824278">
        <w:rPr>
          <w:rFonts w:hint="cs"/>
          <w:rtl/>
        </w:rPr>
        <w:t>طاقة</w:t>
      </w:r>
      <w:r w:rsidR="00824278" w:rsidRPr="00824278">
        <w:rPr>
          <w:rtl/>
        </w:rPr>
        <w:t xml:space="preserve"> في مرافق الاتصالات.</w:t>
      </w:r>
      <w:r>
        <w:rPr>
          <w:rFonts w:hint="cs"/>
          <w:rtl/>
        </w:rPr>
        <w:t xml:space="preserve"> </w:t>
      </w:r>
    </w:p>
    <w:p w14:paraId="185DCE8E" w14:textId="15241C65" w:rsidR="006A7C99" w:rsidRPr="00824278" w:rsidRDefault="00824278" w:rsidP="006A7C99">
      <w:pPr>
        <w:rPr>
          <w:i/>
          <w:iCs/>
          <w:rtl/>
        </w:rPr>
      </w:pPr>
      <w:r w:rsidRPr="00824278">
        <w:rPr>
          <w:i/>
          <w:iCs/>
          <w:rtl/>
        </w:rPr>
        <w:t>أسباب إلغاء التوصي</w:t>
      </w:r>
      <w:r w:rsidRPr="00824278">
        <w:rPr>
          <w:rFonts w:hint="cs"/>
          <w:i/>
          <w:iCs/>
          <w:rtl/>
        </w:rPr>
        <w:t xml:space="preserve">ة </w:t>
      </w:r>
      <w:r w:rsidRPr="00824278">
        <w:rPr>
          <w:i/>
          <w:iCs/>
        </w:rPr>
        <w:t>ITU-T K.88</w:t>
      </w:r>
      <w:r w:rsidRPr="00824278">
        <w:rPr>
          <w:i/>
          <w:iCs/>
          <w:rtl/>
        </w:rPr>
        <w:t xml:space="preserve"> المذكور</w:t>
      </w:r>
      <w:r w:rsidRPr="00824278">
        <w:rPr>
          <w:rFonts w:hint="cs"/>
          <w:i/>
          <w:iCs/>
          <w:rtl/>
        </w:rPr>
        <w:t>ة</w:t>
      </w:r>
      <w:r w:rsidRPr="00824278">
        <w:rPr>
          <w:i/>
          <w:iCs/>
          <w:rtl/>
        </w:rPr>
        <w:t xml:space="preserve"> أعلاه: </w:t>
      </w:r>
      <w:r w:rsidR="006A7C99" w:rsidRPr="00824278">
        <w:rPr>
          <w:rFonts w:hint="cs"/>
          <w:i/>
          <w:iCs/>
          <w:rtl/>
        </w:rPr>
        <w:t xml:space="preserve"> </w:t>
      </w:r>
    </w:p>
    <w:p w14:paraId="75874A08" w14:textId="311F9B14" w:rsidR="006A7C99" w:rsidRDefault="00824278" w:rsidP="006A7C99">
      <w:pPr>
        <w:rPr>
          <w:rtl/>
        </w:rPr>
      </w:pPr>
      <w:r w:rsidRPr="00824278">
        <w:rPr>
          <w:rtl/>
        </w:rPr>
        <w:t xml:space="preserve">المتطلبات الواردة في التوصية </w:t>
      </w:r>
      <w:r w:rsidRPr="00824278">
        <w:t>ITU-T K.88</w:t>
      </w:r>
      <w:r w:rsidRPr="00824278">
        <w:rPr>
          <w:rtl/>
        </w:rPr>
        <w:t xml:space="preserve"> مغطاة بالفعل في </w:t>
      </w:r>
      <w:r w:rsidR="006A7C99">
        <w:rPr>
          <w:rFonts w:hint="cs"/>
          <w:rtl/>
        </w:rPr>
        <w:t xml:space="preserve">التوصية </w:t>
      </w:r>
      <w:r w:rsidR="006A7C99">
        <w:t>ITU-T K.137</w:t>
      </w:r>
      <w:r w:rsidR="006A7C99">
        <w:rPr>
          <w:rFonts w:hint="cs"/>
          <w:rtl/>
        </w:rPr>
        <w:t xml:space="preserve"> </w:t>
      </w:r>
      <w:r w:rsidR="006A7C99">
        <w:t>(2022)</w:t>
      </w:r>
      <w:r w:rsidR="006A7C99">
        <w:rPr>
          <w:rFonts w:hint="cs"/>
          <w:rtl/>
        </w:rPr>
        <w:t xml:space="preserve"> "</w:t>
      </w:r>
      <w:r w:rsidR="006A7C99" w:rsidRPr="006A7C99">
        <w:rPr>
          <w:rtl/>
        </w:rPr>
        <w:t>متطلبات التوافق الكهرمغنطيسي وطرائق القياس فيما يتعلق بمعدات شبكات اتصالات الخطوط السلكية</w:t>
      </w:r>
      <w:r w:rsidR="006A7C99">
        <w:rPr>
          <w:rFonts w:hint="cs"/>
          <w:rtl/>
        </w:rPr>
        <w:t>".</w:t>
      </w:r>
    </w:p>
    <w:p w14:paraId="2D59DC92" w14:textId="12B0078E" w:rsidR="006A7C99" w:rsidRPr="006A7C99" w:rsidRDefault="006A7C99" w:rsidP="006A7C99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6A7C99" w:rsidRPr="006A7C99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1C54" w14:textId="77777777" w:rsidR="00072F18" w:rsidRDefault="00072F18" w:rsidP="006C3242">
      <w:pPr>
        <w:spacing w:before="0" w:line="240" w:lineRule="auto"/>
      </w:pPr>
      <w:r>
        <w:separator/>
      </w:r>
    </w:p>
  </w:endnote>
  <w:endnote w:type="continuationSeparator" w:id="0">
    <w:p w14:paraId="79285993" w14:textId="77777777" w:rsidR="00072F18" w:rsidRDefault="00072F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7785" w14:textId="77777777" w:rsidR="001A6E8A" w:rsidRDefault="001A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E3A5" w14:textId="4516684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F1B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2A57" w14:textId="77777777" w:rsidR="00072F18" w:rsidRDefault="00072F18" w:rsidP="006C3242">
      <w:pPr>
        <w:spacing w:before="0" w:line="240" w:lineRule="auto"/>
      </w:pPr>
      <w:r>
        <w:separator/>
      </w:r>
    </w:p>
  </w:footnote>
  <w:footnote w:type="continuationSeparator" w:id="0">
    <w:p w14:paraId="4FD0C41E" w14:textId="77777777" w:rsidR="00072F18" w:rsidRDefault="00072F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8185" w14:textId="77777777" w:rsidR="001A6E8A" w:rsidRDefault="001A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D074" w14:textId="4610F57E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A6AE1">
      <w:rPr>
        <w:sz w:val="20"/>
        <w:szCs w:val="20"/>
        <w:lang w:val="en-GB"/>
      </w:rPr>
      <w:t>53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2038" w14:textId="77777777" w:rsidR="001A6E8A" w:rsidRDefault="001A6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7610105">
    <w:abstractNumId w:val="9"/>
  </w:num>
  <w:num w:numId="2" w16cid:durableId="1765030841">
    <w:abstractNumId w:val="7"/>
  </w:num>
  <w:num w:numId="3" w16cid:durableId="1992521078">
    <w:abstractNumId w:val="6"/>
  </w:num>
  <w:num w:numId="4" w16cid:durableId="316081369">
    <w:abstractNumId w:val="5"/>
  </w:num>
  <w:num w:numId="5" w16cid:durableId="414396531">
    <w:abstractNumId w:val="4"/>
  </w:num>
  <w:num w:numId="6" w16cid:durableId="1832598339">
    <w:abstractNumId w:val="8"/>
  </w:num>
  <w:num w:numId="7" w16cid:durableId="403648741">
    <w:abstractNumId w:val="3"/>
  </w:num>
  <w:num w:numId="8" w16cid:durableId="1834830905">
    <w:abstractNumId w:val="2"/>
  </w:num>
  <w:num w:numId="9" w16cid:durableId="438068311">
    <w:abstractNumId w:val="1"/>
  </w:num>
  <w:num w:numId="10" w16cid:durableId="54359565">
    <w:abstractNumId w:val="0"/>
  </w:num>
  <w:num w:numId="11" w16cid:durableId="1809936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18"/>
    <w:rsid w:val="00002A63"/>
    <w:rsid w:val="00003323"/>
    <w:rsid w:val="000524DC"/>
    <w:rsid w:val="0006468A"/>
    <w:rsid w:val="00072F18"/>
    <w:rsid w:val="00090574"/>
    <w:rsid w:val="00097E91"/>
    <w:rsid w:val="000C1C0E"/>
    <w:rsid w:val="000C548A"/>
    <w:rsid w:val="000C7D61"/>
    <w:rsid w:val="000E327F"/>
    <w:rsid w:val="000F6061"/>
    <w:rsid w:val="0013324B"/>
    <w:rsid w:val="00146FE2"/>
    <w:rsid w:val="001A6E8A"/>
    <w:rsid w:val="001C0169"/>
    <w:rsid w:val="001C34E1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64442"/>
    <w:rsid w:val="00383829"/>
    <w:rsid w:val="003A3046"/>
    <w:rsid w:val="003A4A60"/>
    <w:rsid w:val="003D0761"/>
    <w:rsid w:val="003F4B29"/>
    <w:rsid w:val="00400EC6"/>
    <w:rsid w:val="00405A77"/>
    <w:rsid w:val="00412682"/>
    <w:rsid w:val="0042686F"/>
    <w:rsid w:val="004317D8"/>
    <w:rsid w:val="00434183"/>
    <w:rsid w:val="004400A0"/>
    <w:rsid w:val="00443869"/>
    <w:rsid w:val="00447F32"/>
    <w:rsid w:val="0045072A"/>
    <w:rsid w:val="00481700"/>
    <w:rsid w:val="004A4F33"/>
    <w:rsid w:val="004D3CBE"/>
    <w:rsid w:val="004E11DC"/>
    <w:rsid w:val="0050080D"/>
    <w:rsid w:val="005129AF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06A53"/>
    <w:rsid w:val="00615A44"/>
    <w:rsid w:val="006635B2"/>
    <w:rsid w:val="00677396"/>
    <w:rsid w:val="0069200F"/>
    <w:rsid w:val="006A65CB"/>
    <w:rsid w:val="006A7C99"/>
    <w:rsid w:val="006C1530"/>
    <w:rsid w:val="006C3242"/>
    <w:rsid w:val="006C7CC0"/>
    <w:rsid w:val="006E1BAD"/>
    <w:rsid w:val="006F037C"/>
    <w:rsid w:val="006F2F57"/>
    <w:rsid w:val="006F63F7"/>
    <w:rsid w:val="007025C7"/>
    <w:rsid w:val="00706D7A"/>
    <w:rsid w:val="00722F0D"/>
    <w:rsid w:val="00742F1B"/>
    <w:rsid w:val="0074420E"/>
    <w:rsid w:val="00745B38"/>
    <w:rsid w:val="00783E26"/>
    <w:rsid w:val="007A5BB7"/>
    <w:rsid w:val="007C3BC7"/>
    <w:rsid w:val="007C3BCD"/>
    <w:rsid w:val="007D4ACF"/>
    <w:rsid w:val="007F0787"/>
    <w:rsid w:val="007F13F0"/>
    <w:rsid w:val="00810B7B"/>
    <w:rsid w:val="0082358A"/>
    <w:rsid w:val="008235CD"/>
    <w:rsid w:val="00824278"/>
    <w:rsid w:val="008247DE"/>
    <w:rsid w:val="00840B10"/>
    <w:rsid w:val="008513CB"/>
    <w:rsid w:val="00873469"/>
    <w:rsid w:val="00876C8A"/>
    <w:rsid w:val="008A0F3C"/>
    <w:rsid w:val="008A6AE1"/>
    <w:rsid w:val="008A7F84"/>
    <w:rsid w:val="0091702E"/>
    <w:rsid w:val="00920CB1"/>
    <w:rsid w:val="00923B0C"/>
    <w:rsid w:val="00926F44"/>
    <w:rsid w:val="009271FA"/>
    <w:rsid w:val="0094021C"/>
    <w:rsid w:val="0094432F"/>
    <w:rsid w:val="00952F86"/>
    <w:rsid w:val="00962BEE"/>
    <w:rsid w:val="00972122"/>
    <w:rsid w:val="00982B28"/>
    <w:rsid w:val="0099465D"/>
    <w:rsid w:val="009D313F"/>
    <w:rsid w:val="009E2DD2"/>
    <w:rsid w:val="00A07BA2"/>
    <w:rsid w:val="00A47A5A"/>
    <w:rsid w:val="00A55ACF"/>
    <w:rsid w:val="00A640D4"/>
    <w:rsid w:val="00A6683B"/>
    <w:rsid w:val="00A77C90"/>
    <w:rsid w:val="00A9156F"/>
    <w:rsid w:val="00A97F94"/>
    <w:rsid w:val="00AA7EA2"/>
    <w:rsid w:val="00AC55E5"/>
    <w:rsid w:val="00AD0E31"/>
    <w:rsid w:val="00AE206C"/>
    <w:rsid w:val="00AF43ED"/>
    <w:rsid w:val="00AF6B5C"/>
    <w:rsid w:val="00B03099"/>
    <w:rsid w:val="00B05BC8"/>
    <w:rsid w:val="00B64B47"/>
    <w:rsid w:val="00B916A7"/>
    <w:rsid w:val="00BB0F08"/>
    <w:rsid w:val="00BF01A0"/>
    <w:rsid w:val="00C002DE"/>
    <w:rsid w:val="00C15BAE"/>
    <w:rsid w:val="00C53BF8"/>
    <w:rsid w:val="00C54E36"/>
    <w:rsid w:val="00C66157"/>
    <w:rsid w:val="00C67338"/>
    <w:rsid w:val="00C674FE"/>
    <w:rsid w:val="00C67501"/>
    <w:rsid w:val="00C75633"/>
    <w:rsid w:val="00C91A0A"/>
    <w:rsid w:val="00CD5A6B"/>
    <w:rsid w:val="00CE1C08"/>
    <w:rsid w:val="00CE2EE1"/>
    <w:rsid w:val="00CE3349"/>
    <w:rsid w:val="00CE36E5"/>
    <w:rsid w:val="00CF27F5"/>
    <w:rsid w:val="00CF3FFD"/>
    <w:rsid w:val="00CF782D"/>
    <w:rsid w:val="00D10CCF"/>
    <w:rsid w:val="00D135E3"/>
    <w:rsid w:val="00D22846"/>
    <w:rsid w:val="00D422F6"/>
    <w:rsid w:val="00D517B2"/>
    <w:rsid w:val="00D76170"/>
    <w:rsid w:val="00D77D0F"/>
    <w:rsid w:val="00D8784F"/>
    <w:rsid w:val="00DA1CF0"/>
    <w:rsid w:val="00DC1E02"/>
    <w:rsid w:val="00DC24B4"/>
    <w:rsid w:val="00DC5FB0"/>
    <w:rsid w:val="00DD1EBB"/>
    <w:rsid w:val="00DE1076"/>
    <w:rsid w:val="00DF16DC"/>
    <w:rsid w:val="00DF6853"/>
    <w:rsid w:val="00E45211"/>
    <w:rsid w:val="00E473C5"/>
    <w:rsid w:val="00E84438"/>
    <w:rsid w:val="00E92863"/>
    <w:rsid w:val="00EA249D"/>
    <w:rsid w:val="00EB796D"/>
    <w:rsid w:val="00ED23B8"/>
    <w:rsid w:val="00F058DC"/>
    <w:rsid w:val="00F24FC4"/>
    <w:rsid w:val="00F2676C"/>
    <w:rsid w:val="00F52941"/>
    <w:rsid w:val="00F53876"/>
    <w:rsid w:val="00F60B34"/>
    <w:rsid w:val="00F6287D"/>
    <w:rsid w:val="00F628F2"/>
    <w:rsid w:val="00F7367C"/>
    <w:rsid w:val="00F84366"/>
    <w:rsid w:val="00F85089"/>
    <w:rsid w:val="00F974C5"/>
    <w:rsid w:val="00FA6F46"/>
    <w:rsid w:val="00FE4F1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0B7AF"/>
  <w15:chartTrackingRefBased/>
  <w15:docId w15:val="{C9ECA6D0-5782-4C06-88E7-78B50D4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link w:val="AnnexNotitleChar"/>
    <w:rsid w:val="006A7C99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240" w:line="182" w:lineRule="auto"/>
      <w:jc w:val="center"/>
      <w:textAlignment w:val="baseline"/>
    </w:pPr>
    <w:rPr>
      <w:rFonts w:ascii="Times New Roman Bold" w:eastAsia="Batang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6A7C99"/>
    <w:rPr>
      <w:rFonts w:ascii="Times New Roman Bold" w:eastAsia="Batang" w:hAnsi="Times New Roman Bold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48</cp:revision>
  <cp:lastPrinted>2022-11-25T14:53:00Z</cp:lastPrinted>
  <dcterms:created xsi:type="dcterms:W3CDTF">2022-11-10T08:39:00Z</dcterms:created>
  <dcterms:modified xsi:type="dcterms:W3CDTF">2022-11-25T14:53:00Z</dcterms:modified>
</cp:coreProperties>
</file>