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3119"/>
        <w:gridCol w:w="1984"/>
      </w:tblGrid>
      <w:tr w:rsidR="006D775C" w:rsidRPr="00DC324F" w14:paraId="4FC72EF9" w14:textId="77777777" w:rsidTr="00D84BD4">
        <w:trPr>
          <w:trHeight w:val="1282"/>
        </w:trPr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Pr="00DC324F" w:rsidRDefault="00B049BB">
            <w:pPr>
              <w:pStyle w:val="Tabletext"/>
              <w:jc w:val="center"/>
            </w:pPr>
            <w:r w:rsidRPr="00DC324F">
              <w:rPr>
                <w:noProof/>
                <w:lang w:val="en-US" w:eastAsia="zh-CN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Pr="00DC324F" w:rsidRDefault="00D40F2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C324F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B359B3B" w14:textId="77777777" w:rsidR="006D775C" w:rsidRPr="00DC324F" w:rsidRDefault="00D40F2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C324F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49F80356" w:rsidR="006D775C" w:rsidRPr="00DC324F" w:rsidRDefault="006D775C" w:rsidP="000055E9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6D775C" w:rsidRPr="00DC324F" w14:paraId="12328938" w14:textId="77777777" w:rsidTr="00D84BD4">
        <w:trPr>
          <w:cantSplit/>
          <w:trHeight w:val="80"/>
        </w:trPr>
        <w:tc>
          <w:tcPr>
            <w:tcW w:w="4820" w:type="dxa"/>
            <w:gridSpan w:val="3"/>
            <w:vAlign w:val="center"/>
          </w:tcPr>
          <w:p w14:paraId="2761DBBA" w14:textId="77777777" w:rsidR="006D775C" w:rsidRPr="00DC324F" w:rsidRDefault="006D775C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0373D2B" w14:textId="540EBD88" w:rsidR="006D775C" w:rsidRPr="00DC324F" w:rsidRDefault="00746EA0" w:rsidP="001501A1">
            <w:pPr>
              <w:pStyle w:val="Tabletext"/>
              <w:spacing w:before="120" w:after="120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 xml:space="preserve">Geneva, </w:t>
            </w:r>
            <w:r w:rsidR="003B6F5A">
              <w:rPr>
                <w:sz w:val="22"/>
                <w:szCs w:val="18"/>
              </w:rPr>
              <w:t>4</w:t>
            </w:r>
            <w:r w:rsidR="003D69F9">
              <w:rPr>
                <w:sz w:val="22"/>
                <w:szCs w:val="18"/>
              </w:rPr>
              <w:t xml:space="preserve"> November </w:t>
            </w:r>
            <w:r w:rsidR="007D62C6" w:rsidRPr="00BD6DC8">
              <w:rPr>
                <w:sz w:val="22"/>
                <w:szCs w:val="18"/>
              </w:rPr>
              <w:t>2022</w:t>
            </w:r>
          </w:p>
        </w:tc>
      </w:tr>
      <w:tr w:rsidR="003D69F9" w:rsidRPr="00DC324F" w14:paraId="2822328E" w14:textId="77777777" w:rsidTr="00D84BD4">
        <w:trPr>
          <w:cantSplit/>
          <w:trHeight w:val="746"/>
        </w:trPr>
        <w:tc>
          <w:tcPr>
            <w:tcW w:w="1276" w:type="dxa"/>
          </w:tcPr>
          <w:p w14:paraId="37C6E0B7" w14:textId="77777777" w:rsidR="003D69F9" w:rsidRPr="00DC324F" w:rsidRDefault="003D69F9" w:rsidP="003D69F9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75522537" w14:textId="7318DAFD" w:rsidR="003D69F9" w:rsidRPr="00A66ABB" w:rsidRDefault="003D69F9" w:rsidP="003D69F9">
            <w:pPr>
              <w:pStyle w:val="Tabletext"/>
              <w:spacing w:before="0" w:after="0"/>
              <w:rPr>
                <w:rFonts w:cstheme="minorHAnsi"/>
                <w:b/>
                <w:szCs w:val="22"/>
              </w:rPr>
            </w:pPr>
            <w:r w:rsidRPr="00A66ABB">
              <w:rPr>
                <w:rFonts w:cstheme="minorHAnsi"/>
                <w:b/>
                <w:szCs w:val="22"/>
              </w:rPr>
              <w:t xml:space="preserve">TSB </w:t>
            </w:r>
            <w:r w:rsidR="008A4AEB">
              <w:rPr>
                <w:rFonts w:cstheme="minorHAnsi"/>
                <w:b/>
                <w:szCs w:val="22"/>
              </w:rPr>
              <w:t>Circular</w:t>
            </w:r>
            <w:r w:rsidRPr="00A66ABB">
              <w:rPr>
                <w:rFonts w:cstheme="minorHAnsi"/>
                <w:b/>
                <w:szCs w:val="22"/>
              </w:rPr>
              <w:t xml:space="preserve"> </w:t>
            </w:r>
            <w:r w:rsidR="002A7693">
              <w:rPr>
                <w:rFonts w:cstheme="minorHAnsi"/>
                <w:b/>
                <w:szCs w:val="22"/>
              </w:rPr>
              <w:t>53</w:t>
            </w:r>
          </w:p>
          <w:p w14:paraId="32FA7A12" w14:textId="6B6A9E19" w:rsidR="003D69F9" w:rsidRPr="003D69F9" w:rsidRDefault="003D69F9" w:rsidP="003D69F9">
            <w:pPr>
              <w:pStyle w:val="Tabletext"/>
              <w:rPr>
                <w:sz w:val="22"/>
                <w:szCs w:val="18"/>
                <w:lang w:val="es-ES"/>
              </w:rPr>
            </w:pPr>
            <w:r w:rsidRPr="00A66ABB">
              <w:rPr>
                <w:rFonts w:cstheme="minorHAnsi"/>
                <w:szCs w:val="22"/>
              </w:rPr>
              <w:t>SG5/RU</w:t>
            </w:r>
          </w:p>
        </w:tc>
        <w:tc>
          <w:tcPr>
            <w:tcW w:w="5103" w:type="dxa"/>
            <w:gridSpan w:val="2"/>
            <w:vMerge w:val="restart"/>
          </w:tcPr>
          <w:p w14:paraId="4E29E63F" w14:textId="77777777" w:rsidR="003D69F9" w:rsidRPr="00DC324F" w:rsidRDefault="003D69F9" w:rsidP="003D69F9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To:</w:t>
            </w:r>
          </w:p>
          <w:p w14:paraId="3103D493" w14:textId="77777777" w:rsidR="003D69F9" w:rsidRPr="00DC324F" w:rsidRDefault="003D69F9" w:rsidP="003D69F9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>Administrations of Member States of the Union</w:t>
            </w:r>
          </w:p>
          <w:p w14:paraId="7AFED833" w14:textId="77777777" w:rsidR="003D69F9" w:rsidRPr="00DC324F" w:rsidRDefault="003D69F9" w:rsidP="003D69F9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Copy to:</w:t>
            </w:r>
          </w:p>
          <w:p w14:paraId="1DB923B3" w14:textId="77777777" w:rsidR="003D69F9" w:rsidRPr="00DC324F" w:rsidRDefault="003D69F9" w:rsidP="003D69F9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ITU-T Sector </w:t>
            </w:r>
            <w:proofErr w:type="gramStart"/>
            <w:r w:rsidRPr="00DC324F">
              <w:rPr>
                <w:sz w:val="22"/>
                <w:szCs w:val="18"/>
              </w:rPr>
              <w:t>Members;</w:t>
            </w:r>
            <w:proofErr w:type="gramEnd"/>
          </w:p>
          <w:p w14:paraId="629B5794" w14:textId="788D4074" w:rsidR="003D69F9" w:rsidRPr="00DC324F" w:rsidRDefault="003D69F9" w:rsidP="003D69F9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Associates of ITU-T Study Group </w:t>
            </w:r>
            <w:proofErr w:type="gramStart"/>
            <w:r>
              <w:rPr>
                <w:sz w:val="22"/>
                <w:szCs w:val="18"/>
              </w:rPr>
              <w:t>5</w:t>
            </w:r>
            <w:r w:rsidRPr="00DC324F">
              <w:rPr>
                <w:sz w:val="22"/>
                <w:szCs w:val="18"/>
              </w:rPr>
              <w:t>;</w:t>
            </w:r>
            <w:proofErr w:type="gramEnd"/>
          </w:p>
          <w:p w14:paraId="7C7BA287" w14:textId="77777777" w:rsidR="003D69F9" w:rsidRPr="00DC324F" w:rsidRDefault="003D69F9" w:rsidP="003D69F9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ITU </w:t>
            </w:r>
            <w:proofErr w:type="gramStart"/>
            <w:r w:rsidRPr="00DC324F">
              <w:rPr>
                <w:sz w:val="22"/>
                <w:szCs w:val="18"/>
              </w:rPr>
              <w:t>Academia;</w:t>
            </w:r>
            <w:proofErr w:type="gramEnd"/>
          </w:p>
          <w:p w14:paraId="2E17061C" w14:textId="19AEFACD" w:rsidR="003D69F9" w:rsidRPr="00DC324F" w:rsidRDefault="003D69F9" w:rsidP="003D69F9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The Chairman and Vice-Chairmen of ITU-T Study Group </w:t>
            </w:r>
            <w:proofErr w:type="gramStart"/>
            <w:r>
              <w:rPr>
                <w:sz w:val="22"/>
                <w:szCs w:val="18"/>
              </w:rPr>
              <w:t>5</w:t>
            </w:r>
            <w:r w:rsidRPr="00DC324F">
              <w:rPr>
                <w:sz w:val="22"/>
                <w:szCs w:val="18"/>
              </w:rPr>
              <w:t>;</w:t>
            </w:r>
            <w:proofErr w:type="gramEnd"/>
          </w:p>
          <w:p w14:paraId="44523DC2" w14:textId="77777777" w:rsidR="003D69F9" w:rsidRPr="00DC324F" w:rsidRDefault="003D69F9" w:rsidP="003D69F9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The Director of the Telecommunication Development </w:t>
            </w:r>
            <w:proofErr w:type="gramStart"/>
            <w:r w:rsidRPr="00DC324F">
              <w:rPr>
                <w:sz w:val="22"/>
                <w:szCs w:val="18"/>
              </w:rPr>
              <w:t>Bureau;</w:t>
            </w:r>
            <w:proofErr w:type="gramEnd"/>
          </w:p>
          <w:p w14:paraId="3872D355" w14:textId="2218104C" w:rsidR="003D69F9" w:rsidRPr="00DC324F" w:rsidRDefault="003D69F9" w:rsidP="003D69F9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>The Director of the Radiocommunication Bureau</w:t>
            </w:r>
          </w:p>
        </w:tc>
      </w:tr>
      <w:tr w:rsidR="003D69F9" w:rsidRPr="00DC324F" w14:paraId="22805FF0" w14:textId="77777777" w:rsidTr="00D84BD4">
        <w:trPr>
          <w:cantSplit/>
          <w:trHeight w:val="221"/>
        </w:trPr>
        <w:tc>
          <w:tcPr>
            <w:tcW w:w="1276" w:type="dxa"/>
          </w:tcPr>
          <w:p w14:paraId="42FA40C9" w14:textId="77777777" w:rsidR="003D69F9" w:rsidRPr="00DC324F" w:rsidRDefault="003D69F9" w:rsidP="003D69F9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159438A3" w14:textId="584B5CA6" w:rsidR="003D69F9" w:rsidRPr="00DC324F" w:rsidRDefault="003D69F9" w:rsidP="003D69F9">
            <w:pPr>
              <w:pStyle w:val="Tabletext"/>
              <w:rPr>
                <w:b/>
                <w:sz w:val="22"/>
                <w:szCs w:val="18"/>
              </w:rPr>
            </w:pPr>
            <w:r w:rsidRPr="00A66ABB">
              <w:rPr>
                <w:rFonts w:cstheme="minorHAnsi"/>
                <w:szCs w:val="22"/>
              </w:rPr>
              <w:t xml:space="preserve">+41 22 730 </w:t>
            </w:r>
            <w:r w:rsidRPr="00A66ABB">
              <w:t>5356</w:t>
            </w:r>
          </w:p>
        </w:tc>
        <w:tc>
          <w:tcPr>
            <w:tcW w:w="5103" w:type="dxa"/>
            <w:gridSpan w:val="2"/>
            <w:vMerge/>
          </w:tcPr>
          <w:p w14:paraId="724D81FB" w14:textId="77777777" w:rsidR="003D69F9" w:rsidRPr="00DC324F" w:rsidRDefault="003D69F9" w:rsidP="003D69F9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3D69F9" w:rsidRPr="00DC324F" w14:paraId="2525B5C0" w14:textId="77777777" w:rsidTr="00D84BD4">
        <w:trPr>
          <w:cantSplit/>
          <w:trHeight w:val="2435"/>
        </w:trPr>
        <w:tc>
          <w:tcPr>
            <w:tcW w:w="1276" w:type="dxa"/>
          </w:tcPr>
          <w:p w14:paraId="3899C144" w14:textId="77777777" w:rsidR="003D69F9" w:rsidRPr="00DC324F" w:rsidRDefault="003D69F9" w:rsidP="003D69F9">
            <w:pPr>
              <w:pStyle w:val="Tabletext"/>
              <w:rPr>
                <w:b/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Fax:</w:t>
            </w:r>
          </w:p>
          <w:p w14:paraId="31ED4771" w14:textId="7D981B1A" w:rsidR="003D69F9" w:rsidRPr="00DC324F" w:rsidRDefault="003D69F9" w:rsidP="003D69F9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76DA77F0" w14:textId="2E9F06E7" w:rsidR="003D69F9" w:rsidRPr="00DC324F" w:rsidRDefault="003D69F9" w:rsidP="003D69F9">
            <w:pPr>
              <w:pStyle w:val="Tabletext"/>
              <w:rPr>
                <w:b/>
                <w:sz w:val="22"/>
                <w:szCs w:val="18"/>
              </w:rPr>
            </w:pPr>
            <w:r w:rsidRPr="00A66ABB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363833BD" w14:textId="77777777" w:rsidR="003D69F9" w:rsidRPr="00DC324F" w:rsidRDefault="003D69F9" w:rsidP="003D69F9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6D775C" w:rsidRPr="00DC324F" w14:paraId="1F5DA09D" w14:textId="77777777" w:rsidTr="005A7E8A">
        <w:trPr>
          <w:cantSplit/>
          <w:trHeight w:val="564"/>
        </w:trPr>
        <w:tc>
          <w:tcPr>
            <w:tcW w:w="1276" w:type="dxa"/>
          </w:tcPr>
          <w:p w14:paraId="06A023BE" w14:textId="77777777" w:rsidR="006D775C" w:rsidRPr="00DC324F" w:rsidRDefault="00D40F22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647" w:type="dxa"/>
            <w:gridSpan w:val="4"/>
          </w:tcPr>
          <w:p w14:paraId="4887DE07" w14:textId="52321977" w:rsidR="006D775C" w:rsidRPr="00DC324F" w:rsidRDefault="003D69F9" w:rsidP="007D62C6">
            <w:pPr>
              <w:pStyle w:val="Tabletext"/>
              <w:rPr>
                <w:sz w:val="22"/>
                <w:szCs w:val="18"/>
              </w:rPr>
            </w:pPr>
            <w:r w:rsidRPr="003D69F9">
              <w:rPr>
                <w:b/>
                <w:sz w:val="22"/>
                <w:szCs w:val="18"/>
              </w:rPr>
              <w:t>Proposed deletion of Recommendations ITU-T K.43; K.48 and K.88</w:t>
            </w:r>
            <w:r>
              <w:rPr>
                <w:b/>
                <w:sz w:val="22"/>
                <w:szCs w:val="18"/>
              </w:rPr>
              <w:t xml:space="preserve"> </w:t>
            </w:r>
            <w:r w:rsidR="00D40F22" w:rsidRPr="00DC324F">
              <w:rPr>
                <w:b/>
                <w:sz w:val="22"/>
                <w:szCs w:val="18"/>
              </w:rPr>
              <w:t>agreed by ITU-T SG</w:t>
            </w:r>
            <w:r>
              <w:rPr>
                <w:b/>
                <w:sz w:val="22"/>
                <w:szCs w:val="18"/>
              </w:rPr>
              <w:t xml:space="preserve">5 </w:t>
            </w:r>
            <w:r w:rsidR="00D40F22" w:rsidRPr="00DC324F">
              <w:rPr>
                <w:b/>
                <w:sz w:val="22"/>
                <w:szCs w:val="18"/>
              </w:rPr>
              <w:t xml:space="preserve">at its meeting </w:t>
            </w:r>
            <w:r w:rsidR="005638D8" w:rsidRPr="00DC324F">
              <w:rPr>
                <w:b/>
                <w:sz w:val="22"/>
                <w:szCs w:val="18"/>
              </w:rPr>
              <w:t>from</w:t>
            </w:r>
            <w:r w:rsidR="00D40F22" w:rsidRPr="00DC324F">
              <w:rPr>
                <w:b/>
                <w:sz w:val="22"/>
                <w:szCs w:val="18"/>
              </w:rPr>
              <w:t xml:space="preserve"> </w:t>
            </w:r>
            <w:r w:rsidRPr="003D69F9">
              <w:rPr>
                <w:b/>
                <w:bCs/>
                <w:sz w:val="22"/>
                <w:szCs w:val="22"/>
              </w:rPr>
              <w:t>17 – 27 October 2022, Rome (Italy).</w:t>
            </w:r>
          </w:p>
        </w:tc>
      </w:tr>
      <w:tr w:rsidR="00EB12C2" w:rsidRPr="00DC324F" w14:paraId="285780ED" w14:textId="77777777" w:rsidTr="00CE43D2">
        <w:trPr>
          <w:cantSplit/>
          <w:trHeight w:val="854"/>
        </w:trPr>
        <w:tc>
          <w:tcPr>
            <w:tcW w:w="9923" w:type="dxa"/>
            <w:gridSpan w:val="5"/>
          </w:tcPr>
          <w:p w14:paraId="270FAB52" w14:textId="77777777" w:rsidR="00EB12C2" w:rsidRPr="00DC324F" w:rsidRDefault="00EB12C2" w:rsidP="00EB12C2">
            <w:pPr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Dear Sir/Madam,</w:t>
            </w:r>
          </w:p>
          <w:p w14:paraId="1F2C20FD" w14:textId="44C0BC94" w:rsidR="00EB12C2" w:rsidRPr="00DC324F" w:rsidRDefault="00EB12C2" w:rsidP="00EB12C2">
            <w:pPr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1</w:t>
            </w:r>
            <w:r w:rsidRPr="00DC324F">
              <w:rPr>
                <w:sz w:val="22"/>
                <w:szCs w:val="18"/>
              </w:rPr>
              <w:tab/>
              <w:t xml:space="preserve">At the request of the Chairman of Study Group </w:t>
            </w:r>
            <w:r w:rsidR="003D69F9">
              <w:rPr>
                <w:sz w:val="22"/>
                <w:szCs w:val="18"/>
              </w:rPr>
              <w:t>5</w:t>
            </w:r>
            <w:r w:rsidRPr="00DC324F">
              <w:rPr>
                <w:sz w:val="22"/>
                <w:szCs w:val="18"/>
              </w:rPr>
              <w:t xml:space="preserve"> </w:t>
            </w:r>
            <w:r w:rsidR="003D69F9" w:rsidRPr="003D69F9">
              <w:rPr>
                <w:sz w:val="22"/>
                <w:szCs w:val="18"/>
              </w:rPr>
              <w:t>(Electromagnetic fields (EMF), environment, climate action, sustainable digitalization, and circular economy)</w:t>
            </w:r>
            <w:r w:rsidRPr="00DC324F">
              <w:rPr>
                <w:sz w:val="22"/>
                <w:szCs w:val="18"/>
              </w:rPr>
              <w:t xml:space="preserve">, I have the honour to inform you that this study group, in its meeting from </w:t>
            </w:r>
            <w:r w:rsidR="003D69F9" w:rsidRPr="003D69F9">
              <w:rPr>
                <w:sz w:val="22"/>
                <w:szCs w:val="18"/>
              </w:rPr>
              <w:t xml:space="preserve">17 – 27 October 2022, </w:t>
            </w:r>
            <w:r w:rsidR="003D69F9">
              <w:rPr>
                <w:sz w:val="22"/>
                <w:szCs w:val="18"/>
              </w:rPr>
              <w:t xml:space="preserve">in </w:t>
            </w:r>
            <w:r w:rsidR="003D69F9" w:rsidRPr="003D69F9">
              <w:rPr>
                <w:sz w:val="22"/>
                <w:szCs w:val="18"/>
              </w:rPr>
              <w:t>Rome (Italy)</w:t>
            </w:r>
            <w:r w:rsidRPr="00DC324F">
              <w:rPr>
                <w:sz w:val="22"/>
                <w:szCs w:val="18"/>
              </w:rPr>
              <w:t>, agreed to initiate the deletion of the above mentioned ITU-T Recommendations, in accordance with the provisions of Resolution 1, Section 9, §</w:t>
            </w:r>
            <w:r w:rsidR="00FF4926">
              <w:rPr>
                <w:sz w:val="22"/>
                <w:szCs w:val="18"/>
              </w:rPr>
              <w:t> </w:t>
            </w:r>
            <w:r w:rsidRPr="00DC324F">
              <w:rPr>
                <w:sz w:val="22"/>
                <w:szCs w:val="18"/>
              </w:rPr>
              <w:t>9.8.2, of WTSA (Rev. Geneva, 2022). There was no opposition to this advice from the Member States or Sector Members who participated in the meeting.</w:t>
            </w:r>
          </w:p>
          <w:p w14:paraId="7AFA4639" w14:textId="38DB0FC1" w:rsidR="00EB12C2" w:rsidRPr="00DC324F" w:rsidRDefault="00EB12C2" w:rsidP="00EB12C2">
            <w:pPr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2</w:t>
            </w:r>
            <w:r w:rsidRPr="00DC324F">
              <w:rPr>
                <w:sz w:val="22"/>
                <w:szCs w:val="18"/>
              </w:rPr>
              <w:tab/>
            </w:r>
            <w:r w:rsidRPr="00DC324F">
              <w:rPr>
                <w:b/>
                <w:sz w:val="22"/>
                <w:szCs w:val="18"/>
              </w:rPr>
              <w:t>Annex 1</w:t>
            </w:r>
            <w:r w:rsidRPr="00DC324F">
              <w:rPr>
                <w:sz w:val="22"/>
                <w:szCs w:val="18"/>
              </w:rPr>
              <w:t xml:space="preserve"> gives information about this agreement, including an explanatory summary about the reasons for the deletion.</w:t>
            </w:r>
          </w:p>
          <w:p w14:paraId="6E650160" w14:textId="5219FCCE" w:rsidR="00EB12C2" w:rsidRPr="00DC324F" w:rsidRDefault="00EB12C2" w:rsidP="00EB12C2">
            <w:pPr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3</w:t>
            </w:r>
            <w:r w:rsidRPr="00DC324F">
              <w:rPr>
                <w:sz w:val="22"/>
                <w:szCs w:val="18"/>
              </w:rPr>
              <w:tab/>
            </w:r>
            <w:bookmarkStart w:id="0" w:name="_Hlk118447017"/>
            <w:r w:rsidRPr="00DC324F">
              <w:rPr>
                <w:sz w:val="22"/>
                <w:szCs w:val="18"/>
              </w:rPr>
              <w:t>Having regard to the provisions of Resolution 1, Section 9, I should be grateful if you would inform me by 2400 hours UTC</w:t>
            </w:r>
            <w:r w:rsidRPr="00DC324F">
              <w:rPr>
                <w:b/>
                <w:sz w:val="22"/>
                <w:szCs w:val="18"/>
              </w:rPr>
              <w:t xml:space="preserve"> </w:t>
            </w:r>
            <w:r w:rsidRPr="00DC324F">
              <w:rPr>
                <w:bCs/>
                <w:sz w:val="22"/>
                <w:szCs w:val="18"/>
              </w:rPr>
              <w:t>on</w:t>
            </w:r>
            <w:r w:rsidRPr="00DC324F">
              <w:rPr>
                <w:b/>
                <w:sz w:val="22"/>
                <w:szCs w:val="18"/>
              </w:rPr>
              <w:t xml:space="preserve"> </w:t>
            </w:r>
            <w:r w:rsidR="00813A19">
              <w:rPr>
                <w:b/>
                <w:sz w:val="22"/>
                <w:szCs w:val="18"/>
              </w:rPr>
              <w:t>4 February</w:t>
            </w:r>
            <w:r w:rsidRPr="00DC324F">
              <w:rPr>
                <w:b/>
                <w:sz w:val="22"/>
                <w:szCs w:val="18"/>
              </w:rPr>
              <w:t xml:space="preserve"> 202</w:t>
            </w:r>
            <w:r w:rsidR="00813A19">
              <w:rPr>
                <w:b/>
                <w:sz w:val="22"/>
                <w:szCs w:val="18"/>
              </w:rPr>
              <w:t>3</w:t>
            </w:r>
            <w:r w:rsidRPr="00DC324F">
              <w:rPr>
                <w:b/>
                <w:sz w:val="22"/>
                <w:szCs w:val="18"/>
              </w:rPr>
              <w:t xml:space="preserve"> </w:t>
            </w:r>
            <w:r w:rsidRPr="00DC324F">
              <w:rPr>
                <w:sz w:val="22"/>
                <w:szCs w:val="18"/>
              </w:rPr>
              <w:t>whether your Administration/organization approves or rejects this deletion.</w:t>
            </w:r>
            <w:bookmarkEnd w:id="0"/>
          </w:p>
          <w:p w14:paraId="33F2A5B4" w14:textId="1F249252" w:rsidR="00EB12C2" w:rsidRPr="00DC324F" w:rsidRDefault="00EB12C2" w:rsidP="00EB12C2">
            <w:pPr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ab/>
            </w:r>
            <w:r w:rsidRPr="00D7458F">
              <w:rPr>
                <w:sz w:val="22"/>
                <w:szCs w:val="18"/>
              </w:rPr>
              <w:t xml:space="preserve">Should any Member States or Sector Members </w:t>
            </w:r>
            <w:proofErr w:type="gramStart"/>
            <w:r w:rsidRPr="00D7458F">
              <w:rPr>
                <w:sz w:val="22"/>
                <w:szCs w:val="18"/>
              </w:rPr>
              <w:t>be of the opinion that</w:t>
            </w:r>
            <w:proofErr w:type="gramEnd"/>
            <w:r w:rsidRPr="00D7458F">
              <w:rPr>
                <w:sz w:val="22"/>
                <w:szCs w:val="18"/>
              </w:rPr>
              <w:t xml:space="preserve"> deletion should not be accepted, they should advise their reasons for disapproving and the matter would be referred back to the study group.</w:t>
            </w:r>
          </w:p>
          <w:p w14:paraId="7ECBBE88" w14:textId="7C590589" w:rsidR="00EB12C2" w:rsidRPr="00DC324F" w:rsidRDefault="00EB12C2" w:rsidP="00EB12C2">
            <w:pPr>
              <w:tabs>
                <w:tab w:val="left" w:pos="1296"/>
                <w:tab w:val="left" w:pos="2160"/>
                <w:tab w:val="left" w:pos="3024"/>
                <w:tab w:val="left" w:pos="7056"/>
                <w:tab w:val="left" w:pos="8496"/>
              </w:tabs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4</w:t>
            </w:r>
            <w:r w:rsidRPr="00DC324F">
              <w:rPr>
                <w:sz w:val="22"/>
                <w:szCs w:val="18"/>
              </w:rPr>
              <w:tab/>
              <w:t>After the above-mentioned deadline,</w:t>
            </w:r>
            <w:r w:rsidR="00813A19">
              <w:rPr>
                <w:sz w:val="22"/>
                <w:szCs w:val="18"/>
              </w:rPr>
              <w:t xml:space="preserve"> </w:t>
            </w:r>
            <w:r w:rsidR="00813A19" w:rsidRPr="00813A19">
              <w:rPr>
                <w:b/>
                <w:bCs/>
                <w:sz w:val="22"/>
                <w:szCs w:val="18"/>
              </w:rPr>
              <w:t xml:space="preserve">4 February </w:t>
            </w:r>
            <w:r w:rsidRPr="00813A19">
              <w:rPr>
                <w:b/>
                <w:bCs/>
                <w:sz w:val="22"/>
                <w:szCs w:val="18"/>
              </w:rPr>
              <w:t>202</w:t>
            </w:r>
            <w:r w:rsidR="00813A19" w:rsidRPr="00813A19">
              <w:rPr>
                <w:b/>
                <w:bCs/>
                <w:sz w:val="22"/>
                <w:szCs w:val="18"/>
              </w:rPr>
              <w:t>3</w:t>
            </w:r>
            <w:r w:rsidRPr="00DC324F">
              <w:rPr>
                <w:bCs/>
                <w:sz w:val="22"/>
                <w:szCs w:val="18"/>
              </w:rPr>
              <w:t>,</w:t>
            </w:r>
            <w:r w:rsidRPr="00DC324F">
              <w:rPr>
                <w:sz w:val="22"/>
                <w:szCs w:val="18"/>
              </w:rPr>
              <w:t xml:space="preserve"> the Director of TSB will notify, in a Circular, the result of the consultation. This information will also be published in the ITU Operational Bulletin.</w:t>
            </w:r>
          </w:p>
          <w:p w14:paraId="471F8DA1" w14:textId="135F34A5" w:rsidR="00813A19" w:rsidRDefault="00EB12C2" w:rsidP="00FF4926">
            <w:pPr>
              <w:keepNext/>
              <w:keepLines/>
              <w:spacing w:before="240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Yours faithfully,</w:t>
            </w:r>
          </w:p>
          <w:p w14:paraId="25CEBEA9" w14:textId="4673510B" w:rsidR="00EB12C2" w:rsidRPr="00DC324F" w:rsidRDefault="003C42CF" w:rsidP="00FF4926">
            <w:pPr>
              <w:keepNext/>
              <w:keepLines/>
              <w:spacing w:before="960"/>
              <w:rPr>
                <w:sz w:val="22"/>
                <w:szCs w:val="18"/>
              </w:rPr>
            </w:pPr>
            <w:r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61417093" wp14:editId="56235CF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186690</wp:posOffset>
                  </wp:positionV>
                  <wp:extent cx="699018" cy="295275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018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3A19">
              <w:rPr>
                <w:sz w:val="22"/>
                <w:szCs w:val="18"/>
              </w:rPr>
              <w:t>Chaesub Lee</w:t>
            </w:r>
            <w:r w:rsidR="00813A19">
              <w:rPr>
                <w:sz w:val="22"/>
                <w:szCs w:val="18"/>
              </w:rPr>
              <w:br/>
            </w:r>
            <w:r w:rsidR="00EB12C2" w:rsidRPr="00DC324F">
              <w:rPr>
                <w:sz w:val="22"/>
                <w:szCs w:val="18"/>
              </w:rPr>
              <w:t>Director of the Telecommunication</w:t>
            </w:r>
            <w:r w:rsidR="00EB12C2" w:rsidRPr="00DC324F">
              <w:rPr>
                <w:sz w:val="22"/>
                <w:szCs w:val="18"/>
              </w:rPr>
              <w:br/>
              <w:t>Standardization Bureau</w:t>
            </w:r>
          </w:p>
          <w:p w14:paraId="21B142AC" w14:textId="16E8C502" w:rsidR="00EB12C2" w:rsidRPr="00DC324F" w:rsidRDefault="00EB12C2" w:rsidP="00EB12C2">
            <w:pPr>
              <w:spacing w:before="360"/>
              <w:rPr>
                <w:b/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Annex</w:t>
            </w:r>
            <w:r w:rsidRPr="00DC324F">
              <w:rPr>
                <w:sz w:val="22"/>
                <w:szCs w:val="18"/>
              </w:rPr>
              <w:t>: 1</w:t>
            </w:r>
          </w:p>
        </w:tc>
      </w:tr>
    </w:tbl>
    <w:p w14:paraId="0EE3A17F" w14:textId="1EB82B70" w:rsidR="00315F99" w:rsidRPr="00DC324F" w:rsidRDefault="002C29D2" w:rsidP="00092594">
      <w:pPr>
        <w:jc w:val="center"/>
        <w:rPr>
          <w:lang w:eastAsia="ja-JP"/>
        </w:rPr>
      </w:pPr>
      <w:r w:rsidRPr="00DC324F">
        <w:br w:type="page"/>
      </w:r>
      <w:r w:rsidR="005638D8" w:rsidRPr="00DC324F">
        <w:rPr>
          <w:b/>
          <w:bCs/>
          <w:sz w:val="28"/>
          <w:szCs w:val="22"/>
          <w:lang w:val="en-US"/>
        </w:rPr>
        <w:lastRenderedPageBreak/>
        <w:t>A</w:t>
      </w:r>
      <w:r w:rsidR="00092594" w:rsidRPr="00DC324F">
        <w:rPr>
          <w:b/>
          <w:bCs/>
          <w:sz w:val="28"/>
          <w:szCs w:val="22"/>
          <w:lang w:val="en-US"/>
        </w:rPr>
        <w:t>nnex</w:t>
      </w:r>
      <w:r w:rsidR="005638D8" w:rsidRPr="00DC324F">
        <w:rPr>
          <w:b/>
          <w:bCs/>
          <w:sz w:val="28"/>
          <w:szCs w:val="22"/>
          <w:lang w:val="en-US"/>
        </w:rPr>
        <w:t xml:space="preserve"> 1</w:t>
      </w:r>
      <w:r w:rsidR="00092594" w:rsidRPr="00DC324F">
        <w:rPr>
          <w:b/>
          <w:bCs/>
          <w:sz w:val="28"/>
          <w:szCs w:val="22"/>
          <w:lang w:val="en-US"/>
        </w:rPr>
        <w:br/>
      </w:r>
      <w:r w:rsidR="005F755F" w:rsidRPr="00DC324F">
        <w:rPr>
          <w:b/>
          <w:bCs/>
          <w:sz w:val="28"/>
          <w:szCs w:val="22"/>
          <w:lang w:val="en-US"/>
        </w:rPr>
        <w:t>Recommendation</w:t>
      </w:r>
      <w:r w:rsidR="00092594" w:rsidRPr="00DC324F">
        <w:rPr>
          <w:b/>
          <w:bCs/>
          <w:sz w:val="28"/>
          <w:szCs w:val="22"/>
          <w:lang w:val="en-US"/>
        </w:rPr>
        <w:t>s</w:t>
      </w:r>
      <w:r w:rsidR="005F755F" w:rsidRPr="00DC324F">
        <w:rPr>
          <w:b/>
          <w:bCs/>
          <w:sz w:val="28"/>
          <w:szCs w:val="22"/>
          <w:lang w:val="en-US"/>
        </w:rPr>
        <w:t xml:space="preserve"> proposed for deletion: </w:t>
      </w:r>
      <w:r w:rsidR="00813A19">
        <w:rPr>
          <w:b/>
          <w:bCs/>
          <w:sz w:val="28"/>
          <w:szCs w:val="22"/>
          <w:lang w:val="en-US"/>
        </w:rPr>
        <w:t xml:space="preserve">ITU-T </w:t>
      </w:r>
      <w:r w:rsidR="003D69F9" w:rsidRPr="003D69F9">
        <w:rPr>
          <w:b/>
          <w:bCs/>
          <w:sz w:val="28"/>
          <w:szCs w:val="22"/>
          <w:lang w:val="en-US"/>
        </w:rPr>
        <w:t>K.43; K.48 and K.88</w:t>
      </w:r>
    </w:p>
    <w:p w14:paraId="0866E206" w14:textId="2DA3D1C3" w:rsidR="003D69F9" w:rsidRDefault="007D62C6" w:rsidP="003D69F9">
      <w:pPr>
        <w:spacing w:before="240"/>
        <w:rPr>
          <w:b/>
          <w:sz w:val="22"/>
          <w:szCs w:val="18"/>
        </w:rPr>
      </w:pPr>
      <w:r w:rsidRPr="00DC324F">
        <w:rPr>
          <w:b/>
          <w:bCs/>
          <w:lang w:eastAsia="ja-JP"/>
        </w:rPr>
        <w:t xml:space="preserve">Recommendation ITU-T </w:t>
      </w:r>
      <w:r w:rsidR="003D69F9" w:rsidRPr="003D69F9">
        <w:rPr>
          <w:b/>
          <w:bCs/>
          <w:lang w:eastAsia="ja-JP"/>
        </w:rPr>
        <w:t>K.43, Immunity requirements for telecommunication network equipment</w:t>
      </w:r>
    </w:p>
    <w:p w14:paraId="3D371496" w14:textId="02B2DB13" w:rsidR="00092594" w:rsidRPr="00DC324F" w:rsidRDefault="00092594" w:rsidP="003D69F9">
      <w:pPr>
        <w:spacing w:before="240"/>
        <w:rPr>
          <w:b/>
          <w:bCs/>
          <w:lang w:val="en-US" w:eastAsia="ja-JP"/>
        </w:rPr>
      </w:pPr>
      <w:r w:rsidRPr="00DC324F">
        <w:rPr>
          <w:b/>
          <w:bCs/>
          <w:lang w:eastAsia="ja-JP"/>
        </w:rPr>
        <w:t>Approval date:</w:t>
      </w:r>
      <w:r w:rsidRPr="00DC324F">
        <w:rPr>
          <w:b/>
          <w:bCs/>
          <w:lang w:eastAsia="ja-JP"/>
        </w:rPr>
        <w:tab/>
      </w:r>
      <w:r w:rsidR="003E28E2">
        <w:rPr>
          <w:b/>
          <w:bCs/>
          <w:lang w:eastAsia="ja-JP"/>
        </w:rPr>
        <w:t>Ju</w:t>
      </w:r>
      <w:r w:rsidR="003D69F9">
        <w:rPr>
          <w:b/>
          <w:bCs/>
          <w:lang w:eastAsia="ja-JP"/>
        </w:rPr>
        <w:t>ly</w:t>
      </w:r>
      <w:r w:rsidRPr="00DC324F">
        <w:rPr>
          <w:b/>
          <w:bCs/>
          <w:lang w:eastAsia="ja-JP"/>
        </w:rPr>
        <w:t xml:space="preserve"> 200</w:t>
      </w:r>
      <w:r w:rsidR="003D69F9">
        <w:rPr>
          <w:b/>
          <w:bCs/>
          <w:lang w:eastAsia="ja-JP"/>
        </w:rPr>
        <w:t>9</w:t>
      </w:r>
    </w:p>
    <w:p w14:paraId="051D8B73" w14:textId="19436B81" w:rsidR="00092594" w:rsidRPr="00DC324F" w:rsidRDefault="00A40DF1" w:rsidP="00092594">
      <w:pPr>
        <w:rPr>
          <w:i/>
          <w:iCs/>
        </w:rPr>
      </w:pPr>
      <w:r>
        <w:rPr>
          <w:i/>
          <w:iCs/>
        </w:rPr>
        <w:t>Scope</w:t>
      </w:r>
      <w:r w:rsidR="00092594" w:rsidRPr="00DC324F">
        <w:rPr>
          <w:i/>
          <w:iCs/>
        </w:rPr>
        <w:t>:</w:t>
      </w:r>
      <w:r w:rsidR="00092594" w:rsidRPr="00DC324F">
        <w:rPr>
          <w:i/>
          <w:iCs/>
        </w:rPr>
        <w:tab/>
      </w:r>
    </w:p>
    <w:p w14:paraId="427C57A8" w14:textId="77777777" w:rsidR="003D69F9" w:rsidRDefault="003D69F9" w:rsidP="003D69F9">
      <w:pPr>
        <w:spacing w:before="0"/>
      </w:pPr>
      <w:r>
        <w:t>This Recommendation specifies the immunity requirements for equipment used within the public</w:t>
      </w:r>
    </w:p>
    <w:p w14:paraId="373BA8EA" w14:textId="77777777" w:rsidR="003D69F9" w:rsidRDefault="003D69F9" w:rsidP="003D69F9">
      <w:pPr>
        <w:spacing w:before="0"/>
      </w:pPr>
      <w:r>
        <w:t>telecommunication networks and for terminal equipment connected to such networks. This</w:t>
      </w:r>
    </w:p>
    <w:p w14:paraId="06CBED88" w14:textId="77777777" w:rsidR="003D69F9" w:rsidRDefault="003D69F9" w:rsidP="003D69F9">
      <w:pPr>
        <w:spacing w:before="0"/>
      </w:pPr>
      <w:r>
        <w:t>Recommendation is a product family Recommendation.</w:t>
      </w:r>
    </w:p>
    <w:p w14:paraId="586429AF" w14:textId="77777777" w:rsidR="003D69F9" w:rsidRDefault="003D69F9" w:rsidP="003D69F9">
      <w:pPr>
        <w:spacing w:before="0"/>
      </w:pPr>
      <w:r>
        <w:t xml:space="preserve">This Recommendation gives the minimum test levels applicable </w:t>
      </w:r>
      <w:proofErr w:type="gramStart"/>
      <w:r>
        <w:t>in a given</w:t>
      </w:r>
      <w:proofErr w:type="gramEnd"/>
      <w:r>
        <w:t xml:space="preserve"> environment. The</w:t>
      </w:r>
    </w:p>
    <w:p w14:paraId="15A01005" w14:textId="77777777" w:rsidR="003D69F9" w:rsidRDefault="003D69F9" w:rsidP="003D69F9">
      <w:pPr>
        <w:spacing w:before="0"/>
      </w:pPr>
      <w:r>
        <w:t>requirements given in specific product family Recommendations supersede those given in this</w:t>
      </w:r>
    </w:p>
    <w:p w14:paraId="38934371" w14:textId="77777777" w:rsidR="003D69F9" w:rsidRDefault="003D69F9" w:rsidP="003D69F9">
      <w:pPr>
        <w:spacing w:before="0"/>
      </w:pPr>
      <w:r>
        <w:t>Recommendation.</w:t>
      </w:r>
    </w:p>
    <w:p w14:paraId="048F25AA" w14:textId="77777777" w:rsidR="003D69F9" w:rsidRDefault="003D69F9" w:rsidP="003D69F9">
      <w:pPr>
        <w:spacing w:before="0"/>
      </w:pPr>
      <w:r>
        <w:t>This Recommendation is applicable to all equipment types:</w:t>
      </w:r>
    </w:p>
    <w:p w14:paraId="02A4958C" w14:textId="4C2EFCA7" w:rsidR="003D69F9" w:rsidRDefault="003D69F9" w:rsidP="003D69F9">
      <w:pPr>
        <w:spacing w:before="0"/>
      </w:pPr>
      <w:r>
        <w:t xml:space="preserve">– </w:t>
      </w:r>
      <w:r w:rsidR="00584D31">
        <w:tab/>
      </w:r>
      <w:r>
        <w:t>equipment in the telecommunication networks, including switching equipment,</w:t>
      </w:r>
    </w:p>
    <w:p w14:paraId="7F09C478" w14:textId="77777777" w:rsidR="003D69F9" w:rsidRDefault="003D69F9" w:rsidP="003D69F9">
      <w:pPr>
        <w:spacing w:before="0"/>
      </w:pPr>
      <w:r>
        <w:t>transmission equipment, radio equipment, power supply equipment, supervisory equipment</w:t>
      </w:r>
    </w:p>
    <w:p w14:paraId="34C31AAB" w14:textId="77777777" w:rsidR="003D69F9" w:rsidRDefault="003D69F9" w:rsidP="003D69F9">
      <w:pPr>
        <w:spacing w:before="0"/>
      </w:pPr>
      <w:r>
        <w:t xml:space="preserve">and control </w:t>
      </w:r>
      <w:proofErr w:type="gramStart"/>
      <w:r>
        <w:t>equipment;</w:t>
      </w:r>
      <w:proofErr w:type="gramEnd"/>
    </w:p>
    <w:p w14:paraId="3BE2F241" w14:textId="419F64CA" w:rsidR="003D69F9" w:rsidRDefault="003D69F9" w:rsidP="003D69F9">
      <w:pPr>
        <w:spacing w:before="0"/>
      </w:pPr>
      <w:r>
        <w:t xml:space="preserve">– </w:t>
      </w:r>
      <w:r w:rsidR="00584D31">
        <w:tab/>
      </w:r>
      <w:r>
        <w:t>terminal equipment connected to telecommunication networks, including telephone set,</w:t>
      </w:r>
    </w:p>
    <w:p w14:paraId="0C74832E" w14:textId="77777777" w:rsidR="003D69F9" w:rsidRDefault="003D69F9" w:rsidP="003D69F9">
      <w:pPr>
        <w:spacing w:before="0"/>
      </w:pPr>
      <w:r>
        <w:t xml:space="preserve">facsimile and </w:t>
      </w:r>
      <w:proofErr w:type="gramStart"/>
      <w:r>
        <w:t>PBX;</w:t>
      </w:r>
      <w:proofErr w:type="gramEnd"/>
    </w:p>
    <w:p w14:paraId="6CD92DD6" w14:textId="1AEA7639" w:rsidR="003D69F9" w:rsidRDefault="003D69F9" w:rsidP="003D69F9">
      <w:pPr>
        <w:spacing w:before="0"/>
      </w:pPr>
      <w:r>
        <w:t xml:space="preserve">– </w:t>
      </w:r>
      <w:r w:rsidR="00584D31">
        <w:tab/>
      </w:r>
      <w:r>
        <w:t>terminal equipment that uses the LV AC network for telecommunications (i.e., PLT</w:t>
      </w:r>
    </w:p>
    <w:p w14:paraId="62C0586F" w14:textId="2FC61E35" w:rsidR="003D69F9" w:rsidRDefault="003D69F9" w:rsidP="003D69F9">
      <w:pPr>
        <w:spacing w:before="0"/>
      </w:pPr>
      <w:r>
        <w:t>devices).</w:t>
      </w:r>
    </w:p>
    <w:p w14:paraId="080D9788" w14:textId="2EAD8BD3" w:rsidR="003D69F9" w:rsidRDefault="003D69F9" w:rsidP="00C64455">
      <w:r>
        <w:t>This Recommendation includes immunity requirements in the frequency range:</w:t>
      </w:r>
    </w:p>
    <w:p w14:paraId="0C7B03E4" w14:textId="7CC3E185" w:rsidR="003D69F9" w:rsidRDefault="003D69F9" w:rsidP="00C64455">
      <w:pPr>
        <w:pStyle w:val="ListParagraph"/>
        <w:numPr>
          <w:ilvl w:val="0"/>
          <w:numId w:val="11"/>
        </w:numPr>
        <w:ind w:left="714" w:hanging="357"/>
      </w:pPr>
      <w:r>
        <w:t xml:space="preserve">150 kHz-80 MHz for conducted </w:t>
      </w:r>
      <w:proofErr w:type="gramStart"/>
      <w:r>
        <w:t>immunity;</w:t>
      </w:r>
      <w:proofErr w:type="gramEnd"/>
    </w:p>
    <w:p w14:paraId="6651003E" w14:textId="7B0E7A74" w:rsidR="003D69F9" w:rsidRDefault="003D69F9" w:rsidP="00584D31">
      <w:pPr>
        <w:pStyle w:val="ListParagraph"/>
        <w:numPr>
          <w:ilvl w:val="0"/>
          <w:numId w:val="11"/>
        </w:numPr>
        <w:spacing w:before="0"/>
      </w:pPr>
      <w:r>
        <w:t>80-2700 MHz for radiated immunity.</w:t>
      </w:r>
    </w:p>
    <w:p w14:paraId="0D16DDE6" w14:textId="77777777" w:rsidR="00584D31" w:rsidRDefault="003D69F9" w:rsidP="00C64455">
      <w:r>
        <w:t>Other frequency ranges are covered by other K</w:t>
      </w:r>
      <w:r w:rsidR="00584D31">
        <w:t xml:space="preserve"> series of ITU-T Recommendations,</w:t>
      </w:r>
    </w:p>
    <w:p w14:paraId="4E36B3BA" w14:textId="414B68A4" w:rsidR="003D69F9" w:rsidRDefault="00584D31" w:rsidP="00584D31">
      <w:pPr>
        <w:spacing w:before="0"/>
      </w:pPr>
      <w:r>
        <w:t>e.g., [b-ITU-T K.76] for the 9-150 kHz frequency range.</w:t>
      </w:r>
    </w:p>
    <w:p w14:paraId="46AB9989" w14:textId="22ACA94E" w:rsidR="007D62C6" w:rsidRPr="00DC324F" w:rsidRDefault="00092594" w:rsidP="003D69F9">
      <w:pPr>
        <w:spacing w:before="240"/>
        <w:rPr>
          <w:b/>
          <w:bCs/>
          <w:lang w:eastAsia="ja-JP"/>
        </w:rPr>
      </w:pPr>
      <w:r w:rsidRPr="00DC324F">
        <w:rPr>
          <w:b/>
          <w:bCs/>
          <w:lang w:eastAsia="ja-JP"/>
        </w:rPr>
        <w:t xml:space="preserve">Recommendation ITU-T </w:t>
      </w:r>
      <w:r w:rsidR="003D69F9">
        <w:rPr>
          <w:b/>
          <w:bCs/>
          <w:lang w:eastAsia="ja-JP"/>
        </w:rPr>
        <w:t>K</w:t>
      </w:r>
      <w:r w:rsidR="00813A19">
        <w:rPr>
          <w:b/>
          <w:bCs/>
          <w:lang w:eastAsia="ja-JP"/>
        </w:rPr>
        <w:t>.</w:t>
      </w:r>
      <w:r w:rsidR="003D69F9">
        <w:rPr>
          <w:b/>
          <w:bCs/>
          <w:lang w:eastAsia="ja-JP"/>
        </w:rPr>
        <w:t>48</w:t>
      </w:r>
      <w:r w:rsidR="00813A19">
        <w:rPr>
          <w:b/>
          <w:bCs/>
          <w:lang w:eastAsia="ja-JP"/>
        </w:rPr>
        <w:t>,</w:t>
      </w:r>
      <w:r w:rsidR="003D69F9">
        <w:rPr>
          <w:b/>
          <w:bCs/>
          <w:lang w:eastAsia="ja-JP"/>
        </w:rPr>
        <w:t xml:space="preserve"> </w:t>
      </w:r>
      <w:r w:rsidR="00584D31" w:rsidRPr="00584D31">
        <w:rPr>
          <w:b/>
          <w:bCs/>
          <w:lang w:eastAsia="ja-JP"/>
        </w:rPr>
        <w:t>EMC requirements for telecommunication equipment – Product family Recommendation</w:t>
      </w:r>
    </w:p>
    <w:p w14:paraId="6ED72B9F" w14:textId="3CBFF053" w:rsidR="00092594" w:rsidRPr="00DC324F" w:rsidRDefault="00092594" w:rsidP="00092594">
      <w:pPr>
        <w:rPr>
          <w:b/>
          <w:bCs/>
          <w:lang w:val="en-US" w:eastAsia="ja-JP"/>
        </w:rPr>
      </w:pPr>
      <w:r w:rsidRPr="00DC324F">
        <w:rPr>
          <w:b/>
          <w:bCs/>
          <w:lang w:eastAsia="ja-JP"/>
        </w:rPr>
        <w:t>Approval date:</w:t>
      </w:r>
      <w:r w:rsidRPr="00DC324F">
        <w:rPr>
          <w:b/>
          <w:bCs/>
          <w:lang w:eastAsia="ja-JP"/>
        </w:rPr>
        <w:tab/>
      </w:r>
      <w:r w:rsidR="00584D31">
        <w:rPr>
          <w:b/>
          <w:bCs/>
          <w:lang w:eastAsia="ja-JP"/>
        </w:rPr>
        <w:t>September</w:t>
      </w:r>
      <w:r w:rsidRPr="00DC324F">
        <w:rPr>
          <w:b/>
          <w:bCs/>
          <w:lang w:eastAsia="ja-JP"/>
        </w:rPr>
        <w:t xml:space="preserve"> 200</w:t>
      </w:r>
      <w:r w:rsidR="00584D31">
        <w:rPr>
          <w:b/>
          <w:bCs/>
          <w:lang w:eastAsia="ja-JP"/>
        </w:rPr>
        <w:t>6</w:t>
      </w:r>
    </w:p>
    <w:p w14:paraId="2914C4EB" w14:textId="1CD344B0" w:rsidR="00584D31" w:rsidRPr="00DC324F" w:rsidRDefault="00A56896" w:rsidP="00092594">
      <w:pPr>
        <w:rPr>
          <w:i/>
          <w:iCs/>
        </w:rPr>
      </w:pPr>
      <w:r>
        <w:rPr>
          <w:i/>
          <w:iCs/>
        </w:rPr>
        <w:t>Scope</w:t>
      </w:r>
      <w:r w:rsidR="00092594" w:rsidRPr="00DC324F">
        <w:rPr>
          <w:i/>
          <w:iCs/>
        </w:rPr>
        <w:t>:</w:t>
      </w:r>
      <w:r w:rsidR="00092594" w:rsidRPr="00DC324F">
        <w:rPr>
          <w:i/>
          <w:iCs/>
        </w:rPr>
        <w:tab/>
      </w:r>
    </w:p>
    <w:p w14:paraId="34E92BEC" w14:textId="77777777" w:rsidR="00584D31" w:rsidRDefault="00584D31" w:rsidP="00584D31">
      <w:pPr>
        <w:spacing w:before="0"/>
      </w:pPr>
      <w:r>
        <w:t>This Recommendation specifies the emission and immunity requirements for switching,</w:t>
      </w:r>
    </w:p>
    <w:p w14:paraId="7046D1A0" w14:textId="77777777" w:rsidR="00584D31" w:rsidRDefault="00584D31" w:rsidP="00584D31">
      <w:pPr>
        <w:spacing w:before="0"/>
      </w:pPr>
      <w:r>
        <w:t>transmission, power, digital mobile base station, wireless LAN, digital radio relay system, digital</w:t>
      </w:r>
    </w:p>
    <w:p w14:paraId="67E4DF9C" w14:textId="77777777" w:rsidR="00584D31" w:rsidRDefault="00584D31" w:rsidP="00584D31">
      <w:pPr>
        <w:spacing w:before="0"/>
      </w:pPr>
      <w:r>
        <w:t>subscriber line (</w:t>
      </w:r>
      <w:proofErr w:type="spellStart"/>
      <w:r>
        <w:t>xDSL</w:t>
      </w:r>
      <w:proofErr w:type="spellEnd"/>
      <w:r>
        <w:t>) and supervisory equipment. It also describes operational conditions for</w:t>
      </w:r>
    </w:p>
    <w:p w14:paraId="52634082" w14:textId="77777777" w:rsidR="00584D31" w:rsidRDefault="00584D31" w:rsidP="00584D31">
      <w:pPr>
        <w:spacing w:before="0"/>
      </w:pPr>
      <w:r>
        <w:t>emission and immunity testing. Performance criteria for immunity tests are also specified. The</w:t>
      </w:r>
    </w:p>
    <w:p w14:paraId="44AE9717" w14:textId="77777777" w:rsidR="00584D31" w:rsidRDefault="00584D31" w:rsidP="00584D31">
      <w:pPr>
        <w:spacing w:before="0"/>
      </w:pPr>
      <w:r>
        <w:t>general operational condition and performance criteria are recommended in ITU-T Rec. K.43. This</w:t>
      </w:r>
    </w:p>
    <w:p w14:paraId="78E71B5A" w14:textId="77777777" w:rsidR="00584D31" w:rsidRDefault="00584D31" w:rsidP="00584D31">
      <w:pPr>
        <w:spacing w:before="0"/>
      </w:pPr>
      <w:r>
        <w:t>Recommendation describes the specific testing conditions to be applied to telecommunication</w:t>
      </w:r>
    </w:p>
    <w:p w14:paraId="618CBA62" w14:textId="64B0698D" w:rsidR="00092594" w:rsidRPr="00DC324F" w:rsidRDefault="00584D31" w:rsidP="00584D31">
      <w:pPr>
        <w:spacing w:before="0"/>
      </w:pPr>
      <w:r>
        <w:t>network equipment</w:t>
      </w:r>
      <w:r w:rsidR="00A56896">
        <w:t>.</w:t>
      </w:r>
    </w:p>
    <w:p w14:paraId="405FF911" w14:textId="6D0C8CF1" w:rsidR="007D62C6" w:rsidRPr="00DC324F" w:rsidRDefault="00092594" w:rsidP="00584D31">
      <w:pPr>
        <w:spacing w:before="240"/>
        <w:rPr>
          <w:b/>
          <w:bCs/>
          <w:lang w:eastAsia="ja-JP"/>
        </w:rPr>
      </w:pPr>
      <w:r w:rsidRPr="00DC324F">
        <w:rPr>
          <w:b/>
          <w:bCs/>
          <w:lang w:eastAsia="ja-JP"/>
        </w:rPr>
        <w:t xml:space="preserve">Recommendation ITU-T </w:t>
      </w:r>
      <w:r w:rsidR="007C56B7">
        <w:rPr>
          <w:b/>
          <w:bCs/>
          <w:lang w:eastAsia="ja-JP"/>
        </w:rPr>
        <w:t>K.</w:t>
      </w:r>
      <w:r w:rsidR="003D69F9">
        <w:rPr>
          <w:b/>
          <w:bCs/>
          <w:lang w:eastAsia="ja-JP"/>
        </w:rPr>
        <w:t>88</w:t>
      </w:r>
      <w:r w:rsidR="00813A19">
        <w:rPr>
          <w:b/>
          <w:bCs/>
          <w:lang w:eastAsia="ja-JP"/>
        </w:rPr>
        <w:t xml:space="preserve">, </w:t>
      </w:r>
      <w:r w:rsidR="00584D31" w:rsidRPr="00584D31">
        <w:rPr>
          <w:b/>
          <w:bCs/>
          <w:lang w:eastAsia="ja-JP"/>
        </w:rPr>
        <w:t>EMC requirements for next generation network equipment</w:t>
      </w:r>
    </w:p>
    <w:p w14:paraId="67566CD0" w14:textId="3F727A4D" w:rsidR="00092594" w:rsidRPr="00DC324F" w:rsidRDefault="00092594" w:rsidP="00092594">
      <w:pPr>
        <w:rPr>
          <w:b/>
          <w:bCs/>
          <w:lang w:val="en-US" w:eastAsia="ja-JP"/>
        </w:rPr>
      </w:pPr>
      <w:r w:rsidRPr="00DC324F">
        <w:rPr>
          <w:b/>
          <w:bCs/>
          <w:lang w:eastAsia="ja-JP"/>
        </w:rPr>
        <w:t>Approval date:</w:t>
      </w:r>
      <w:r w:rsidRPr="00DC324F">
        <w:rPr>
          <w:b/>
          <w:bCs/>
          <w:lang w:eastAsia="ja-JP"/>
        </w:rPr>
        <w:tab/>
      </w:r>
      <w:r w:rsidR="00584D31">
        <w:rPr>
          <w:b/>
          <w:bCs/>
          <w:lang w:eastAsia="ja-JP"/>
        </w:rPr>
        <w:t>November 2011</w:t>
      </w:r>
    </w:p>
    <w:p w14:paraId="79995661" w14:textId="25CAB823" w:rsidR="00092594" w:rsidRDefault="007240D5" w:rsidP="00092594">
      <w:pPr>
        <w:rPr>
          <w:i/>
          <w:iCs/>
        </w:rPr>
      </w:pPr>
      <w:r>
        <w:rPr>
          <w:i/>
          <w:iCs/>
        </w:rPr>
        <w:t>Scope</w:t>
      </w:r>
      <w:r w:rsidR="00092594" w:rsidRPr="00DC324F">
        <w:rPr>
          <w:i/>
          <w:iCs/>
        </w:rPr>
        <w:t>:</w:t>
      </w:r>
      <w:r w:rsidR="00092594" w:rsidRPr="00DC324F">
        <w:rPr>
          <w:i/>
          <w:iCs/>
        </w:rPr>
        <w:tab/>
      </w:r>
    </w:p>
    <w:p w14:paraId="4C93C298" w14:textId="77777777" w:rsidR="00584D31" w:rsidRPr="00584D31" w:rsidRDefault="00584D31" w:rsidP="00584D31">
      <w:pPr>
        <w:spacing w:before="0"/>
      </w:pPr>
      <w:r w:rsidRPr="00584D31">
        <w:t>This Recommendation specifies the emission and immunity requirements for switching,</w:t>
      </w:r>
    </w:p>
    <w:p w14:paraId="5B9D15F6" w14:textId="77777777" w:rsidR="00584D31" w:rsidRPr="00584D31" w:rsidRDefault="00584D31" w:rsidP="00584D31">
      <w:pPr>
        <w:spacing w:before="0"/>
      </w:pPr>
      <w:r w:rsidRPr="00584D31">
        <w:t>transmission and media gateway equipment based on Internet protocol (IP) in the next generation</w:t>
      </w:r>
    </w:p>
    <w:p w14:paraId="346068EB" w14:textId="77777777" w:rsidR="00584D31" w:rsidRPr="00584D31" w:rsidRDefault="00584D31" w:rsidP="00584D31">
      <w:pPr>
        <w:spacing w:before="0"/>
      </w:pPr>
      <w:r w:rsidRPr="00584D31">
        <w:t>network (NGN). It also describes operational conditions for emission and immunity testing.</w:t>
      </w:r>
    </w:p>
    <w:p w14:paraId="71A5BE15" w14:textId="77777777" w:rsidR="00584D31" w:rsidRPr="00584D31" w:rsidRDefault="00584D31" w:rsidP="00584D31">
      <w:pPr>
        <w:spacing w:before="0"/>
      </w:pPr>
      <w:r w:rsidRPr="00584D31">
        <w:t>Performance criteria for immunity tests are also specified. The general operational condition and</w:t>
      </w:r>
    </w:p>
    <w:p w14:paraId="7E7A2D1A" w14:textId="77777777" w:rsidR="00584D31" w:rsidRPr="00584D31" w:rsidRDefault="00584D31" w:rsidP="00584D31">
      <w:pPr>
        <w:spacing w:before="0"/>
      </w:pPr>
      <w:r w:rsidRPr="00584D31">
        <w:t>performance criteria are recommended in [ITU-T K.48]. This Recommendation describes the</w:t>
      </w:r>
    </w:p>
    <w:p w14:paraId="302139DA" w14:textId="77777777" w:rsidR="00584D31" w:rsidRPr="00584D31" w:rsidRDefault="00584D31" w:rsidP="00584D31">
      <w:pPr>
        <w:spacing w:before="0"/>
      </w:pPr>
      <w:r w:rsidRPr="00584D31">
        <w:lastRenderedPageBreak/>
        <w:t>specific testing conditions to be applied to NGN equipment.</w:t>
      </w:r>
    </w:p>
    <w:p w14:paraId="6D06DA39" w14:textId="480F0995" w:rsidR="00584D31" w:rsidRDefault="00584D31" w:rsidP="00584D31">
      <w:pPr>
        <w:spacing w:before="0"/>
      </w:pPr>
      <w:r w:rsidRPr="00584D31">
        <w:t>An example of equipment under this scope is presented in Annex A.</w:t>
      </w:r>
    </w:p>
    <w:p w14:paraId="313FA91F" w14:textId="396FACA2" w:rsidR="007C56B7" w:rsidRPr="00443C67" w:rsidRDefault="007C56B7" w:rsidP="007C56B7">
      <w:pPr>
        <w:spacing w:before="360"/>
        <w:rPr>
          <w:i/>
          <w:iCs/>
          <w:lang w:eastAsia="ja-JP"/>
        </w:rPr>
      </w:pPr>
      <w:bookmarkStart w:id="1" w:name="_Hlk118388971"/>
      <w:r>
        <w:rPr>
          <w:i/>
          <w:iCs/>
          <w:lang w:eastAsia="ja-JP"/>
        </w:rPr>
        <w:t>R</w:t>
      </w:r>
      <w:r w:rsidRPr="00443C67">
        <w:rPr>
          <w:i/>
          <w:iCs/>
          <w:lang w:eastAsia="ja-JP"/>
        </w:rPr>
        <w:t>easons for the deletion</w:t>
      </w:r>
      <w:r>
        <w:rPr>
          <w:i/>
          <w:iCs/>
          <w:lang w:eastAsia="ja-JP"/>
        </w:rPr>
        <w:t xml:space="preserve"> of Recommendations ITU-T K.43 and ITU-T K.48 listed above</w:t>
      </w:r>
      <w:r w:rsidRPr="00443C67">
        <w:rPr>
          <w:i/>
          <w:iCs/>
          <w:lang w:eastAsia="ja-JP"/>
        </w:rPr>
        <w:t>:</w:t>
      </w:r>
    </w:p>
    <w:p w14:paraId="291BD1DC" w14:textId="77777777" w:rsidR="007C56B7" w:rsidRDefault="007C56B7" w:rsidP="007C56B7">
      <w:pPr>
        <w:rPr>
          <w:lang w:eastAsia="ja-JP"/>
        </w:rPr>
      </w:pPr>
      <w:r w:rsidRPr="00CC752A">
        <w:rPr>
          <w:lang w:eastAsia="ja-JP"/>
        </w:rPr>
        <w:t xml:space="preserve">The </w:t>
      </w:r>
      <w:r>
        <w:rPr>
          <w:lang w:eastAsia="ja-JP"/>
        </w:rPr>
        <w:t>requirements</w:t>
      </w:r>
      <w:r w:rsidRPr="00CC752A">
        <w:rPr>
          <w:lang w:eastAsia="ja-JP"/>
        </w:rPr>
        <w:t xml:space="preserve"> contained in Recommendation</w:t>
      </w:r>
      <w:r>
        <w:rPr>
          <w:lang w:eastAsia="ja-JP"/>
        </w:rPr>
        <w:t>s ITU-T K.43 and ITU-T K.48 are already covered in the following Recommendations:</w:t>
      </w:r>
    </w:p>
    <w:p w14:paraId="5572106A" w14:textId="0563A26A" w:rsidR="007C56B7" w:rsidRDefault="007C56B7" w:rsidP="007C56B7">
      <w:pPr>
        <w:numPr>
          <w:ilvl w:val="0"/>
          <w:numId w:val="13"/>
        </w:numPr>
        <w:tabs>
          <w:tab w:val="clear" w:pos="794"/>
          <w:tab w:val="clear" w:pos="1588"/>
          <w:tab w:val="clear" w:pos="1985"/>
          <w:tab w:val="left" w:pos="284"/>
          <w:tab w:val="left" w:pos="1418"/>
          <w:tab w:val="left" w:pos="1843"/>
        </w:tabs>
        <w:rPr>
          <w:lang w:eastAsia="zh-CN"/>
        </w:rPr>
      </w:pPr>
      <w:r>
        <w:rPr>
          <w:lang w:eastAsia="zh-CN"/>
        </w:rPr>
        <w:t xml:space="preserve">ITU-T </w:t>
      </w:r>
      <w:r w:rsidRPr="002657A5">
        <w:rPr>
          <w:lang w:eastAsia="zh-CN"/>
        </w:rPr>
        <w:t>K.136</w:t>
      </w:r>
      <w:r w:rsidR="00C64455">
        <w:rPr>
          <w:lang w:eastAsia="zh-CN"/>
        </w:rPr>
        <w:t xml:space="preserve"> (2018)</w:t>
      </w:r>
      <w:r>
        <w:rPr>
          <w:lang w:eastAsia="zh-CN"/>
        </w:rPr>
        <w:t xml:space="preserve">: </w:t>
      </w:r>
      <w:r w:rsidRPr="00F15EA4">
        <w:rPr>
          <w:lang w:eastAsia="zh-CN"/>
        </w:rPr>
        <w:t>Electromagnetic compatibility requirements for radio telecommunication equipment</w:t>
      </w:r>
    </w:p>
    <w:p w14:paraId="13EC87EE" w14:textId="63079858" w:rsidR="007C56B7" w:rsidRDefault="007C56B7" w:rsidP="007C56B7">
      <w:pPr>
        <w:numPr>
          <w:ilvl w:val="0"/>
          <w:numId w:val="13"/>
        </w:numPr>
        <w:tabs>
          <w:tab w:val="clear" w:pos="794"/>
          <w:tab w:val="clear" w:pos="1588"/>
          <w:tab w:val="clear" w:pos="1985"/>
          <w:tab w:val="left" w:pos="284"/>
          <w:tab w:val="left" w:pos="1418"/>
          <w:tab w:val="left" w:pos="1843"/>
        </w:tabs>
        <w:rPr>
          <w:lang w:eastAsia="zh-CN"/>
        </w:rPr>
      </w:pPr>
      <w:r>
        <w:rPr>
          <w:lang w:eastAsia="zh-CN"/>
        </w:rPr>
        <w:t xml:space="preserve">ITU-T </w:t>
      </w:r>
      <w:r w:rsidRPr="002657A5">
        <w:rPr>
          <w:lang w:eastAsia="zh-CN"/>
        </w:rPr>
        <w:t>K.137</w:t>
      </w:r>
      <w:r w:rsidR="00C64455">
        <w:rPr>
          <w:lang w:eastAsia="zh-CN"/>
        </w:rPr>
        <w:t xml:space="preserve"> (2022)</w:t>
      </w:r>
      <w:r>
        <w:rPr>
          <w:lang w:eastAsia="zh-CN"/>
        </w:rPr>
        <w:t xml:space="preserve">: </w:t>
      </w:r>
      <w:r w:rsidRPr="00F15EA4">
        <w:rPr>
          <w:lang w:eastAsia="zh-CN"/>
        </w:rPr>
        <w:t>Electromagnetic compatibility requirements and measurement methods for wireline telecommunication network equipment</w:t>
      </w:r>
    </w:p>
    <w:p w14:paraId="74276BA2" w14:textId="611E59EE" w:rsidR="007C56B7" w:rsidRDefault="007C56B7" w:rsidP="007C56B7">
      <w:pPr>
        <w:numPr>
          <w:ilvl w:val="0"/>
          <w:numId w:val="13"/>
        </w:numPr>
        <w:tabs>
          <w:tab w:val="clear" w:pos="794"/>
          <w:tab w:val="clear" w:pos="1588"/>
          <w:tab w:val="clear" w:pos="1985"/>
          <w:tab w:val="left" w:pos="284"/>
          <w:tab w:val="left" w:pos="1418"/>
          <w:tab w:val="left" w:pos="1843"/>
        </w:tabs>
        <w:rPr>
          <w:lang w:eastAsia="zh-CN"/>
        </w:rPr>
      </w:pPr>
      <w:r>
        <w:rPr>
          <w:lang w:eastAsia="zh-CN"/>
        </w:rPr>
        <w:t xml:space="preserve">ITU-T </w:t>
      </w:r>
      <w:r w:rsidRPr="002657A5">
        <w:rPr>
          <w:lang w:eastAsia="zh-CN"/>
        </w:rPr>
        <w:t>K</w:t>
      </w:r>
      <w:r w:rsidR="00C64455">
        <w:rPr>
          <w:lang w:eastAsia="zh-CN"/>
        </w:rPr>
        <w:t>.</w:t>
      </w:r>
      <w:r w:rsidRPr="002657A5">
        <w:rPr>
          <w:lang w:eastAsia="zh-CN"/>
        </w:rPr>
        <w:t>114</w:t>
      </w:r>
      <w:r w:rsidR="00C64455">
        <w:rPr>
          <w:lang w:eastAsia="zh-CN"/>
        </w:rPr>
        <w:t xml:space="preserve"> (2022)</w:t>
      </w:r>
      <w:r>
        <w:rPr>
          <w:lang w:eastAsia="zh-CN"/>
        </w:rPr>
        <w:t xml:space="preserve">: </w:t>
      </w:r>
      <w:r w:rsidRPr="00F15EA4">
        <w:rPr>
          <w:lang w:eastAsia="zh-CN"/>
        </w:rPr>
        <w:t>Electromagnetic compatibility requirements and measurement methods for digital cellular mobile communication base station equipment</w:t>
      </w:r>
    </w:p>
    <w:p w14:paraId="27590C35" w14:textId="4593B423" w:rsidR="007C56B7" w:rsidRDefault="007C56B7" w:rsidP="007C56B7">
      <w:pPr>
        <w:numPr>
          <w:ilvl w:val="0"/>
          <w:numId w:val="13"/>
        </w:numPr>
        <w:tabs>
          <w:tab w:val="clear" w:pos="794"/>
          <w:tab w:val="clear" w:pos="1588"/>
          <w:tab w:val="clear" w:pos="1985"/>
          <w:tab w:val="left" w:pos="284"/>
          <w:tab w:val="left" w:pos="1418"/>
          <w:tab w:val="left" w:pos="1843"/>
        </w:tabs>
        <w:rPr>
          <w:lang w:eastAsia="zh-CN"/>
        </w:rPr>
      </w:pPr>
      <w:r>
        <w:rPr>
          <w:lang w:eastAsia="zh-CN"/>
        </w:rPr>
        <w:t>ITU-T</w:t>
      </w:r>
      <w:r w:rsidRPr="002657A5">
        <w:rPr>
          <w:lang w:eastAsia="zh-CN"/>
        </w:rPr>
        <w:t xml:space="preserve"> K.123</w:t>
      </w:r>
      <w:r w:rsidR="00C64455">
        <w:rPr>
          <w:lang w:eastAsia="zh-CN"/>
        </w:rPr>
        <w:t xml:space="preserve"> (2022)</w:t>
      </w:r>
      <w:r>
        <w:rPr>
          <w:lang w:eastAsia="zh-CN"/>
        </w:rPr>
        <w:t xml:space="preserve">: </w:t>
      </w:r>
      <w:r w:rsidRPr="00F15EA4">
        <w:rPr>
          <w:lang w:eastAsia="zh-CN"/>
        </w:rPr>
        <w:t>Electromagnetic compatibility requirements for electrical equipment in telecommunication facilities</w:t>
      </w:r>
    </w:p>
    <w:p w14:paraId="1E360587" w14:textId="23C40A28" w:rsidR="007C56B7" w:rsidRDefault="007C56B7" w:rsidP="007C56B7">
      <w:pPr>
        <w:numPr>
          <w:ilvl w:val="0"/>
          <w:numId w:val="13"/>
        </w:numPr>
        <w:tabs>
          <w:tab w:val="clear" w:pos="794"/>
          <w:tab w:val="clear" w:pos="1588"/>
          <w:tab w:val="clear" w:pos="1985"/>
          <w:tab w:val="left" w:pos="284"/>
          <w:tab w:val="left" w:pos="1418"/>
          <w:tab w:val="left" w:pos="1843"/>
        </w:tabs>
        <w:rPr>
          <w:lang w:eastAsia="zh-CN"/>
        </w:rPr>
      </w:pPr>
      <w:r>
        <w:rPr>
          <w:lang w:eastAsia="zh-CN"/>
        </w:rPr>
        <w:t>ITU-T K.116</w:t>
      </w:r>
      <w:r w:rsidR="00C64455">
        <w:rPr>
          <w:lang w:eastAsia="zh-CN"/>
        </w:rPr>
        <w:t xml:space="preserve"> (2019)</w:t>
      </w:r>
      <w:r>
        <w:rPr>
          <w:lang w:eastAsia="zh-CN"/>
        </w:rPr>
        <w:t xml:space="preserve">: </w:t>
      </w:r>
      <w:r w:rsidRPr="00F15EA4">
        <w:rPr>
          <w:lang w:eastAsia="zh-CN"/>
        </w:rPr>
        <w:t>Electromagnetic compatibility requirements and test methods for radio telecommunication terminal equipment</w:t>
      </w:r>
    </w:p>
    <w:p w14:paraId="197ECF55" w14:textId="35085461" w:rsidR="007C56B7" w:rsidRDefault="007C56B7" w:rsidP="007C56B7">
      <w:pPr>
        <w:numPr>
          <w:ilvl w:val="0"/>
          <w:numId w:val="13"/>
        </w:numPr>
        <w:tabs>
          <w:tab w:val="clear" w:pos="794"/>
          <w:tab w:val="clear" w:pos="1588"/>
          <w:tab w:val="clear" w:pos="1985"/>
          <w:tab w:val="left" w:pos="284"/>
          <w:tab w:val="left" w:pos="1418"/>
          <w:tab w:val="left" w:pos="1843"/>
        </w:tabs>
        <w:rPr>
          <w:lang w:eastAsia="zh-CN"/>
        </w:rPr>
      </w:pPr>
      <w:r>
        <w:rPr>
          <w:lang w:eastAsia="zh-CN"/>
        </w:rPr>
        <w:t>ITU-T K.152</w:t>
      </w:r>
      <w:r w:rsidR="00C64455">
        <w:rPr>
          <w:lang w:eastAsia="zh-CN"/>
        </w:rPr>
        <w:t xml:space="preserve"> (2022)</w:t>
      </w:r>
      <w:r>
        <w:rPr>
          <w:lang w:eastAsia="zh-CN"/>
        </w:rPr>
        <w:t xml:space="preserve">: </w:t>
      </w:r>
      <w:r w:rsidRPr="00F15EA4">
        <w:rPr>
          <w:lang w:eastAsia="zh-CN"/>
        </w:rPr>
        <w:t>Electromagnetic compatibility requirements for power equipment in telecommunication facilities</w:t>
      </w:r>
    </w:p>
    <w:p w14:paraId="1077552F" w14:textId="033B561B" w:rsidR="007C56B7" w:rsidRPr="00443C67" w:rsidRDefault="007C56B7" w:rsidP="007C56B7">
      <w:pPr>
        <w:spacing w:before="360"/>
        <w:rPr>
          <w:i/>
          <w:iCs/>
          <w:lang w:eastAsia="ja-JP"/>
        </w:rPr>
      </w:pPr>
      <w:r>
        <w:rPr>
          <w:i/>
          <w:iCs/>
          <w:lang w:eastAsia="ja-JP"/>
        </w:rPr>
        <w:t>R</w:t>
      </w:r>
      <w:r w:rsidRPr="00443C67">
        <w:rPr>
          <w:i/>
          <w:iCs/>
          <w:lang w:eastAsia="ja-JP"/>
        </w:rPr>
        <w:t>easons for the deletion</w:t>
      </w:r>
      <w:r>
        <w:rPr>
          <w:i/>
          <w:iCs/>
          <w:lang w:eastAsia="ja-JP"/>
        </w:rPr>
        <w:t xml:space="preserve"> of Recommendation ITU-T K.88 listed above</w:t>
      </w:r>
      <w:r w:rsidRPr="00443C67">
        <w:rPr>
          <w:i/>
          <w:iCs/>
          <w:lang w:eastAsia="ja-JP"/>
        </w:rPr>
        <w:t>:</w:t>
      </w:r>
    </w:p>
    <w:p w14:paraId="0CAB1D94" w14:textId="50AC8F71" w:rsidR="007C56B7" w:rsidRDefault="007C56B7" w:rsidP="007C56B7">
      <w:pPr>
        <w:rPr>
          <w:lang w:eastAsia="ja-JP"/>
        </w:rPr>
      </w:pPr>
      <w:r>
        <w:rPr>
          <w:lang w:eastAsia="ja-JP"/>
        </w:rPr>
        <w:t xml:space="preserve">The requirements contained in Recommendation ITU-T </w:t>
      </w:r>
      <w:r w:rsidR="00C64455">
        <w:rPr>
          <w:lang w:eastAsia="ja-JP"/>
        </w:rPr>
        <w:t>K.88 are already covered in Recommendation ITU-T K.137 (2022) “</w:t>
      </w:r>
      <w:r w:rsidR="00C64455" w:rsidRPr="00C64455">
        <w:rPr>
          <w:lang w:eastAsia="ja-JP"/>
        </w:rPr>
        <w:t>Electromagnetic compatibility requirements and measurement methods for wireline telecommunication network equipment</w:t>
      </w:r>
      <w:r w:rsidR="00C64455">
        <w:rPr>
          <w:lang w:eastAsia="ja-JP"/>
        </w:rPr>
        <w:t>”.</w:t>
      </w:r>
    </w:p>
    <w:bookmarkEnd w:id="1"/>
    <w:p w14:paraId="0CF7AE44" w14:textId="77777777" w:rsidR="00813A19" w:rsidRPr="00584D31" w:rsidRDefault="00813A19" w:rsidP="00584D31">
      <w:pPr>
        <w:spacing w:before="0"/>
      </w:pPr>
    </w:p>
    <w:p w14:paraId="18F0353D" w14:textId="7572079E" w:rsidR="00633FD9" w:rsidRPr="005F755F" w:rsidRDefault="00633FD9" w:rsidP="005A7E8A">
      <w:pPr>
        <w:spacing w:after="120"/>
        <w:jc w:val="center"/>
        <w:rPr>
          <w:lang w:eastAsia="ja-JP"/>
        </w:rPr>
      </w:pPr>
      <w:r w:rsidRPr="00DC324F">
        <w:rPr>
          <w:lang w:eastAsia="ja-JP"/>
        </w:rPr>
        <w:t>______</w:t>
      </w:r>
      <w:r w:rsidR="005A7E8A">
        <w:rPr>
          <w:lang w:eastAsia="ja-JP"/>
        </w:rPr>
        <w:t>___</w:t>
      </w:r>
      <w:r w:rsidRPr="00DC324F">
        <w:rPr>
          <w:lang w:eastAsia="ja-JP"/>
        </w:rPr>
        <w:t>_________</w:t>
      </w:r>
    </w:p>
    <w:sectPr w:rsidR="00633FD9" w:rsidRPr="005F755F" w:rsidSect="006D775C">
      <w:headerReference w:type="default" r:id="rId10"/>
      <w:foot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A7B9" w14:textId="77777777" w:rsidR="00F56D83" w:rsidRDefault="00F56D83">
      <w:r>
        <w:separator/>
      </w:r>
    </w:p>
  </w:endnote>
  <w:endnote w:type="continuationSeparator" w:id="0">
    <w:p w14:paraId="75A86A70" w14:textId="77777777" w:rsidR="00F56D83" w:rsidRDefault="00F5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95B6" w14:textId="77777777" w:rsidR="006D775C" w:rsidRDefault="006D775C" w:rsidP="00CC75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379C" w14:textId="77777777" w:rsidR="006D775C" w:rsidRPr="00BA1F70" w:rsidRDefault="00D40F22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1582" w14:textId="77777777" w:rsidR="00F56D83" w:rsidRDefault="00F56D83">
      <w:r>
        <w:t>____________________</w:t>
      </w:r>
    </w:p>
  </w:footnote>
  <w:footnote w:type="continuationSeparator" w:id="0">
    <w:p w14:paraId="7932540B" w14:textId="77777777" w:rsidR="00F56D83" w:rsidRDefault="00F56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0CB5" w14:textId="3BA38C3D" w:rsidR="006D775C" w:rsidRDefault="005815AD" w:rsidP="00584D31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3C5AE7">
      <w:rPr>
        <w:noProof/>
        <w:sz w:val="18"/>
      </w:rPr>
      <w:t>3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2A7693">
      <w:rPr>
        <w:sz w:val="18"/>
      </w:rPr>
      <w:t>53</w:t>
    </w:r>
  </w:p>
  <w:p w14:paraId="0604DE15" w14:textId="77777777" w:rsidR="00584D31" w:rsidRDefault="00584D31" w:rsidP="00584D31">
    <w:pPr>
      <w:spacing w:before="0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971704"/>
    <w:multiLevelType w:val="hybridMultilevel"/>
    <w:tmpl w:val="4768EB92"/>
    <w:lvl w:ilvl="0" w:tplc="A144491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B75F9"/>
    <w:multiLevelType w:val="hybridMultilevel"/>
    <w:tmpl w:val="65CA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F2181"/>
    <w:multiLevelType w:val="hybridMultilevel"/>
    <w:tmpl w:val="03D2E3A6"/>
    <w:lvl w:ilvl="0" w:tplc="B94AF624">
      <w:numFmt w:val="bullet"/>
      <w:lvlText w:val="-"/>
      <w:lvlJc w:val="left"/>
      <w:pPr>
        <w:ind w:left="644" w:hanging="360"/>
      </w:pPr>
      <w:rPr>
        <w:rFonts w:ascii="Calibri" w:eastAsia="Calibri" w:hAnsi="Calibri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49146387">
    <w:abstractNumId w:val="9"/>
  </w:num>
  <w:num w:numId="2" w16cid:durableId="216089241">
    <w:abstractNumId w:val="7"/>
  </w:num>
  <w:num w:numId="3" w16cid:durableId="380788027">
    <w:abstractNumId w:val="6"/>
  </w:num>
  <w:num w:numId="4" w16cid:durableId="1341853064">
    <w:abstractNumId w:val="5"/>
  </w:num>
  <w:num w:numId="5" w16cid:durableId="813259103">
    <w:abstractNumId w:val="4"/>
  </w:num>
  <w:num w:numId="6" w16cid:durableId="457652402">
    <w:abstractNumId w:val="8"/>
  </w:num>
  <w:num w:numId="7" w16cid:durableId="715393805">
    <w:abstractNumId w:val="3"/>
  </w:num>
  <w:num w:numId="8" w16cid:durableId="540436159">
    <w:abstractNumId w:val="2"/>
  </w:num>
  <w:num w:numId="9" w16cid:durableId="1517041606">
    <w:abstractNumId w:val="1"/>
  </w:num>
  <w:num w:numId="10" w16cid:durableId="472795988">
    <w:abstractNumId w:val="0"/>
  </w:num>
  <w:num w:numId="11" w16cid:durableId="816610123">
    <w:abstractNumId w:val="11"/>
  </w:num>
  <w:num w:numId="12" w16cid:durableId="1782603203">
    <w:abstractNumId w:val="10"/>
  </w:num>
  <w:num w:numId="13" w16cid:durableId="14060763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055E9"/>
    <w:rsid w:val="000126D4"/>
    <w:rsid w:val="000227D6"/>
    <w:rsid w:val="0002620C"/>
    <w:rsid w:val="0008487C"/>
    <w:rsid w:val="00092594"/>
    <w:rsid w:val="0009593D"/>
    <w:rsid w:val="00096EBE"/>
    <w:rsid w:val="000A0633"/>
    <w:rsid w:val="000C74C7"/>
    <w:rsid w:val="000F6929"/>
    <w:rsid w:val="001022AE"/>
    <w:rsid w:val="00134043"/>
    <w:rsid w:val="00146058"/>
    <w:rsid w:val="001501A1"/>
    <w:rsid w:val="00165A31"/>
    <w:rsid w:val="001A48C5"/>
    <w:rsid w:val="001B1F67"/>
    <w:rsid w:val="00237AD7"/>
    <w:rsid w:val="00254BC6"/>
    <w:rsid w:val="0029011F"/>
    <w:rsid w:val="00295437"/>
    <w:rsid w:val="002A7693"/>
    <w:rsid w:val="002B716F"/>
    <w:rsid w:val="002C29D2"/>
    <w:rsid w:val="002D5787"/>
    <w:rsid w:val="002E6630"/>
    <w:rsid w:val="002F24EB"/>
    <w:rsid w:val="00315F99"/>
    <w:rsid w:val="003257F5"/>
    <w:rsid w:val="00367459"/>
    <w:rsid w:val="003B6F5A"/>
    <w:rsid w:val="003C3504"/>
    <w:rsid w:val="003C42CF"/>
    <w:rsid w:val="003C5AE7"/>
    <w:rsid w:val="003C757A"/>
    <w:rsid w:val="003D5FF0"/>
    <w:rsid w:val="003D69F9"/>
    <w:rsid w:val="003E28E2"/>
    <w:rsid w:val="0041348B"/>
    <w:rsid w:val="004254CA"/>
    <w:rsid w:val="00451E27"/>
    <w:rsid w:val="00473ECD"/>
    <w:rsid w:val="004C1BA8"/>
    <w:rsid w:val="004E18C6"/>
    <w:rsid w:val="004F1B2E"/>
    <w:rsid w:val="00504722"/>
    <w:rsid w:val="005308BC"/>
    <w:rsid w:val="00533D70"/>
    <w:rsid w:val="00547E35"/>
    <w:rsid w:val="005638D8"/>
    <w:rsid w:val="005641A3"/>
    <w:rsid w:val="005815AD"/>
    <w:rsid w:val="00584D31"/>
    <w:rsid w:val="00592EA7"/>
    <w:rsid w:val="005A5D84"/>
    <w:rsid w:val="005A7E8A"/>
    <w:rsid w:val="005F755F"/>
    <w:rsid w:val="006058AB"/>
    <w:rsid w:val="00616DA1"/>
    <w:rsid w:val="00631581"/>
    <w:rsid w:val="00633FD9"/>
    <w:rsid w:val="00641404"/>
    <w:rsid w:val="00653A8A"/>
    <w:rsid w:val="00653BB2"/>
    <w:rsid w:val="00671D07"/>
    <w:rsid w:val="00690EE4"/>
    <w:rsid w:val="006D775C"/>
    <w:rsid w:val="006D7A21"/>
    <w:rsid w:val="006F458F"/>
    <w:rsid w:val="00704B35"/>
    <w:rsid w:val="007154EE"/>
    <w:rsid w:val="0072385E"/>
    <w:rsid w:val="007240D5"/>
    <w:rsid w:val="00746EA0"/>
    <w:rsid w:val="007B6317"/>
    <w:rsid w:val="007C067C"/>
    <w:rsid w:val="007C0DA1"/>
    <w:rsid w:val="007C56B7"/>
    <w:rsid w:val="007C6A2C"/>
    <w:rsid w:val="007D62C6"/>
    <w:rsid w:val="007F1638"/>
    <w:rsid w:val="00813A19"/>
    <w:rsid w:val="00822DE4"/>
    <w:rsid w:val="00855EAC"/>
    <w:rsid w:val="00876417"/>
    <w:rsid w:val="008A4AEB"/>
    <w:rsid w:val="008A50E0"/>
    <w:rsid w:val="008B00F6"/>
    <w:rsid w:val="008F16B1"/>
    <w:rsid w:val="00910DBF"/>
    <w:rsid w:val="0094116D"/>
    <w:rsid w:val="009443EA"/>
    <w:rsid w:val="00990646"/>
    <w:rsid w:val="009A65D2"/>
    <w:rsid w:val="00A40DF1"/>
    <w:rsid w:val="00A56896"/>
    <w:rsid w:val="00A64927"/>
    <w:rsid w:val="00A8648E"/>
    <w:rsid w:val="00A874CC"/>
    <w:rsid w:val="00AA4679"/>
    <w:rsid w:val="00AE48E9"/>
    <w:rsid w:val="00B049BB"/>
    <w:rsid w:val="00B347F0"/>
    <w:rsid w:val="00B53441"/>
    <w:rsid w:val="00B8706C"/>
    <w:rsid w:val="00BA1F70"/>
    <w:rsid w:val="00BA6303"/>
    <w:rsid w:val="00BC730F"/>
    <w:rsid w:val="00BD4B85"/>
    <w:rsid w:val="00BD6DC8"/>
    <w:rsid w:val="00BF5C35"/>
    <w:rsid w:val="00C02B28"/>
    <w:rsid w:val="00C338BE"/>
    <w:rsid w:val="00C64455"/>
    <w:rsid w:val="00C660EC"/>
    <w:rsid w:val="00C75D18"/>
    <w:rsid w:val="00C874FC"/>
    <w:rsid w:val="00C8766D"/>
    <w:rsid w:val="00CC752A"/>
    <w:rsid w:val="00CD4E63"/>
    <w:rsid w:val="00CD5AB5"/>
    <w:rsid w:val="00D07810"/>
    <w:rsid w:val="00D23C33"/>
    <w:rsid w:val="00D40F22"/>
    <w:rsid w:val="00D456F0"/>
    <w:rsid w:val="00D7458F"/>
    <w:rsid w:val="00D82C10"/>
    <w:rsid w:val="00D84BD4"/>
    <w:rsid w:val="00D97DAE"/>
    <w:rsid w:val="00DC324F"/>
    <w:rsid w:val="00DE14CD"/>
    <w:rsid w:val="00DE543C"/>
    <w:rsid w:val="00DF01BA"/>
    <w:rsid w:val="00E324B0"/>
    <w:rsid w:val="00E37337"/>
    <w:rsid w:val="00E41008"/>
    <w:rsid w:val="00E41791"/>
    <w:rsid w:val="00E42063"/>
    <w:rsid w:val="00E442F6"/>
    <w:rsid w:val="00E50B08"/>
    <w:rsid w:val="00E77B07"/>
    <w:rsid w:val="00EB12C2"/>
    <w:rsid w:val="00EC0629"/>
    <w:rsid w:val="00EC787E"/>
    <w:rsid w:val="00F142E2"/>
    <w:rsid w:val="00F20243"/>
    <w:rsid w:val="00F24281"/>
    <w:rsid w:val="00F43BAD"/>
    <w:rsid w:val="00F441C6"/>
    <w:rsid w:val="00F51780"/>
    <w:rsid w:val="00F56D83"/>
    <w:rsid w:val="00F63A96"/>
    <w:rsid w:val="00F726D8"/>
    <w:rsid w:val="00F7366F"/>
    <w:rsid w:val="00FD23E6"/>
    <w:rsid w:val="00FF4926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semiHidden/>
    <w:rsid w:val="00D23C33"/>
    <w:rPr>
      <w:rFonts w:ascii="Calibri" w:hAnsi="Calibri"/>
      <w:sz w:val="24"/>
      <w:lang w:eastAsia="en-US"/>
    </w:rPr>
  </w:style>
  <w:style w:type="paragraph" w:styleId="ListParagraph">
    <w:name w:val="List Paragraph"/>
    <w:basedOn w:val="Normal"/>
    <w:qFormat/>
    <w:rsid w:val="00584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59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3846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424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515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8627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580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1725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81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418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990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621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8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911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8</cp:revision>
  <cp:lastPrinted>2022-11-04T09:11:00Z</cp:lastPrinted>
  <dcterms:created xsi:type="dcterms:W3CDTF">2022-11-03T16:34:00Z</dcterms:created>
  <dcterms:modified xsi:type="dcterms:W3CDTF">2022-11-04T09:11:00Z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0x0101009084DEBE2F564140BF968F7D2BBBC12B</vt:lpwstr>
  </property>
</Properties>
</file>