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jc w:val="center"/>
        <w:tblLayout w:type="fixed"/>
        <w:tblCellMar>
          <w:left w:w="0" w:type="dxa"/>
          <w:right w:w="0" w:type="dxa"/>
        </w:tblCellMar>
        <w:tblLook w:val="0000" w:firstRow="0" w:lastRow="0" w:firstColumn="0" w:lastColumn="0" w:noHBand="0" w:noVBand="0"/>
      </w:tblPr>
      <w:tblGrid>
        <w:gridCol w:w="8"/>
        <w:gridCol w:w="1126"/>
        <w:gridCol w:w="284"/>
        <w:gridCol w:w="567"/>
        <w:gridCol w:w="2977"/>
        <w:gridCol w:w="2835"/>
        <w:gridCol w:w="2126"/>
        <w:gridCol w:w="8"/>
      </w:tblGrid>
      <w:tr w:rsidR="00036F4F" w:rsidRPr="00BF0ED6" w14:paraId="5DD8A641" w14:textId="77777777" w:rsidTr="00AB3AB7">
        <w:trPr>
          <w:gridAfter w:val="1"/>
          <w:wAfter w:w="8" w:type="dxa"/>
          <w:cantSplit/>
          <w:jc w:val="center"/>
        </w:trPr>
        <w:tc>
          <w:tcPr>
            <w:tcW w:w="1418" w:type="dxa"/>
            <w:gridSpan w:val="3"/>
            <w:vAlign w:val="center"/>
          </w:tcPr>
          <w:p w14:paraId="28083240" w14:textId="77777777" w:rsidR="00036F4F" w:rsidRPr="00BF0ED6" w:rsidRDefault="00036F4F" w:rsidP="00093019">
            <w:pPr>
              <w:tabs>
                <w:tab w:val="right" w:pos="8732"/>
              </w:tabs>
              <w:spacing w:before="0"/>
              <w:rPr>
                <w:b/>
                <w:bCs/>
                <w:iCs/>
                <w:color w:val="FFFFFF"/>
                <w:sz w:val="30"/>
                <w:szCs w:val="30"/>
              </w:rPr>
            </w:pPr>
            <w:r w:rsidRPr="00BF0ED6">
              <w:rPr>
                <w:noProof/>
                <w:lang w:eastAsia="fr-FR"/>
              </w:rPr>
              <w:drawing>
                <wp:inline distT="0" distB="0" distL="0" distR="0" wp14:anchorId="26C4E81C" wp14:editId="6B095475">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5D7C9C40" w14:textId="77777777" w:rsidR="00036F4F" w:rsidRPr="00BF0ED6" w:rsidRDefault="00036F4F" w:rsidP="00093019">
            <w:pPr>
              <w:spacing w:before="0"/>
              <w:rPr>
                <w:rFonts w:cs="Times New Roman Bold"/>
                <w:b/>
                <w:bCs/>
                <w:iCs/>
                <w:smallCaps/>
                <w:sz w:val="34"/>
                <w:szCs w:val="34"/>
              </w:rPr>
            </w:pPr>
            <w:r w:rsidRPr="00BF0ED6">
              <w:rPr>
                <w:rFonts w:cs="Times New Roman Bold"/>
                <w:b/>
                <w:bCs/>
                <w:iCs/>
                <w:smallCaps/>
                <w:sz w:val="34"/>
                <w:szCs w:val="34"/>
              </w:rPr>
              <w:t>Union internationale des télécommunications</w:t>
            </w:r>
          </w:p>
          <w:p w14:paraId="10832107" w14:textId="77777777" w:rsidR="00036F4F" w:rsidRPr="00BF0ED6" w:rsidRDefault="00036F4F" w:rsidP="00093019">
            <w:pPr>
              <w:tabs>
                <w:tab w:val="right" w:pos="8732"/>
              </w:tabs>
              <w:spacing w:before="0"/>
              <w:rPr>
                <w:b/>
                <w:bCs/>
                <w:iCs/>
                <w:color w:val="FFFFFF"/>
                <w:sz w:val="30"/>
                <w:szCs w:val="30"/>
              </w:rPr>
            </w:pPr>
            <w:r w:rsidRPr="00BF0ED6">
              <w:rPr>
                <w:rFonts w:cs="Times New Roman Bold"/>
                <w:b/>
                <w:bCs/>
                <w:iCs/>
                <w:smallCaps/>
                <w:sz w:val="28"/>
                <w:szCs w:val="28"/>
              </w:rPr>
              <w:t>B</w:t>
            </w:r>
            <w:r w:rsidRPr="00BF0ED6">
              <w:rPr>
                <w:b/>
                <w:bCs/>
                <w:iCs/>
                <w:smallCaps/>
                <w:sz w:val="28"/>
                <w:szCs w:val="28"/>
              </w:rPr>
              <w:t>ureau de la Normalisation des Télécommunications</w:t>
            </w:r>
          </w:p>
        </w:tc>
        <w:tc>
          <w:tcPr>
            <w:tcW w:w="2126" w:type="dxa"/>
            <w:vAlign w:val="center"/>
          </w:tcPr>
          <w:p w14:paraId="1196B634" w14:textId="77777777" w:rsidR="00036F4F" w:rsidRPr="00BF0ED6" w:rsidRDefault="00036F4F" w:rsidP="00093019">
            <w:pPr>
              <w:spacing w:before="0"/>
              <w:jc w:val="right"/>
              <w:rPr>
                <w:color w:val="FFFFFF"/>
                <w:sz w:val="26"/>
                <w:szCs w:val="26"/>
              </w:rPr>
            </w:pPr>
          </w:p>
        </w:tc>
      </w:tr>
      <w:tr w:rsidR="00036F4F" w:rsidRPr="00BF0ED6" w14:paraId="5AC4D625" w14:textId="77777777" w:rsidTr="00AB3AB7">
        <w:trPr>
          <w:gridBefore w:val="1"/>
          <w:wBefore w:w="8" w:type="dxa"/>
          <w:cantSplit/>
          <w:jc w:val="center"/>
        </w:trPr>
        <w:tc>
          <w:tcPr>
            <w:tcW w:w="1977" w:type="dxa"/>
            <w:gridSpan w:val="3"/>
          </w:tcPr>
          <w:p w14:paraId="5B6F02BF" w14:textId="77777777" w:rsidR="00036F4F" w:rsidRPr="00BF0ED6" w:rsidRDefault="00036F4F" w:rsidP="00093019">
            <w:pPr>
              <w:tabs>
                <w:tab w:val="left" w:pos="4111"/>
              </w:tabs>
              <w:spacing w:before="10"/>
              <w:ind w:left="57"/>
            </w:pPr>
          </w:p>
        </w:tc>
        <w:tc>
          <w:tcPr>
            <w:tcW w:w="2977" w:type="dxa"/>
          </w:tcPr>
          <w:p w14:paraId="4CC9523F" w14:textId="77777777" w:rsidR="00036F4F" w:rsidRPr="00BF0ED6" w:rsidRDefault="00036F4F" w:rsidP="00093019">
            <w:pPr>
              <w:tabs>
                <w:tab w:val="left" w:pos="4111"/>
              </w:tabs>
              <w:spacing w:before="10"/>
              <w:ind w:left="57"/>
              <w:rPr>
                <w:b/>
              </w:rPr>
            </w:pPr>
          </w:p>
        </w:tc>
        <w:tc>
          <w:tcPr>
            <w:tcW w:w="4969" w:type="dxa"/>
            <w:gridSpan w:val="3"/>
          </w:tcPr>
          <w:p w14:paraId="62651433" w14:textId="421F652D" w:rsidR="00036F4F" w:rsidRPr="00BF0ED6" w:rsidRDefault="00036F4F" w:rsidP="00093019">
            <w:pPr>
              <w:tabs>
                <w:tab w:val="clear" w:pos="794"/>
                <w:tab w:val="clear" w:pos="1191"/>
                <w:tab w:val="clear" w:pos="1588"/>
                <w:tab w:val="clear" w:pos="1985"/>
                <w:tab w:val="left" w:pos="284"/>
              </w:tabs>
              <w:spacing w:after="120"/>
              <w:ind w:left="284" w:hanging="227"/>
            </w:pPr>
            <w:r w:rsidRPr="00BF0ED6">
              <w:t>Genève, le</w:t>
            </w:r>
            <w:r w:rsidR="003A2B66" w:rsidRPr="00BF0ED6">
              <w:t xml:space="preserve"> </w:t>
            </w:r>
            <w:r w:rsidR="00434AA7" w:rsidRPr="00BF0ED6">
              <w:t>4 novembre</w:t>
            </w:r>
            <w:r w:rsidR="003A2B66" w:rsidRPr="00BF0ED6">
              <w:t xml:space="preserve"> 2022</w:t>
            </w:r>
          </w:p>
        </w:tc>
      </w:tr>
      <w:tr w:rsidR="00036F4F" w:rsidRPr="00BF0ED6" w14:paraId="293974D1" w14:textId="77777777" w:rsidTr="00AB3AB7">
        <w:trPr>
          <w:gridBefore w:val="1"/>
          <w:wBefore w:w="8" w:type="dxa"/>
          <w:cantSplit/>
          <w:trHeight w:val="340"/>
          <w:jc w:val="center"/>
        </w:trPr>
        <w:tc>
          <w:tcPr>
            <w:tcW w:w="1126" w:type="dxa"/>
          </w:tcPr>
          <w:p w14:paraId="708FC1D0" w14:textId="7BD44F5B" w:rsidR="00036F4F" w:rsidRPr="00BF0ED6" w:rsidRDefault="00036F4F" w:rsidP="00093019">
            <w:pPr>
              <w:tabs>
                <w:tab w:val="left" w:pos="4111"/>
              </w:tabs>
              <w:spacing w:before="10"/>
              <w:ind w:left="57"/>
              <w:rPr>
                <w:b/>
                <w:bCs/>
              </w:rPr>
            </w:pPr>
            <w:r w:rsidRPr="00BF0ED6">
              <w:rPr>
                <w:b/>
                <w:bCs/>
              </w:rPr>
              <w:t>Réf.:</w:t>
            </w:r>
          </w:p>
        </w:tc>
        <w:tc>
          <w:tcPr>
            <w:tcW w:w="3828" w:type="dxa"/>
            <w:gridSpan w:val="3"/>
          </w:tcPr>
          <w:p w14:paraId="560B2CF7" w14:textId="1D901D6A" w:rsidR="00036F4F" w:rsidRPr="00BF0ED6" w:rsidRDefault="003A2B66" w:rsidP="00093019">
            <w:pPr>
              <w:tabs>
                <w:tab w:val="left" w:pos="4111"/>
              </w:tabs>
              <w:spacing w:before="10"/>
              <w:ind w:left="57"/>
              <w:rPr>
                <w:b/>
              </w:rPr>
            </w:pPr>
            <w:r w:rsidRPr="00BF0ED6">
              <w:rPr>
                <w:b/>
              </w:rPr>
              <w:t xml:space="preserve">Circulaire TSB </w:t>
            </w:r>
            <w:r w:rsidR="00434AA7" w:rsidRPr="00BF0ED6">
              <w:rPr>
                <w:b/>
              </w:rPr>
              <w:t>53</w:t>
            </w:r>
          </w:p>
          <w:p w14:paraId="05C8E8DC" w14:textId="42A31F94" w:rsidR="00036F4F" w:rsidRPr="00BF0ED6" w:rsidRDefault="003A2B66" w:rsidP="00093019">
            <w:pPr>
              <w:tabs>
                <w:tab w:val="left" w:pos="4111"/>
              </w:tabs>
              <w:spacing w:before="10"/>
              <w:ind w:left="57"/>
              <w:rPr>
                <w:b/>
              </w:rPr>
            </w:pPr>
            <w:r w:rsidRPr="00BF0ED6">
              <w:t xml:space="preserve">CE </w:t>
            </w:r>
            <w:r w:rsidR="00434AA7" w:rsidRPr="00BF0ED6">
              <w:t>5</w:t>
            </w:r>
            <w:r w:rsidRPr="00BF0ED6">
              <w:t>/</w:t>
            </w:r>
            <w:r w:rsidR="00434AA7" w:rsidRPr="00BF0ED6">
              <w:t>RU</w:t>
            </w:r>
          </w:p>
        </w:tc>
        <w:tc>
          <w:tcPr>
            <w:tcW w:w="4969" w:type="dxa"/>
            <w:gridSpan w:val="3"/>
            <w:vMerge w:val="restart"/>
          </w:tcPr>
          <w:p w14:paraId="37328C34" w14:textId="02AA2674" w:rsidR="00036F4F" w:rsidRPr="00BF0ED6" w:rsidRDefault="00036F4F" w:rsidP="00093019">
            <w:pPr>
              <w:tabs>
                <w:tab w:val="clear" w:pos="794"/>
                <w:tab w:val="clear" w:pos="1191"/>
                <w:tab w:val="clear" w:pos="1588"/>
                <w:tab w:val="clear" w:pos="1985"/>
                <w:tab w:val="left" w:pos="284"/>
              </w:tabs>
              <w:spacing w:before="0"/>
              <w:ind w:left="284" w:hanging="227"/>
            </w:pPr>
            <w:bookmarkStart w:id="0" w:name="Addressee_F"/>
            <w:bookmarkEnd w:id="0"/>
            <w:r w:rsidRPr="00BF0ED6">
              <w:t>-</w:t>
            </w:r>
            <w:r w:rsidRPr="00BF0ED6">
              <w:tab/>
            </w:r>
            <w:r w:rsidR="00AB3AB7" w:rsidRPr="00BF0ED6">
              <w:t>Aux A</w:t>
            </w:r>
            <w:r w:rsidR="003A2B66" w:rsidRPr="00BF0ED6">
              <w:t>dministrations des États Membres de l'Union</w:t>
            </w:r>
          </w:p>
        </w:tc>
      </w:tr>
      <w:tr w:rsidR="00036F4F" w:rsidRPr="00BF0ED6" w14:paraId="4A0BE0B2" w14:textId="77777777" w:rsidTr="00AB3AB7">
        <w:trPr>
          <w:gridBefore w:val="1"/>
          <w:wBefore w:w="8" w:type="dxa"/>
          <w:cantSplit/>
          <w:jc w:val="center"/>
        </w:trPr>
        <w:tc>
          <w:tcPr>
            <w:tcW w:w="1126" w:type="dxa"/>
          </w:tcPr>
          <w:p w14:paraId="1C434C2C" w14:textId="77777777" w:rsidR="00036F4F" w:rsidRPr="00BF0ED6" w:rsidRDefault="00036F4F" w:rsidP="00093019">
            <w:pPr>
              <w:tabs>
                <w:tab w:val="left" w:pos="4111"/>
              </w:tabs>
              <w:spacing w:before="10"/>
              <w:ind w:left="57"/>
              <w:rPr>
                <w:b/>
                <w:bCs/>
                <w:sz w:val="20"/>
              </w:rPr>
            </w:pPr>
            <w:r w:rsidRPr="00BF0ED6">
              <w:rPr>
                <w:b/>
                <w:bCs/>
              </w:rPr>
              <w:t>Tél.:</w:t>
            </w:r>
          </w:p>
        </w:tc>
        <w:tc>
          <w:tcPr>
            <w:tcW w:w="3828" w:type="dxa"/>
            <w:gridSpan w:val="3"/>
          </w:tcPr>
          <w:p w14:paraId="5CCDEA15" w14:textId="17C7B58F" w:rsidR="00036F4F" w:rsidRPr="00BF0ED6" w:rsidRDefault="00036F4F" w:rsidP="00093019">
            <w:pPr>
              <w:tabs>
                <w:tab w:val="left" w:pos="4111"/>
              </w:tabs>
              <w:spacing w:before="0"/>
              <w:ind w:left="57"/>
            </w:pPr>
            <w:r w:rsidRPr="00BF0ED6">
              <w:t>+41 22 730</w:t>
            </w:r>
            <w:r w:rsidR="003A2B66" w:rsidRPr="00BF0ED6">
              <w:t xml:space="preserve"> </w:t>
            </w:r>
            <w:r w:rsidR="00434AA7" w:rsidRPr="00BF0ED6">
              <w:t>5356</w:t>
            </w:r>
          </w:p>
        </w:tc>
        <w:tc>
          <w:tcPr>
            <w:tcW w:w="4969" w:type="dxa"/>
            <w:gridSpan w:val="3"/>
            <w:vMerge/>
          </w:tcPr>
          <w:p w14:paraId="629A0703" w14:textId="77777777" w:rsidR="00036F4F" w:rsidRPr="00BF0ED6" w:rsidRDefault="00036F4F" w:rsidP="00093019">
            <w:pPr>
              <w:tabs>
                <w:tab w:val="left" w:pos="4111"/>
              </w:tabs>
              <w:spacing w:before="0"/>
              <w:rPr>
                <w:b/>
              </w:rPr>
            </w:pPr>
          </w:p>
        </w:tc>
      </w:tr>
      <w:tr w:rsidR="00036F4F" w:rsidRPr="00BF0ED6" w14:paraId="2422C82D" w14:textId="77777777" w:rsidTr="00AB3AB7">
        <w:trPr>
          <w:gridBefore w:val="1"/>
          <w:wBefore w:w="8" w:type="dxa"/>
          <w:cantSplit/>
          <w:jc w:val="center"/>
        </w:trPr>
        <w:tc>
          <w:tcPr>
            <w:tcW w:w="1126" w:type="dxa"/>
          </w:tcPr>
          <w:p w14:paraId="44B7E800" w14:textId="76E4C250" w:rsidR="00036F4F" w:rsidRPr="00BF0ED6" w:rsidRDefault="003A2B66" w:rsidP="00093019">
            <w:pPr>
              <w:tabs>
                <w:tab w:val="left" w:pos="4111"/>
              </w:tabs>
              <w:spacing w:before="10"/>
              <w:ind w:left="57"/>
              <w:rPr>
                <w:b/>
                <w:bCs/>
                <w:sz w:val="20"/>
              </w:rPr>
            </w:pPr>
            <w:r w:rsidRPr="00BF0ED6">
              <w:rPr>
                <w:b/>
                <w:bCs/>
              </w:rPr>
              <w:t>Télécopie:</w:t>
            </w:r>
          </w:p>
        </w:tc>
        <w:tc>
          <w:tcPr>
            <w:tcW w:w="3828" w:type="dxa"/>
            <w:gridSpan w:val="3"/>
          </w:tcPr>
          <w:p w14:paraId="5E4C31F2" w14:textId="77777777" w:rsidR="00036F4F" w:rsidRPr="00BF0ED6" w:rsidRDefault="00036F4F" w:rsidP="00093019">
            <w:pPr>
              <w:tabs>
                <w:tab w:val="left" w:pos="4111"/>
              </w:tabs>
              <w:spacing w:before="0"/>
              <w:ind w:left="57"/>
            </w:pPr>
            <w:r w:rsidRPr="00BF0ED6">
              <w:t>+41 22 730 5853</w:t>
            </w:r>
          </w:p>
        </w:tc>
        <w:tc>
          <w:tcPr>
            <w:tcW w:w="4969" w:type="dxa"/>
            <w:gridSpan w:val="3"/>
            <w:vMerge/>
          </w:tcPr>
          <w:p w14:paraId="2C250AF9" w14:textId="77777777" w:rsidR="00036F4F" w:rsidRPr="00BF0ED6" w:rsidRDefault="00036F4F" w:rsidP="00093019">
            <w:pPr>
              <w:tabs>
                <w:tab w:val="left" w:pos="4111"/>
              </w:tabs>
              <w:spacing w:before="0"/>
              <w:rPr>
                <w:b/>
              </w:rPr>
            </w:pPr>
          </w:p>
        </w:tc>
      </w:tr>
      <w:tr w:rsidR="00517A03" w:rsidRPr="00BF0ED6" w14:paraId="7285BB13" w14:textId="77777777" w:rsidTr="00AB3AB7">
        <w:trPr>
          <w:gridBefore w:val="1"/>
          <w:wBefore w:w="8" w:type="dxa"/>
          <w:cantSplit/>
          <w:jc w:val="center"/>
        </w:trPr>
        <w:tc>
          <w:tcPr>
            <w:tcW w:w="1126" w:type="dxa"/>
          </w:tcPr>
          <w:p w14:paraId="65663864" w14:textId="78375DDE" w:rsidR="00517A03" w:rsidRPr="00BF0ED6" w:rsidRDefault="003A2B66" w:rsidP="00093019">
            <w:pPr>
              <w:tabs>
                <w:tab w:val="left" w:pos="4111"/>
              </w:tabs>
              <w:spacing w:before="10"/>
              <w:ind w:left="57"/>
              <w:rPr>
                <w:b/>
                <w:bCs/>
                <w:sz w:val="20"/>
              </w:rPr>
            </w:pPr>
            <w:r w:rsidRPr="00BF0ED6">
              <w:rPr>
                <w:b/>
                <w:bCs/>
              </w:rPr>
              <w:t>Courriel:</w:t>
            </w:r>
          </w:p>
        </w:tc>
        <w:tc>
          <w:tcPr>
            <w:tcW w:w="3828" w:type="dxa"/>
            <w:gridSpan w:val="3"/>
          </w:tcPr>
          <w:p w14:paraId="1D8E5090" w14:textId="626F72D1" w:rsidR="00517A03" w:rsidRPr="00BF0ED6" w:rsidRDefault="00517A03" w:rsidP="00093019">
            <w:pPr>
              <w:tabs>
                <w:tab w:val="left" w:pos="4111"/>
              </w:tabs>
              <w:spacing w:before="0"/>
              <w:ind w:left="57"/>
            </w:pPr>
          </w:p>
        </w:tc>
        <w:tc>
          <w:tcPr>
            <w:tcW w:w="4969" w:type="dxa"/>
            <w:gridSpan w:val="3"/>
          </w:tcPr>
          <w:p w14:paraId="77B55DEE" w14:textId="77777777" w:rsidR="00517A03" w:rsidRPr="00BF0ED6" w:rsidRDefault="00517A03" w:rsidP="00093019">
            <w:pPr>
              <w:tabs>
                <w:tab w:val="left" w:pos="4111"/>
              </w:tabs>
              <w:spacing w:before="0"/>
            </w:pPr>
            <w:r w:rsidRPr="00BF0ED6">
              <w:rPr>
                <w:b/>
              </w:rPr>
              <w:t>Copie</w:t>
            </w:r>
            <w:r w:rsidRPr="00BF0ED6">
              <w:t>:</w:t>
            </w:r>
          </w:p>
          <w:p w14:paraId="6BDA4E52" w14:textId="77777777" w:rsidR="003A2B66" w:rsidRPr="00BF0ED6" w:rsidRDefault="00517A03" w:rsidP="00093019">
            <w:pPr>
              <w:tabs>
                <w:tab w:val="clear" w:pos="794"/>
                <w:tab w:val="left" w:pos="226"/>
                <w:tab w:val="left" w:pos="4111"/>
              </w:tabs>
              <w:spacing w:before="0"/>
              <w:ind w:left="226" w:hanging="226"/>
            </w:pPr>
            <w:r w:rsidRPr="00BF0ED6">
              <w:t>-</w:t>
            </w:r>
            <w:r w:rsidRPr="00BF0ED6">
              <w:tab/>
            </w:r>
            <w:r w:rsidR="003A2B66" w:rsidRPr="00BF0ED6">
              <w:t>Aux Membres du Secteur UIT-T;</w:t>
            </w:r>
          </w:p>
          <w:p w14:paraId="30FB985A" w14:textId="29DA5401" w:rsidR="003A2B66" w:rsidRPr="00BF0ED6" w:rsidRDefault="003A2B66" w:rsidP="00093019">
            <w:pPr>
              <w:tabs>
                <w:tab w:val="clear" w:pos="794"/>
                <w:tab w:val="left" w:pos="226"/>
                <w:tab w:val="left" w:pos="4111"/>
              </w:tabs>
              <w:spacing w:before="0"/>
              <w:ind w:left="226" w:hanging="226"/>
            </w:pPr>
            <w:r w:rsidRPr="00BF0ED6">
              <w:t>-</w:t>
            </w:r>
            <w:r w:rsidRPr="00BF0ED6">
              <w:tab/>
              <w:t xml:space="preserve">Aux Associés participant aux travaux de la Commission d'études </w:t>
            </w:r>
            <w:r w:rsidR="00434AA7" w:rsidRPr="00BF0ED6">
              <w:t>5</w:t>
            </w:r>
            <w:r w:rsidR="00CA38A2" w:rsidRPr="00BF0ED6">
              <w:t xml:space="preserve"> de l'UIT-T</w:t>
            </w:r>
            <w:r w:rsidRPr="00BF0ED6">
              <w:t>;</w:t>
            </w:r>
          </w:p>
          <w:p w14:paraId="3F107236" w14:textId="3D71F290" w:rsidR="003A2B66" w:rsidRPr="00BF0ED6" w:rsidRDefault="003A2B66" w:rsidP="00093019">
            <w:pPr>
              <w:tabs>
                <w:tab w:val="clear" w:pos="794"/>
                <w:tab w:val="left" w:pos="226"/>
                <w:tab w:val="left" w:pos="4111"/>
              </w:tabs>
              <w:spacing w:before="0"/>
              <w:ind w:left="226" w:hanging="226"/>
            </w:pPr>
            <w:r w:rsidRPr="00BF0ED6">
              <w:t>-</w:t>
            </w:r>
            <w:r w:rsidRPr="00BF0ED6">
              <w:tab/>
              <w:t>Aux établissements universitaires participant aux travaux de l'UIT;</w:t>
            </w:r>
          </w:p>
          <w:p w14:paraId="74FA6053" w14:textId="107DA745" w:rsidR="003A2B66" w:rsidRPr="00BF0ED6" w:rsidRDefault="003A2B66" w:rsidP="00093019">
            <w:pPr>
              <w:tabs>
                <w:tab w:val="clear" w:pos="794"/>
                <w:tab w:val="left" w:pos="226"/>
                <w:tab w:val="left" w:pos="4111"/>
              </w:tabs>
              <w:spacing w:before="0"/>
              <w:ind w:left="226" w:hanging="226"/>
            </w:pPr>
            <w:r w:rsidRPr="00BF0ED6">
              <w:t>-</w:t>
            </w:r>
            <w:r w:rsidRPr="00BF0ED6">
              <w:tab/>
              <w:t xml:space="preserve">Aux Président et Vice-Présidents de la Commission d'études </w:t>
            </w:r>
            <w:r w:rsidR="00434AA7" w:rsidRPr="00BF0ED6">
              <w:t>5</w:t>
            </w:r>
            <w:r w:rsidRPr="00BF0ED6">
              <w:t xml:space="preserve"> de l'UIT-T;</w:t>
            </w:r>
          </w:p>
          <w:p w14:paraId="444E40C5" w14:textId="627B2861" w:rsidR="003A2B66" w:rsidRPr="00BF0ED6" w:rsidRDefault="003A2B66" w:rsidP="00093019">
            <w:pPr>
              <w:tabs>
                <w:tab w:val="clear" w:pos="794"/>
                <w:tab w:val="left" w:pos="226"/>
                <w:tab w:val="left" w:pos="4111"/>
              </w:tabs>
              <w:spacing w:before="0"/>
              <w:ind w:left="226" w:hanging="226"/>
            </w:pPr>
            <w:r w:rsidRPr="00BF0ED6">
              <w:t>-</w:t>
            </w:r>
            <w:r w:rsidRPr="00BF0ED6">
              <w:tab/>
              <w:t>À la Directrice du Bureau de développement des télécommunications;</w:t>
            </w:r>
          </w:p>
          <w:p w14:paraId="11011B6C" w14:textId="1FAC64E0" w:rsidR="00517A03" w:rsidRPr="00BF0ED6" w:rsidRDefault="003A2B66" w:rsidP="00093019">
            <w:pPr>
              <w:tabs>
                <w:tab w:val="clear" w:pos="794"/>
                <w:tab w:val="left" w:pos="226"/>
                <w:tab w:val="left" w:pos="4111"/>
              </w:tabs>
              <w:spacing w:before="0" w:after="120"/>
              <w:ind w:left="226" w:hanging="226"/>
            </w:pPr>
            <w:r w:rsidRPr="00BF0ED6">
              <w:t>-</w:t>
            </w:r>
            <w:r w:rsidRPr="00BF0ED6">
              <w:tab/>
              <w:t>Au Directeur du Bureau des radiocommunications</w:t>
            </w:r>
          </w:p>
        </w:tc>
      </w:tr>
      <w:tr w:rsidR="00517A03" w:rsidRPr="00BF0ED6" w14:paraId="615BC9AD" w14:textId="77777777" w:rsidTr="00AB3AB7">
        <w:trPr>
          <w:gridBefore w:val="1"/>
          <w:gridAfter w:val="1"/>
          <w:wBefore w:w="8" w:type="dxa"/>
          <w:wAfter w:w="8" w:type="dxa"/>
          <w:cantSplit/>
          <w:trHeight w:val="844"/>
          <w:jc w:val="center"/>
        </w:trPr>
        <w:tc>
          <w:tcPr>
            <w:tcW w:w="1126" w:type="dxa"/>
          </w:tcPr>
          <w:p w14:paraId="0F66CBA1" w14:textId="77777777" w:rsidR="00517A03" w:rsidRPr="00BF0ED6" w:rsidRDefault="00517A03" w:rsidP="00093019">
            <w:pPr>
              <w:tabs>
                <w:tab w:val="left" w:pos="4111"/>
              </w:tabs>
              <w:ind w:left="57"/>
              <w:rPr>
                <w:b/>
                <w:bCs/>
                <w:szCs w:val="22"/>
              </w:rPr>
            </w:pPr>
            <w:r w:rsidRPr="00BF0ED6">
              <w:rPr>
                <w:b/>
                <w:bCs/>
                <w:szCs w:val="22"/>
              </w:rPr>
              <w:t>Objet:</w:t>
            </w:r>
          </w:p>
        </w:tc>
        <w:tc>
          <w:tcPr>
            <w:tcW w:w="8789" w:type="dxa"/>
            <w:gridSpan w:val="5"/>
          </w:tcPr>
          <w:p w14:paraId="759E9F8D" w14:textId="48407D4E" w:rsidR="00517A03" w:rsidRPr="00BF0ED6" w:rsidRDefault="003A2B66" w:rsidP="00093019">
            <w:pPr>
              <w:tabs>
                <w:tab w:val="left" w:pos="4111"/>
              </w:tabs>
              <w:spacing w:after="240"/>
              <w:ind w:left="57"/>
              <w:rPr>
                <w:b/>
                <w:bCs/>
                <w:szCs w:val="24"/>
              </w:rPr>
            </w:pPr>
            <w:r w:rsidRPr="00BF0ED6">
              <w:rPr>
                <w:b/>
                <w:bCs/>
                <w:szCs w:val="24"/>
              </w:rPr>
              <w:t>Proposition de suppression de</w:t>
            </w:r>
            <w:r w:rsidR="00434AA7" w:rsidRPr="00BF0ED6">
              <w:rPr>
                <w:b/>
                <w:bCs/>
                <w:szCs w:val="24"/>
              </w:rPr>
              <w:t xml:space="preserve">s </w:t>
            </w:r>
            <w:r w:rsidRPr="00BF0ED6">
              <w:rPr>
                <w:b/>
                <w:bCs/>
                <w:szCs w:val="24"/>
              </w:rPr>
              <w:t>Recommandation</w:t>
            </w:r>
            <w:r w:rsidR="00434AA7" w:rsidRPr="00BF0ED6">
              <w:rPr>
                <w:b/>
                <w:bCs/>
                <w:szCs w:val="24"/>
              </w:rPr>
              <w:t>s</w:t>
            </w:r>
            <w:r w:rsidRPr="00BF0ED6">
              <w:rPr>
                <w:b/>
                <w:bCs/>
                <w:szCs w:val="24"/>
              </w:rPr>
              <w:t xml:space="preserve"> UIT-T </w:t>
            </w:r>
            <w:r w:rsidR="00C24926" w:rsidRPr="00BF0ED6">
              <w:rPr>
                <w:b/>
                <w:szCs w:val="24"/>
              </w:rPr>
              <w:t>K.43,</w:t>
            </w:r>
            <w:r w:rsidR="00434AA7" w:rsidRPr="00BF0ED6">
              <w:rPr>
                <w:b/>
                <w:szCs w:val="24"/>
              </w:rPr>
              <w:t xml:space="preserve"> K.48 et K.88</w:t>
            </w:r>
            <w:r w:rsidR="001421FB" w:rsidRPr="00BF0ED6">
              <w:rPr>
                <w:b/>
                <w:szCs w:val="24"/>
              </w:rPr>
              <w:t>,</w:t>
            </w:r>
            <w:r w:rsidR="00434AA7" w:rsidRPr="00BF0ED6">
              <w:rPr>
                <w:b/>
                <w:szCs w:val="24"/>
              </w:rPr>
              <w:t xml:space="preserve"> </w:t>
            </w:r>
            <w:r w:rsidR="001421FB" w:rsidRPr="00BF0ED6">
              <w:rPr>
                <w:b/>
                <w:bCs/>
                <w:szCs w:val="24"/>
              </w:rPr>
              <w:t xml:space="preserve">conformément à la décision prise </w:t>
            </w:r>
            <w:r w:rsidR="00C176C5" w:rsidRPr="00BF0ED6">
              <w:rPr>
                <w:b/>
                <w:bCs/>
                <w:szCs w:val="24"/>
              </w:rPr>
              <w:t xml:space="preserve">par </w:t>
            </w:r>
            <w:r w:rsidR="00CA38A2" w:rsidRPr="00BF0ED6">
              <w:rPr>
                <w:b/>
                <w:bCs/>
                <w:szCs w:val="24"/>
              </w:rPr>
              <w:t xml:space="preserve">la </w:t>
            </w:r>
            <w:r w:rsidR="00C176C5" w:rsidRPr="00BF0ED6">
              <w:rPr>
                <w:b/>
                <w:bCs/>
                <w:szCs w:val="24"/>
              </w:rPr>
              <w:t>CE</w:t>
            </w:r>
            <w:r w:rsidR="00A003B0" w:rsidRPr="00BF0ED6">
              <w:rPr>
                <w:b/>
                <w:bCs/>
                <w:szCs w:val="24"/>
              </w:rPr>
              <w:t> </w:t>
            </w:r>
            <w:r w:rsidR="00C24926" w:rsidRPr="00BF0ED6">
              <w:rPr>
                <w:b/>
                <w:bCs/>
                <w:szCs w:val="24"/>
              </w:rPr>
              <w:t>5</w:t>
            </w:r>
            <w:r w:rsidR="00CA38A2" w:rsidRPr="00BF0ED6">
              <w:rPr>
                <w:b/>
                <w:bCs/>
                <w:szCs w:val="24"/>
              </w:rPr>
              <w:t xml:space="preserve"> de l'UIT-T </w:t>
            </w:r>
            <w:r w:rsidR="00C176C5" w:rsidRPr="00BF0ED6">
              <w:rPr>
                <w:b/>
                <w:bCs/>
                <w:szCs w:val="24"/>
              </w:rPr>
              <w:t xml:space="preserve">à sa réunion </w:t>
            </w:r>
            <w:r w:rsidRPr="00BF0ED6">
              <w:rPr>
                <w:b/>
                <w:bCs/>
                <w:szCs w:val="24"/>
              </w:rPr>
              <w:t>du </w:t>
            </w:r>
            <w:r w:rsidR="00C24926" w:rsidRPr="00BF0ED6">
              <w:rPr>
                <w:b/>
                <w:bCs/>
                <w:szCs w:val="24"/>
              </w:rPr>
              <w:t>17</w:t>
            </w:r>
            <w:r w:rsidR="00C30986" w:rsidRPr="00BF0ED6">
              <w:rPr>
                <w:b/>
                <w:bCs/>
                <w:szCs w:val="24"/>
              </w:rPr>
              <w:t> </w:t>
            </w:r>
            <w:r w:rsidRPr="00BF0ED6">
              <w:rPr>
                <w:b/>
                <w:bCs/>
                <w:szCs w:val="24"/>
              </w:rPr>
              <w:t>au</w:t>
            </w:r>
            <w:r w:rsidR="00BF0ED6" w:rsidRPr="00BF0ED6">
              <w:rPr>
                <w:b/>
                <w:bCs/>
                <w:szCs w:val="24"/>
              </w:rPr>
              <w:t> </w:t>
            </w:r>
            <w:r w:rsidR="00C24926" w:rsidRPr="00BF0ED6">
              <w:rPr>
                <w:b/>
                <w:bCs/>
                <w:szCs w:val="24"/>
              </w:rPr>
              <w:t>27</w:t>
            </w:r>
            <w:r w:rsidR="00BF0ED6" w:rsidRPr="00BF0ED6">
              <w:rPr>
                <w:b/>
                <w:bCs/>
                <w:szCs w:val="24"/>
              </w:rPr>
              <w:t> </w:t>
            </w:r>
            <w:r w:rsidR="00C24926" w:rsidRPr="00BF0ED6">
              <w:rPr>
                <w:b/>
                <w:bCs/>
                <w:szCs w:val="24"/>
              </w:rPr>
              <w:t>octobre</w:t>
            </w:r>
            <w:r w:rsidR="00BF0ED6" w:rsidRPr="00BF0ED6">
              <w:rPr>
                <w:b/>
                <w:bCs/>
                <w:szCs w:val="24"/>
              </w:rPr>
              <w:t> </w:t>
            </w:r>
            <w:r w:rsidRPr="00BF0ED6">
              <w:rPr>
                <w:b/>
                <w:bCs/>
                <w:szCs w:val="24"/>
              </w:rPr>
              <w:t>202</w:t>
            </w:r>
            <w:r w:rsidR="00F54B08" w:rsidRPr="00BF0ED6">
              <w:rPr>
                <w:b/>
                <w:bCs/>
                <w:szCs w:val="24"/>
              </w:rPr>
              <w:t>2</w:t>
            </w:r>
            <w:r w:rsidR="00B37E0F" w:rsidRPr="00BF0ED6">
              <w:rPr>
                <w:b/>
                <w:bCs/>
                <w:szCs w:val="24"/>
              </w:rPr>
              <w:t xml:space="preserve"> à</w:t>
            </w:r>
            <w:r w:rsidR="00C24926" w:rsidRPr="00BF0ED6">
              <w:rPr>
                <w:b/>
                <w:bCs/>
                <w:szCs w:val="24"/>
              </w:rPr>
              <w:t xml:space="preserve"> Rome (Italie)</w:t>
            </w:r>
          </w:p>
        </w:tc>
      </w:tr>
    </w:tbl>
    <w:p w14:paraId="1954C997" w14:textId="413260BD" w:rsidR="00517A03" w:rsidRPr="00BF0ED6" w:rsidRDefault="00517A03" w:rsidP="00093019">
      <w:pPr>
        <w:spacing w:before="480"/>
      </w:pPr>
      <w:bookmarkStart w:id="1" w:name="StartTyping_F"/>
      <w:bookmarkEnd w:id="1"/>
      <w:r w:rsidRPr="00BF0ED6">
        <w:t>Madame, Monsieur,</w:t>
      </w:r>
    </w:p>
    <w:p w14:paraId="3869F1A7" w14:textId="3499D38A" w:rsidR="003A2B66" w:rsidRPr="00BF0ED6" w:rsidRDefault="003A2B66" w:rsidP="00093019">
      <w:pPr>
        <w:rPr>
          <w:bCs/>
        </w:rPr>
      </w:pPr>
      <w:r w:rsidRPr="00BF0ED6">
        <w:rPr>
          <w:bCs/>
        </w:rPr>
        <w:t>1</w:t>
      </w:r>
      <w:r w:rsidRPr="00BF0ED6">
        <w:rPr>
          <w:bCs/>
        </w:rPr>
        <w:tab/>
        <w:t xml:space="preserve">À la demande du Président de la Commission d'études </w:t>
      </w:r>
      <w:r w:rsidR="00C24926" w:rsidRPr="00BF0ED6">
        <w:rPr>
          <w:bCs/>
        </w:rPr>
        <w:t>5</w:t>
      </w:r>
      <w:r w:rsidR="00F54B08" w:rsidRPr="00BF0ED6">
        <w:rPr>
          <w:szCs w:val="24"/>
        </w:rPr>
        <w:t xml:space="preserve"> (</w:t>
      </w:r>
      <w:r w:rsidR="00C24926" w:rsidRPr="00BF0ED6">
        <w:rPr>
          <w:i/>
          <w:color w:val="000000"/>
        </w:rPr>
        <w:t>Champs électromagnétiques, environnement, lutte contre les changements climatiques, passage durable au tout numérique et économie circulaire</w:t>
      </w:r>
      <w:r w:rsidR="00F54B08" w:rsidRPr="00BF0ED6">
        <w:rPr>
          <w:szCs w:val="24"/>
        </w:rPr>
        <w:t>)</w:t>
      </w:r>
      <w:r w:rsidRPr="00BF0ED6">
        <w:rPr>
          <w:bCs/>
          <w:szCs w:val="24"/>
        </w:rPr>
        <w:t xml:space="preserve">, </w:t>
      </w:r>
      <w:r w:rsidRPr="00BF0ED6">
        <w:rPr>
          <w:bCs/>
        </w:rPr>
        <w:t xml:space="preserve">j'ai l'honneur de vous informer que cette </w:t>
      </w:r>
      <w:r w:rsidR="00BF0ED6" w:rsidRPr="00BF0ED6">
        <w:rPr>
          <w:bCs/>
        </w:rPr>
        <w:t>C</w:t>
      </w:r>
      <w:r w:rsidR="0023149D" w:rsidRPr="00BF0ED6">
        <w:rPr>
          <w:bCs/>
        </w:rPr>
        <w:t xml:space="preserve">ommission </w:t>
      </w:r>
      <w:r w:rsidRPr="00BF0ED6">
        <w:rPr>
          <w:bCs/>
        </w:rPr>
        <w:t xml:space="preserve">d'études, à sa réunion tenue du </w:t>
      </w:r>
      <w:r w:rsidR="00C24926" w:rsidRPr="00BF0ED6">
        <w:rPr>
          <w:bCs/>
        </w:rPr>
        <w:t>17 au 27 octobre</w:t>
      </w:r>
      <w:r w:rsidRPr="00BF0ED6">
        <w:rPr>
          <w:bCs/>
        </w:rPr>
        <w:t xml:space="preserve"> 2022</w:t>
      </w:r>
      <w:r w:rsidR="00C24926" w:rsidRPr="00BF0ED6">
        <w:rPr>
          <w:bCs/>
        </w:rPr>
        <w:t xml:space="preserve"> à Rome (Italie),</w:t>
      </w:r>
      <w:r w:rsidRPr="00BF0ED6">
        <w:rPr>
          <w:bCs/>
        </w:rPr>
        <w:t xml:space="preserve"> a décidé </w:t>
      </w:r>
      <w:r w:rsidR="00C74B87" w:rsidRPr="00BF0ED6">
        <w:rPr>
          <w:color w:val="000000"/>
        </w:rPr>
        <w:t>d'entamer la procédure de</w:t>
      </w:r>
      <w:r w:rsidR="00C74B87" w:rsidRPr="00BF0ED6" w:rsidDel="00C74B87">
        <w:rPr>
          <w:bCs/>
        </w:rPr>
        <w:t xml:space="preserve"> </w:t>
      </w:r>
      <w:r w:rsidR="00A139BE" w:rsidRPr="00BF0ED6">
        <w:rPr>
          <w:bCs/>
        </w:rPr>
        <w:t>suppression de</w:t>
      </w:r>
      <w:r w:rsidR="00C24926" w:rsidRPr="00BF0ED6">
        <w:rPr>
          <w:bCs/>
        </w:rPr>
        <w:t>s</w:t>
      </w:r>
      <w:r w:rsidR="00A139BE" w:rsidRPr="00BF0ED6">
        <w:rPr>
          <w:bCs/>
        </w:rPr>
        <w:t xml:space="preserve"> </w:t>
      </w:r>
      <w:r w:rsidRPr="00BF0ED6">
        <w:rPr>
          <w:bCs/>
        </w:rPr>
        <w:t>Recommandation</w:t>
      </w:r>
      <w:r w:rsidR="00C24926" w:rsidRPr="00BF0ED6">
        <w:rPr>
          <w:bCs/>
        </w:rPr>
        <w:t>s</w:t>
      </w:r>
      <w:r w:rsidRPr="00BF0ED6">
        <w:rPr>
          <w:bCs/>
        </w:rPr>
        <w:t xml:space="preserve"> UIT-T </w:t>
      </w:r>
      <w:r w:rsidR="00A139BE" w:rsidRPr="00BF0ED6">
        <w:rPr>
          <w:bCs/>
        </w:rPr>
        <w:t>susmentionnée</w:t>
      </w:r>
      <w:r w:rsidR="00C24926" w:rsidRPr="00BF0ED6">
        <w:rPr>
          <w:bCs/>
        </w:rPr>
        <w:t>s</w:t>
      </w:r>
      <w:r w:rsidRPr="00BF0ED6">
        <w:rPr>
          <w:bCs/>
        </w:rPr>
        <w:t>, conformément aux dispositions du</w:t>
      </w:r>
      <w:r w:rsidR="006361AF" w:rsidRPr="00BF0ED6">
        <w:rPr>
          <w:bCs/>
        </w:rPr>
        <w:t xml:space="preserve"> </w:t>
      </w:r>
      <w:r w:rsidR="00C24926" w:rsidRPr="00BF0ED6">
        <w:rPr>
          <w:bCs/>
        </w:rPr>
        <w:t>§ 9.8.2 de la Section </w:t>
      </w:r>
      <w:r w:rsidRPr="00BF0ED6">
        <w:rPr>
          <w:bCs/>
        </w:rPr>
        <w:t xml:space="preserve">9 de la Résolution 1 de l'AMNT (Rév. Genève, 2022). </w:t>
      </w:r>
      <w:r w:rsidR="00C74B87" w:rsidRPr="00BF0ED6">
        <w:rPr>
          <w:bCs/>
        </w:rPr>
        <w:t xml:space="preserve">Les </w:t>
      </w:r>
      <w:r w:rsidRPr="00BF0ED6">
        <w:rPr>
          <w:bCs/>
        </w:rPr>
        <w:t xml:space="preserve">États Membres </w:t>
      </w:r>
      <w:r w:rsidR="00DD7068" w:rsidRPr="00BF0ED6">
        <w:rPr>
          <w:bCs/>
        </w:rPr>
        <w:t xml:space="preserve">ou </w:t>
      </w:r>
      <w:r w:rsidR="00C74B87" w:rsidRPr="00BF0ED6">
        <w:rPr>
          <w:bCs/>
        </w:rPr>
        <w:t xml:space="preserve">les </w:t>
      </w:r>
      <w:r w:rsidRPr="00BF0ED6">
        <w:rPr>
          <w:bCs/>
        </w:rPr>
        <w:t xml:space="preserve">Membres </w:t>
      </w:r>
      <w:r w:rsidR="00C74B87" w:rsidRPr="00BF0ED6">
        <w:rPr>
          <w:bCs/>
        </w:rPr>
        <w:t xml:space="preserve">de </w:t>
      </w:r>
      <w:r w:rsidRPr="00BF0ED6">
        <w:rPr>
          <w:bCs/>
        </w:rPr>
        <w:t xml:space="preserve">Secteur </w:t>
      </w:r>
      <w:r w:rsidR="00C74B87" w:rsidRPr="00BF0ED6">
        <w:rPr>
          <w:bCs/>
        </w:rPr>
        <w:t>ayant</w:t>
      </w:r>
      <w:r w:rsidRPr="00BF0ED6">
        <w:rPr>
          <w:bCs/>
        </w:rPr>
        <w:t xml:space="preserve"> participé à la réunion</w:t>
      </w:r>
      <w:r w:rsidR="00C74B87" w:rsidRPr="00BF0ED6">
        <w:rPr>
          <w:bCs/>
        </w:rPr>
        <w:t xml:space="preserve"> n</w:t>
      </w:r>
      <w:r w:rsidR="006361AF" w:rsidRPr="00BF0ED6">
        <w:rPr>
          <w:bCs/>
        </w:rPr>
        <w:t>'</w:t>
      </w:r>
      <w:r w:rsidR="00C74B87" w:rsidRPr="00BF0ED6">
        <w:rPr>
          <w:bCs/>
        </w:rPr>
        <w:t>ont émis aucune objection contre cette décision</w:t>
      </w:r>
      <w:r w:rsidRPr="00BF0ED6">
        <w:rPr>
          <w:bCs/>
        </w:rPr>
        <w:t>.</w:t>
      </w:r>
    </w:p>
    <w:p w14:paraId="5368681C" w14:textId="77777777" w:rsidR="003A2B66" w:rsidRPr="00BF0ED6" w:rsidRDefault="003A2B66" w:rsidP="00093019">
      <w:pPr>
        <w:rPr>
          <w:bCs/>
        </w:rPr>
      </w:pPr>
      <w:r w:rsidRPr="00BF0ED6">
        <w:rPr>
          <w:bCs/>
        </w:rPr>
        <w:t>2</w:t>
      </w:r>
      <w:r w:rsidRPr="00BF0ED6">
        <w:rPr>
          <w:bCs/>
        </w:rPr>
        <w:tab/>
        <w:t>L'</w:t>
      </w:r>
      <w:r w:rsidRPr="00BF0ED6">
        <w:rPr>
          <w:b/>
          <w:bCs/>
        </w:rPr>
        <w:t>Annexe 1</w:t>
      </w:r>
      <w:r w:rsidRPr="00BF0ED6">
        <w:rPr>
          <w:bCs/>
        </w:rPr>
        <w:t xml:space="preserve"> donne des informations sur cette décision et contient un résumé explicatif des motifs de la suppression.</w:t>
      </w:r>
    </w:p>
    <w:p w14:paraId="676EEF35" w14:textId="5B63D4FB" w:rsidR="003A2B66" w:rsidRPr="00BF0ED6" w:rsidRDefault="003A2B66" w:rsidP="00093019">
      <w:pPr>
        <w:rPr>
          <w:bCs/>
        </w:rPr>
      </w:pPr>
      <w:r w:rsidRPr="00BF0ED6">
        <w:rPr>
          <w:bCs/>
        </w:rPr>
        <w:t>3</w:t>
      </w:r>
      <w:r w:rsidRPr="00BF0ED6">
        <w:rPr>
          <w:bCs/>
        </w:rPr>
        <w:tab/>
        <w:t>Eu égard aux dispositions de la Section 9 de la Résolution 1, je vous serais reconnaissant de bien vouloir m'informer</w:t>
      </w:r>
      <w:r w:rsidR="00CA38A2" w:rsidRPr="00BF0ED6">
        <w:rPr>
          <w:bCs/>
        </w:rPr>
        <w:t>,</w:t>
      </w:r>
      <w:r w:rsidRPr="00BF0ED6">
        <w:rPr>
          <w:bCs/>
        </w:rPr>
        <w:t xml:space="preserve"> d'ici </w:t>
      </w:r>
      <w:r w:rsidRPr="00BF0ED6">
        <w:t xml:space="preserve">au </w:t>
      </w:r>
      <w:bookmarkStart w:id="2" w:name="_Hlk110404325"/>
      <w:r w:rsidR="00C24926" w:rsidRPr="00BF0ED6">
        <w:rPr>
          <w:b/>
          <w:bCs/>
        </w:rPr>
        <w:t>4 février</w:t>
      </w:r>
      <w:r w:rsidRPr="00BF0ED6">
        <w:rPr>
          <w:b/>
          <w:bCs/>
        </w:rPr>
        <w:t xml:space="preserve"> </w:t>
      </w:r>
      <w:bookmarkEnd w:id="2"/>
      <w:r w:rsidRPr="00BF0ED6">
        <w:rPr>
          <w:b/>
          <w:bCs/>
        </w:rPr>
        <w:t>202</w:t>
      </w:r>
      <w:r w:rsidR="00C24926" w:rsidRPr="00BF0ED6">
        <w:rPr>
          <w:b/>
          <w:bCs/>
        </w:rPr>
        <w:t>3</w:t>
      </w:r>
      <w:r w:rsidR="00CA38A2" w:rsidRPr="00BF0ED6">
        <w:rPr>
          <w:bCs/>
        </w:rPr>
        <w:t xml:space="preserve"> </w:t>
      </w:r>
      <w:r w:rsidRPr="00BF0ED6">
        <w:rPr>
          <w:bCs/>
        </w:rPr>
        <w:t>à 24 heures UTC au plus tard, si votre Administration/organisation approuve ou rejette cette suppression.</w:t>
      </w:r>
    </w:p>
    <w:p w14:paraId="25DBB9D1" w14:textId="03DF13C2" w:rsidR="003A2B66" w:rsidRPr="00BF0ED6" w:rsidRDefault="003A2B66" w:rsidP="00BF0ED6">
      <w:r w:rsidRPr="00BF0ED6">
        <w:t>Au cas où des États Membres ou des Membres du Secteur estimeraient que la suppression ne doit pas être acceptée, ils devraient indiquer le motif de leur désaccord et la question serait renvoyée à la commission d'études.</w:t>
      </w:r>
    </w:p>
    <w:p w14:paraId="79746089" w14:textId="5B5C9568" w:rsidR="003A2B66" w:rsidRPr="00BF0ED6" w:rsidRDefault="003A2B66" w:rsidP="00093019">
      <w:pPr>
        <w:rPr>
          <w:bCs/>
        </w:rPr>
      </w:pPr>
      <w:r w:rsidRPr="00BF0ED6">
        <w:rPr>
          <w:bCs/>
        </w:rPr>
        <w:t>4</w:t>
      </w:r>
      <w:r w:rsidRPr="00BF0ED6">
        <w:rPr>
          <w:bCs/>
        </w:rPr>
        <w:tab/>
        <w:t>Après la date limite susmentionnée (</w:t>
      </w:r>
      <w:r w:rsidR="00C24926" w:rsidRPr="00BF0ED6">
        <w:rPr>
          <w:b/>
          <w:bCs/>
        </w:rPr>
        <w:t>4 février 2023</w:t>
      </w:r>
      <w:r w:rsidRPr="00BF0ED6">
        <w:rPr>
          <w:bCs/>
        </w:rPr>
        <w:t>), le Directeur du TSB fera connaître, dans une circulaire, le résultat de la consultation. Cette information sera également publiée dans le Bulletin d'exploitation de l'UIT.</w:t>
      </w:r>
    </w:p>
    <w:p w14:paraId="00A87144" w14:textId="61CA5E67" w:rsidR="003A2B66" w:rsidRPr="00BF0ED6" w:rsidRDefault="003A2B66" w:rsidP="00093019">
      <w:pPr>
        <w:rPr>
          <w:bCs/>
        </w:rPr>
      </w:pPr>
      <w:r w:rsidRPr="00BF0ED6">
        <w:rPr>
          <w:bCs/>
        </w:rPr>
        <w:lastRenderedPageBreak/>
        <w:t>Veuillez agréer, Madame, Monsieur, l'assurance de ma considération distinguée.</w:t>
      </w:r>
    </w:p>
    <w:p w14:paraId="3B02CD60" w14:textId="2B946DE9" w:rsidR="003A2B66" w:rsidRPr="00BF0ED6" w:rsidRDefault="002B7FE0" w:rsidP="00295E79">
      <w:pPr>
        <w:keepNext/>
        <w:keepLines/>
        <w:spacing w:before="960"/>
        <w:ind w:right="-284"/>
        <w:rPr>
          <w:b/>
        </w:rPr>
      </w:pPr>
      <w:r>
        <w:rPr>
          <w:bCs/>
          <w:noProof/>
        </w:rPr>
        <w:drawing>
          <wp:anchor distT="0" distB="0" distL="114300" distR="114300" simplePos="0" relativeHeight="251658240" behindDoc="1" locked="0" layoutInCell="1" allowOverlap="1" wp14:anchorId="42E471D9" wp14:editId="13EFFB8A">
            <wp:simplePos x="0" y="0"/>
            <wp:positionH relativeFrom="column">
              <wp:posOffset>635</wp:posOffset>
            </wp:positionH>
            <wp:positionV relativeFrom="paragraph">
              <wp:posOffset>114935</wp:posOffset>
            </wp:positionV>
            <wp:extent cx="537633" cy="403225"/>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37633" cy="403225"/>
                    </a:xfrm>
                    <a:prstGeom prst="rect">
                      <a:avLst/>
                    </a:prstGeom>
                  </pic:spPr>
                </pic:pic>
              </a:graphicData>
            </a:graphic>
            <wp14:sizeRelH relativeFrom="margin">
              <wp14:pctWidth>0</wp14:pctWidth>
            </wp14:sizeRelH>
            <wp14:sizeRelV relativeFrom="margin">
              <wp14:pctHeight>0</wp14:pctHeight>
            </wp14:sizeRelV>
          </wp:anchor>
        </w:drawing>
      </w:r>
      <w:r w:rsidR="00036F4F" w:rsidRPr="00BF0ED6">
        <w:t>Chaesub Lee</w:t>
      </w:r>
      <w:r w:rsidR="00036F4F" w:rsidRPr="00BF0ED6">
        <w:br/>
        <w:t xml:space="preserve">Directeur du Bureau de la normalisation </w:t>
      </w:r>
      <w:r w:rsidR="00036F4F" w:rsidRPr="00BF0ED6">
        <w:br/>
        <w:t>des télécommunications</w:t>
      </w:r>
    </w:p>
    <w:p w14:paraId="57488217" w14:textId="7531367D" w:rsidR="003A2B66" w:rsidRPr="00BF0ED6" w:rsidRDefault="003A2B66" w:rsidP="00093019">
      <w:pPr>
        <w:spacing w:before="840"/>
        <w:rPr>
          <w:bCs/>
        </w:rPr>
      </w:pPr>
      <w:r w:rsidRPr="00BF0ED6">
        <w:rPr>
          <w:b/>
          <w:bCs/>
        </w:rPr>
        <w:t>Annexe</w:t>
      </w:r>
      <w:r w:rsidRPr="00BF0ED6">
        <w:rPr>
          <w:bCs/>
        </w:rPr>
        <w:t>: 1</w:t>
      </w:r>
    </w:p>
    <w:p w14:paraId="7C04465A" w14:textId="1D14F29B" w:rsidR="00101288" w:rsidRPr="00BF0ED6" w:rsidRDefault="00101288" w:rsidP="00093019">
      <w:r w:rsidRPr="00BF0ED6">
        <w:br w:type="page"/>
      </w:r>
    </w:p>
    <w:p w14:paraId="47ABF694" w14:textId="110F5D43" w:rsidR="00101288" w:rsidRPr="00BF0ED6" w:rsidRDefault="00101288" w:rsidP="00093019">
      <w:pPr>
        <w:pStyle w:val="AnnexTitle"/>
        <w:rPr>
          <w:sz w:val="28"/>
          <w:szCs w:val="28"/>
        </w:rPr>
      </w:pPr>
      <w:r w:rsidRPr="00BF0ED6">
        <w:rPr>
          <w:sz w:val="28"/>
          <w:szCs w:val="28"/>
        </w:rPr>
        <w:lastRenderedPageBreak/>
        <w:t>Annexe 1</w:t>
      </w:r>
      <w:r w:rsidR="0032506C" w:rsidRPr="00BF0ED6">
        <w:rPr>
          <w:sz w:val="28"/>
          <w:szCs w:val="28"/>
        </w:rPr>
        <w:br/>
      </w:r>
      <w:r w:rsidRPr="00BF0ED6">
        <w:rPr>
          <w:sz w:val="28"/>
          <w:szCs w:val="28"/>
        </w:rPr>
        <w:br/>
      </w:r>
      <w:r w:rsidR="00DD7068" w:rsidRPr="00BF0ED6">
        <w:rPr>
          <w:sz w:val="28"/>
          <w:szCs w:val="28"/>
        </w:rPr>
        <w:t>Recommandation</w:t>
      </w:r>
      <w:r w:rsidR="00C24926" w:rsidRPr="00BF0ED6">
        <w:rPr>
          <w:sz w:val="28"/>
          <w:szCs w:val="28"/>
        </w:rPr>
        <w:t>s</w:t>
      </w:r>
      <w:r w:rsidR="00DD7068" w:rsidRPr="00BF0ED6">
        <w:rPr>
          <w:sz w:val="28"/>
          <w:szCs w:val="28"/>
        </w:rPr>
        <w:t xml:space="preserve"> qu'il est proposé de supprimer</w:t>
      </w:r>
      <w:r w:rsidRPr="00BF0ED6">
        <w:rPr>
          <w:sz w:val="28"/>
          <w:szCs w:val="28"/>
        </w:rPr>
        <w:t xml:space="preserve">: </w:t>
      </w:r>
      <w:r w:rsidR="00F54B08" w:rsidRPr="00BF0ED6">
        <w:rPr>
          <w:sz w:val="28"/>
          <w:szCs w:val="28"/>
        </w:rPr>
        <w:t>UIT</w:t>
      </w:r>
      <w:r w:rsidRPr="00BF0ED6">
        <w:rPr>
          <w:sz w:val="28"/>
          <w:szCs w:val="28"/>
        </w:rPr>
        <w:t xml:space="preserve">-T </w:t>
      </w:r>
      <w:r w:rsidR="00C24926" w:rsidRPr="00BF0ED6">
        <w:rPr>
          <w:sz w:val="28"/>
          <w:szCs w:val="28"/>
        </w:rPr>
        <w:t>K.43, K.48 et K.88</w:t>
      </w:r>
    </w:p>
    <w:p w14:paraId="76C0A586" w14:textId="15E6BE87" w:rsidR="00C24926" w:rsidRPr="00BF0ED6" w:rsidRDefault="004C47A2" w:rsidP="00093019">
      <w:pPr>
        <w:pStyle w:val="headingb"/>
        <w:spacing w:before="480"/>
        <w:rPr>
          <w:szCs w:val="24"/>
        </w:rPr>
      </w:pPr>
      <w:r w:rsidRPr="00BF0ED6">
        <w:rPr>
          <w:bCs/>
          <w:szCs w:val="24"/>
          <w:lang w:eastAsia="ja-JP"/>
        </w:rPr>
        <w:t>Recommandation UIT-T K.43</w:t>
      </w:r>
      <w:r w:rsidR="001E135D" w:rsidRPr="00BF0ED6">
        <w:rPr>
          <w:szCs w:val="24"/>
        </w:rPr>
        <w:t xml:space="preserve"> "</w:t>
      </w:r>
      <w:r w:rsidRPr="00BF0ED6">
        <w:rPr>
          <w:szCs w:val="24"/>
        </w:rPr>
        <w:t>Prescriptions</w:t>
      </w:r>
      <w:r w:rsidRPr="00BF0ED6">
        <w:rPr>
          <w:spacing w:val="-9"/>
          <w:szCs w:val="24"/>
        </w:rPr>
        <w:t xml:space="preserve"> </w:t>
      </w:r>
      <w:r w:rsidRPr="00BF0ED6">
        <w:rPr>
          <w:szCs w:val="24"/>
        </w:rPr>
        <w:t>d'immunité</w:t>
      </w:r>
      <w:r w:rsidRPr="00BF0ED6">
        <w:rPr>
          <w:spacing w:val="-9"/>
          <w:szCs w:val="24"/>
        </w:rPr>
        <w:t xml:space="preserve"> </w:t>
      </w:r>
      <w:r w:rsidRPr="00BF0ED6">
        <w:rPr>
          <w:szCs w:val="24"/>
        </w:rPr>
        <w:t>pour</w:t>
      </w:r>
      <w:r w:rsidRPr="00BF0ED6">
        <w:rPr>
          <w:spacing w:val="-9"/>
          <w:szCs w:val="24"/>
        </w:rPr>
        <w:t xml:space="preserve"> </w:t>
      </w:r>
      <w:r w:rsidRPr="00BF0ED6">
        <w:rPr>
          <w:szCs w:val="24"/>
        </w:rPr>
        <w:t>les</w:t>
      </w:r>
      <w:r w:rsidRPr="00BF0ED6">
        <w:rPr>
          <w:spacing w:val="-9"/>
          <w:szCs w:val="24"/>
        </w:rPr>
        <w:t xml:space="preserve"> </w:t>
      </w:r>
      <w:r w:rsidRPr="00BF0ED6">
        <w:rPr>
          <w:szCs w:val="24"/>
        </w:rPr>
        <w:t xml:space="preserve">équipements de </w:t>
      </w:r>
      <w:r w:rsidR="00BD24E1" w:rsidRPr="00BF0ED6">
        <w:rPr>
          <w:szCs w:val="24"/>
        </w:rPr>
        <w:t xml:space="preserve">réseau de </w:t>
      </w:r>
      <w:r w:rsidRPr="00BF0ED6">
        <w:rPr>
          <w:szCs w:val="24"/>
        </w:rPr>
        <w:t>télécommunication</w:t>
      </w:r>
      <w:r w:rsidR="001E135D" w:rsidRPr="00BF0ED6">
        <w:rPr>
          <w:szCs w:val="24"/>
        </w:rPr>
        <w:t>"</w:t>
      </w:r>
    </w:p>
    <w:p w14:paraId="642F042B" w14:textId="181EC038" w:rsidR="001E135D" w:rsidRPr="00BF0ED6" w:rsidRDefault="00FD5D71" w:rsidP="00093019">
      <w:pPr>
        <w:pStyle w:val="headingb"/>
        <w:tabs>
          <w:tab w:val="clear" w:pos="2127"/>
          <w:tab w:val="clear" w:pos="2410"/>
          <w:tab w:val="clear" w:pos="2921"/>
          <w:tab w:val="clear" w:pos="3261"/>
          <w:tab w:val="left" w:pos="1701"/>
        </w:tabs>
        <w:rPr>
          <w:lang w:eastAsia="ja-JP"/>
        </w:rPr>
      </w:pPr>
      <w:r w:rsidRPr="00BF0ED6">
        <w:rPr>
          <w:lang w:eastAsia="ja-JP"/>
        </w:rPr>
        <w:t>Date d'approbation</w:t>
      </w:r>
      <w:r w:rsidR="0032506C" w:rsidRPr="00BF0ED6">
        <w:rPr>
          <w:lang w:eastAsia="ja-JP"/>
        </w:rPr>
        <w:t xml:space="preserve">: </w:t>
      </w:r>
      <w:r w:rsidR="00C24926" w:rsidRPr="00BF0ED6">
        <w:rPr>
          <w:lang w:eastAsia="ja-JP"/>
        </w:rPr>
        <w:t>juillet 2009</w:t>
      </w:r>
    </w:p>
    <w:p w14:paraId="4E8751FF" w14:textId="4BE054B1" w:rsidR="004C47A2" w:rsidRPr="00BF0ED6" w:rsidRDefault="004C47A2" w:rsidP="00093019">
      <w:pPr>
        <w:pStyle w:val="headingi"/>
      </w:pPr>
      <w:bookmarkStart w:id="3" w:name="_TOC_250017"/>
      <w:r w:rsidRPr="00BF0ED6">
        <w:t>Domaine</w:t>
      </w:r>
      <w:r w:rsidRPr="00BF0ED6">
        <w:rPr>
          <w:spacing w:val="-7"/>
        </w:rPr>
        <w:t xml:space="preserve"> </w:t>
      </w:r>
      <w:bookmarkEnd w:id="3"/>
      <w:r w:rsidRPr="00BF0ED6">
        <w:t>d'application</w:t>
      </w:r>
      <w:r w:rsidR="006E5404" w:rsidRPr="00BF0ED6">
        <w:t>:</w:t>
      </w:r>
    </w:p>
    <w:p w14:paraId="3861814C" w14:textId="779FE86D" w:rsidR="004C47A2" w:rsidRPr="00BF0ED6" w:rsidRDefault="00CE3C26" w:rsidP="00093019">
      <w:r w:rsidRPr="00BF0ED6">
        <w:t>Cette</w:t>
      </w:r>
      <w:r w:rsidR="004C47A2" w:rsidRPr="00BF0ED6">
        <w:t xml:space="preserve"> Recommandation</w:t>
      </w:r>
      <w:r w:rsidR="004C17D0" w:rsidRPr="00BF0ED6">
        <w:t xml:space="preserve"> indique</w:t>
      </w:r>
      <w:r w:rsidR="004C47A2" w:rsidRPr="00BF0ED6">
        <w:t xml:space="preserve"> les exigences en matière d'immunité pour les équipements utilisés dans les réseaux publics de télécommunication et pour les équipements terminaux raccordés à ces réseaux. Elle </w:t>
      </w:r>
      <w:r w:rsidR="004C17D0" w:rsidRPr="00BF0ED6">
        <w:t>se rapporte à une</w:t>
      </w:r>
      <w:r w:rsidR="00BF0ED6" w:rsidRPr="00BF0ED6">
        <w:t xml:space="preserve"> </w:t>
      </w:r>
      <w:r w:rsidR="002C1D10" w:rsidRPr="00BF0ED6">
        <w:t>famille</w:t>
      </w:r>
      <w:r w:rsidR="00BF0ED6" w:rsidRPr="00BF0ED6">
        <w:t xml:space="preserve"> </w:t>
      </w:r>
      <w:r w:rsidR="002C1D10" w:rsidRPr="00BF0ED6">
        <w:t>de produits</w:t>
      </w:r>
      <w:r w:rsidR="004C47A2" w:rsidRPr="00BF0ED6">
        <w:t>.</w:t>
      </w:r>
    </w:p>
    <w:p w14:paraId="0FAA1C66" w14:textId="1B5DA5E5" w:rsidR="004C47A2" w:rsidRPr="00BF0ED6" w:rsidRDefault="004C47A2" w:rsidP="00093019">
      <w:r w:rsidRPr="00BF0ED6">
        <w:t xml:space="preserve">On trouvera dans </w:t>
      </w:r>
      <w:r w:rsidR="00E22284" w:rsidRPr="00BF0ED6">
        <w:t>cette</w:t>
      </w:r>
      <w:r w:rsidRPr="00BF0ED6">
        <w:t xml:space="preserve"> Recommandation la valeur des niveaux d'essai minimaux applicables dans un environnement donné. Les spécifications indiquées dans les Recommandations spécifiques relatives à des familles de produits l'emportant sur celles données dans </w:t>
      </w:r>
      <w:r w:rsidR="00E22284" w:rsidRPr="00BF0ED6">
        <w:t>cette</w:t>
      </w:r>
      <w:r w:rsidRPr="00BF0ED6">
        <w:rPr>
          <w:spacing w:val="40"/>
        </w:rPr>
        <w:t xml:space="preserve"> </w:t>
      </w:r>
      <w:r w:rsidRPr="00BF0ED6">
        <w:rPr>
          <w:spacing w:val="-2"/>
        </w:rPr>
        <w:t>Recommandation.</w:t>
      </w:r>
    </w:p>
    <w:p w14:paraId="0C103C17" w14:textId="3BF77E3C" w:rsidR="004C47A2" w:rsidRPr="00BF0ED6" w:rsidRDefault="00C75858" w:rsidP="00093019">
      <w:r w:rsidRPr="00BF0ED6">
        <w:t>Cette</w:t>
      </w:r>
      <w:r w:rsidR="004C47A2" w:rsidRPr="00BF0ED6">
        <w:rPr>
          <w:spacing w:val="-1"/>
        </w:rPr>
        <w:t xml:space="preserve"> </w:t>
      </w:r>
      <w:r w:rsidR="004C47A2" w:rsidRPr="00BF0ED6">
        <w:t>Recommandation</w:t>
      </w:r>
      <w:r w:rsidR="004C47A2" w:rsidRPr="00BF0ED6">
        <w:rPr>
          <w:spacing w:val="-1"/>
        </w:rPr>
        <w:t xml:space="preserve"> </w:t>
      </w:r>
      <w:r w:rsidR="004C47A2" w:rsidRPr="00BF0ED6">
        <w:t>s'applique</w:t>
      </w:r>
      <w:r w:rsidR="004C47A2" w:rsidRPr="00BF0ED6">
        <w:rPr>
          <w:spacing w:val="-1"/>
        </w:rPr>
        <w:t xml:space="preserve"> </w:t>
      </w:r>
      <w:r w:rsidR="004C47A2" w:rsidRPr="00BF0ED6">
        <w:t>à</w:t>
      </w:r>
      <w:r w:rsidR="004C47A2" w:rsidRPr="00BF0ED6">
        <w:rPr>
          <w:spacing w:val="-2"/>
        </w:rPr>
        <w:t xml:space="preserve"> </w:t>
      </w:r>
      <w:r w:rsidR="004C47A2" w:rsidRPr="00BF0ED6">
        <w:t>tous</w:t>
      </w:r>
      <w:r w:rsidR="004C47A2" w:rsidRPr="00BF0ED6">
        <w:rPr>
          <w:spacing w:val="-1"/>
        </w:rPr>
        <w:t xml:space="preserve"> </w:t>
      </w:r>
      <w:r w:rsidR="004C47A2" w:rsidRPr="00BF0ED6">
        <w:t>les</w:t>
      </w:r>
      <w:r w:rsidR="004C47A2" w:rsidRPr="00BF0ED6">
        <w:rPr>
          <w:spacing w:val="-1"/>
        </w:rPr>
        <w:t xml:space="preserve"> </w:t>
      </w:r>
      <w:r w:rsidR="004C47A2" w:rsidRPr="00BF0ED6">
        <w:t>types</w:t>
      </w:r>
      <w:r w:rsidR="004C47A2" w:rsidRPr="00BF0ED6">
        <w:rPr>
          <w:spacing w:val="-1"/>
        </w:rPr>
        <w:t xml:space="preserve"> </w:t>
      </w:r>
      <w:r w:rsidR="004C47A2" w:rsidRPr="00BF0ED6">
        <w:rPr>
          <w:spacing w:val="-2"/>
        </w:rPr>
        <w:t>d'équipement:</w:t>
      </w:r>
    </w:p>
    <w:p w14:paraId="65DDF952" w14:textId="21987B5D" w:rsidR="004C47A2" w:rsidRPr="00BF0ED6" w:rsidRDefault="006E5404" w:rsidP="00093019">
      <w:pPr>
        <w:pStyle w:val="enumlev1"/>
      </w:pPr>
      <w:r w:rsidRPr="00BF0ED6">
        <w:t>–</w:t>
      </w:r>
      <w:r w:rsidRPr="00BF0ED6">
        <w:tab/>
        <w:t>é</w:t>
      </w:r>
      <w:r w:rsidR="004C47A2" w:rsidRPr="00BF0ED6">
        <w:t>quipements des réseaux de télécommunication: équipement de commutation, équipement de transmission, équipement radioélectrique, équipement d'alimentation en énergie, équipement de surveillance et équipement de commande;</w:t>
      </w:r>
    </w:p>
    <w:p w14:paraId="6EC0EAB3" w14:textId="05986443" w:rsidR="004C47A2" w:rsidRPr="00BF0ED6" w:rsidRDefault="006E5404" w:rsidP="00093019">
      <w:pPr>
        <w:pStyle w:val="enumlev1"/>
        <w:rPr>
          <w:lang w:eastAsia="ja-JP"/>
        </w:rPr>
      </w:pPr>
      <w:r w:rsidRPr="00BF0ED6">
        <w:t>–</w:t>
      </w:r>
      <w:r w:rsidRPr="00BF0ED6">
        <w:tab/>
      </w:r>
      <w:r w:rsidR="004C47A2" w:rsidRPr="00BF0ED6">
        <w:t>équipements terminaux raccordés aux réseaux de télécommunication: postes téléphoniques, appareils de t</w:t>
      </w:r>
      <w:r w:rsidRPr="00BF0ED6">
        <w:t>élécopie et commutateurs privés;</w:t>
      </w:r>
    </w:p>
    <w:p w14:paraId="1AD35C3F" w14:textId="69133F3D" w:rsidR="002958C7" w:rsidRPr="00BF0ED6" w:rsidRDefault="006E5404" w:rsidP="00093019">
      <w:pPr>
        <w:pStyle w:val="enumlev1"/>
      </w:pPr>
      <w:r w:rsidRPr="00BF0ED6">
        <w:t>–</w:t>
      </w:r>
      <w:r w:rsidRPr="00BF0ED6">
        <w:tab/>
      </w:r>
      <w:r w:rsidR="002958C7" w:rsidRPr="00BF0ED6">
        <w:t xml:space="preserve">équipements terminaux utilisant le réseau alternatif basse tension pour les télécommunications </w:t>
      </w:r>
      <w:r w:rsidR="00420BD4" w:rsidRPr="00BF0ED6">
        <w:t xml:space="preserve">(par exemple les </w:t>
      </w:r>
      <w:r w:rsidR="00BB5709" w:rsidRPr="00BF0ED6">
        <w:t xml:space="preserve">dispositifs </w:t>
      </w:r>
      <w:r w:rsidR="0010194F" w:rsidRPr="00BF0ED6">
        <w:t>de transmission sur lignes électriques (PLT)).</w:t>
      </w:r>
    </w:p>
    <w:p w14:paraId="7C0217E2" w14:textId="3F864BDF" w:rsidR="0032323B" w:rsidRPr="00BF0ED6" w:rsidRDefault="0032323B" w:rsidP="00093019">
      <w:r w:rsidRPr="00BF0ED6">
        <w:t xml:space="preserve">Cette Recommandation </w:t>
      </w:r>
      <w:r w:rsidR="0060673D" w:rsidRPr="00BF0ED6">
        <w:t>contient des exigences en matière d'immunité dans les gammes de fréquences suivantes:</w:t>
      </w:r>
    </w:p>
    <w:p w14:paraId="67B06CD4" w14:textId="33775CCB" w:rsidR="006E5404" w:rsidRPr="00BF0ED6" w:rsidRDefault="006E5404" w:rsidP="00093019">
      <w:pPr>
        <w:pStyle w:val="enumlev1"/>
      </w:pPr>
      <w:r w:rsidRPr="00BF0ED6">
        <w:t>•</w:t>
      </w:r>
      <w:r w:rsidRPr="00BF0ED6">
        <w:tab/>
        <w:t xml:space="preserve">150 kHz-80 MHz </w:t>
      </w:r>
      <w:r w:rsidR="0060673D" w:rsidRPr="00BF0ED6">
        <w:t>pour l'immunité aux perturbations par conduction</w:t>
      </w:r>
      <w:r w:rsidRPr="00BF0ED6">
        <w:t>;</w:t>
      </w:r>
    </w:p>
    <w:p w14:paraId="764BF155" w14:textId="3C991803" w:rsidR="006E5404" w:rsidRPr="00BF0ED6" w:rsidRDefault="006E5404" w:rsidP="00093019">
      <w:pPr>
        <w:pStyle w:val="enumlev1"/>
      </w:pPr>
      <w:r w:rsidRPr="00BF0ED6">
        <w:t>•</w:t>
      </w:r>
      <w:r w:rsidRPr="00BF0ED6">
        <w:tab/>
        <w:t xml:space="preserve">80-2 700 MHz </w:t>
      </w:r>
      <w:r w:rsidR="001B5E4B" w:rsidRPr="00BF0ED6">
        <w:t xml:space="preserve">pour l'immunité aux perturbations par </w:t>
      </w:r>
      <w:r w:rsidR="009670A3" w:rsidRPr="00BF0ED6">
        <w:t>rayonnement</w:t>
      </w:r>
      <w:r w:rsidRPr="00BF0ED6">
        <w:t>.</w:t>
      </w:r>
    </w:p>
    <w:p w14:paraId="26F0C8A8" w14:textId="7E526677" w:rsidR="001225BE" w:rsidRPr="00BF0ED6" w:rsidRDefault="001225BE" w:rsidP="00093019">
      <w:r w:rsidRPr="00BF0ED6">
        <w:t xml:space="preserve">D'autres gammes de fréquences </w:t>
      </w:r>
      <w:r w:rsidR="00503F4B" w:rsidRPr="00BF0ED6">
        <w:t xml:space="preserve">sont </w:t>
      </w:r>
      <w:r w:rsidR="004C17D0" w:rsidRPr="00BF0ED6">
        <w:t>traitées dans</w:t>
      </w:r>
      <w:r w:rsidR="00503F4B" w:rsidRPr="00BF0ED6">
        <w:t xml:space="preserve"> d'autres Recommandations UIT-T de la série K, par exemple </w:t>
      </w:r>
      <w:r w:rsidR="00DB3FC3" w:rsidRPr="00BF0ED6">
        <w:t>la Recommandation [b-UIT-T K.76]</w:t>
      </w:r>
      <w:r w:rsidR="00BF0ED6" w:rsidRPr="00BF0ED6">
        <w:t xml:space="preserve"> </w:t>
      </w:r>
      <w:r w:rsidR="004C17D0" w:rsidRPr="00BF0ED6">
        <w:t xml:space="preserve">porte sur </w:t>
      </w:r>
      <w:r w:rsidR="00DB3FC3" w:rsidRPr="00BF0ED6">
        <w:t>la gamme de fréquences 9-150 kHz.</w:t>
      </w:r>
    </w:p>
    <w:p w14:paraId="3A1A0717" w14:textId="6D99BEDE" w:rsidR="006E5404" w:rsidRPr="00BF0ED6" w:rsidRDefault="006E5404" w:rsidP="00093019">
      <w:pPr>
        <w:pStyle w:val="headingb"/>
        <w:spacing w:before="480"/>
        <w:rPr>
          <w:szCs w:val="24"/>
        </w:rPr>
      </w:pPr>
      <w:r w:rsidRPr="00BF0ED6">
        <w:rPr>
          <w:bCs/>
          <w:szCs w:val="24"/>
          <w:lang w:eastAsia="ja-JP"/>
        </w:rPr>
        <w:t>Recommandation UIT-T K.48</w:t>
      </w:r>
      <w:r w:rsidRPr="00BF0ED6">
        <w:rPr>
          <w:szCs w:val="24"/>
        </w:rPr>
        <w:t xml:space="preserve"> "</w:t>
      </w:r>
      <w:r w:rsidRPr="00BF0ED6">
        <w:t>Prescriptions de compatibilité électromagnétique des équipements de télécommunication </w:t>
      </w:r>
      <w:r w:rsidRPr="00BF0ED6">
        <w:sym w:font="Symbol" w:char="F02D"/>
      </w:r>
      <w:r w:rsidRPr="00BF0ED6">
        <w:t> Recommandation relative aux familles de produits</w:t>
      </w:r>
      <w:r w:rsidRPr="00BF0ED6">
        <w:rPr>
          <w:szCs w:val="24"/>
        </w:rPr>
        <w:t>"</w:t>
      </w:r>
    </w:p>
    <w:p w14:paraId="138ED865" w14:textId="78F85B0A" w:rsidR="006E5404" w:rsidRPr="00BF0ED6" w:rsidRDefault="006E5404" w:rsidP="00093019">
      <w:pPr>
        <w:pStyle w:val="headingb"/>
        <w:tabs>
          <w:tab w:val="clear" w:pos="2127"/>
          <w:tab w:val="clear" w:pos="2410"/>
          <w:tab w:val="clear" w:pos="2921"/>
          <w:tab w:val="clear" w:pos="3261"/>
          <w:tab w:val="left" w:pos="1701"/>
        </w:tabs>
        <w:rPr>
          <w:lang w:eastAsia="ja-JP"/>
        </w:rPr>
      </w:pPr>
      <w:r w:rsidRPr="00BF0ED6">
        <w:rPr>
          <w:lang w:eastAsia="ja-JP"/>
        </w:rPr>
        <w:t>Date d'approbation: septembre 2006</w:t>
      </w:r>
    </w:p>
    <w:p w14:paraId="63821BDD" w14:textId="334BA7BF" w:rsidR="006E5404" w:rsidRPr="00BF0ED6" w:rsidRDefault="006E5404" w:rsidP="00093019">
      <w:pPr>
        <w:pStyle w:val="headingi"/>
      </w:pPr>
      <w:r w:rsidRPr="00BF0ED6">
        <w:t>Domaine</w:t>
      </w:r>
      <w:r w:rsidRPr="00BF0ED6">
        <w:rPr>
          <w:spacing w:val="-7"/>
        </w:rPr>
        <w:t xml:space="preserve"> </w:t>
      </w:r>
      <w:r w:rsidRPr="00BF0ED6">
        <w:t>d'application:</w:t>
      </w:r>
    </w:p>
    <w:p w14:paraId="2A591DD9" w14:textId="0EF73BD8" w:rsidR="006E5404" w:rsidRPr="00BF0ED6" w:rsidRDefault="0027317B" w:rsidP="00093019">
      <w:r w:rsidRPr="00BF0ED6">
        <w:t>Cette</w:t>
      </w:r>
      <w:r w:rsidR="006E5404" w:rsidRPr="00BF0ED6">
        <w:t xml:space="preserve"> Recommandation</w:t>
      </w:r>
      <w:r w:rsidR="00BF0ED6" w:rsidRPr="00BF0ED6">
        <w:t xml:space="preserve"> </w:t>
      </w:r>
      <w:r w:rsidR="004C17D0" w:rsidRPr="00BF0ED6">
        <w:t>indique</w:t>
      </w:r>
      <w:r w:rsidR="00BF0ED6" w:rsidRPr="00BF0ED6">
        <w:t xml:space="preserve"> </w:t>
      </w:r>
      <w:r w:rsidR="006E5404" w:rsidRPr="00BF0ED6">
        <w:t xml:space="preserve">les prescriptions d'émission et d'immunité pour les équipements de commutation, de transmission, d'alimentation, de station de base mobile numérique, de réseau local hertzien, de faisceau hertzien numérique, de ligne d'abonné numérique (xDSL) et de surveillance. Elle décrit également les conditions opérationnelles pour les essais d'émission et d'immunité. Les critères de performance pour les essais d'immunité sont également </w:t>
      </w:r>
      <w:r w:rsidR="004C17D0" w:rsidRPr="00BF0ED6">
        <w:t>indiqués</w:t>
      </w:r>
      <w:r w:rsidR="006E5404" w:rsidRPr="00BF0ED6">
        <w:t>. Les critères généraux relatifs aux conditions et à la performance sont</w:t>
      </w:r>
      <w:r w:rsidR="00BF0ED6" w:rsidRPr="00BF0ED6">
        <w:t xml:space="preserve"> </w:t>
      </w:r>
      <w:r w:rsidR="004C17D0" w:rsidRPr="00BF0ED6">
        <w:t xml:space="preserve">décrits </w:t>
      </w:r>
      <w:r w:rsidR="006E5404" w:rsidRPr="00BF0ED6">
        <w:t xml:space="preserve">dans la Rec. UIT-T K.43. </w:t>
      </w:r>
      <w:r w:rsidR="00EE6E6A" w:rsidRPr="00BF0ED6">
        <w:lastRenderedPageBreak/>
        <w:t>Cette</w:t>
      </w:r>
      <w:r w:rsidR="006E5404" w:rsidRPr="00BF0ED6">
        <w:t xml:space="preserve"> Recommandation décrit les conditions d'essai spécifiques à appliquer aux équipements des réseaux de télécommunication.</w:t>
      </w:r>
    </w:p>
    <w:p w14:paraId="6A7BD9E2" w14:textId="6C73AFD8" w:rsidR="005D028C" w:rsidRPr="00BF0ED6" w:rsidRDefault="005D028C" w:rsidP="00093019">
      <w:pPr>
        <w:pStyle w:val="headingb"/>
        <w:spacing w:before="480"/>
        <w:rPr>
          <w:szCs w:val="24"/>
        </w:rPr>
      </w:pPr>
      <w:r w:rsidRPr="00BF0ED6">
        <w:rPr>
          <w:bCs/>
          <w:szCs w:val="24"/>
          <w:lang w:eastAsia="ja-JP"/>
        </w:rPr>
        <w:t>Recommandation UIT-T K.88</w:t>
      </w:r>
      <w:r w:rsidRPr="00BF0ED6">
        <w:rPr>
          <w:szCs w:val="24"/>
        </w:rPr>
        <w:t xml:space="preserve"> </w:t>
      </w:r>
      <w:r w:rsidRPr="00BF0ED6">
        <w:t>"</w:t>
      </w:r>
      <w:r w:rsidR="00A77C32" w:rsidRPr="00BF0ED6">
        <w:t>Prescriptions en matière</w:t>
      </w:r>
      <w:r w:rsidR="00BF0ED6" w:rsidRPr="00BF0ED6">
        <w:t xml:space="preserve"> </w:t>
      </w:r>
      <w:r w:rsidRPr="00BF0ED6">
        <w:t xml:space="preserve">de compatibilité électromagnétique </w:t>
      </w:r>
      <w:r w:rsidR="004A5D9D" w:rsidRPr="00BF0ED6">
        <w:t xml:space="preserve">pour les </w:t>
      </w:r>
      <w:r w:rsidRPr="00BF0ED6">
        <w:t xml:space="preserve">équipements </w:t>
      </w:r>
      <w:r w:rsidR="004A5D9D" w:rsidRPr="00BF0ED6">
        <w:t>des réseaux de prochaine génération</w:t>
      </w:r>
      <w:r w:rsidRPr="00BF0ED6">
        <w:rPr>
          <w:szCs w:val="24"/>
        </w:rPr>
        <w:t>"</w:t>
      </w:r>
    </w:p>
    <w:p w14:paraId="2C62A66B" w14:textId="2D800374" w:rsidR="005D028C" w:rsidRPr="00BF0ED6" w:rsidRDefault="005D028C" w:rsidP="00093019">
      <w:pPr>
        <w:pStyle w:val="headingb"/>
        <w:tabs>
          <w:tab w:val="clear" w:pos="2127"/>
          <w:tab w:val="clear" w:pos="2410"/>
          <w:tab w:val="clear" w:pos="2921"/>
          <w:tab w:val="clear" w:pos="3261"/>
          <w:tab w:val="left" w:pos="1701"/>
        </w:tabs>
        <w:rPr>
          <w:lang w:eastAsia="ja-JP"/>
        </w:rPr>
      </w:pPr>
      <w:r w:rsidRPr="00BF0ED6">
        <w:rPr>
          <w:lang w:eastAsia="ja-JP"/>
        </w:rPr>
        <w:t>Date d'approbation: novembre 2011</w:t>
      </w:r>
    </w:p>
    <w:p w14:paraId="786F2306" w14:textId="5F971F40" w:rsidR="006E5404" w:rsidRPr="00BF0ED6" w:rsidRDefault="005D028C" w:rsidP="00093019">
      <w:pPr>
        <w:pStyle w:val="headingi"/>
      </w:pPr>
      <w:r w:rsidRPr="00BF0ED6">
        <w:t>Domaine</w:t>
      </w:r>
      <w:r w:rsidRPr="00BF0ED6">
        <w:rPr>
          <w:spacing w:val="-7"/>
        </w:rPr>
        <w:t xml:space="preserve"> </w:t>
      </w:r>
      <w:r w:rsidRPr="00BF0ED6">
        <w:t>d'application:</w:t>
      </w:r>
    </w:p>
    <w:p w14:paraId="0B0EEA98" w14:textId="096B89BA" w:rsidR="005D028C" w:rsidRPr="00BF0ED6" w:rsidRDefault="00644E10" w:rsidP="00093019">
      <w:r w:rsidRPr="00BF0ED6">
        <w:t>Cette</w:t>
      </w:r>
      <w:r w:rsidR="005D028C" w:rsidRPr="00BF0ED6">
        <w:t xml:space="preserve"> Recommandation</w:t>
      </w:r>
      <w:r w:rsidR="00BF0ED6" w:rsidRPr="00BF0ED6">
        <w:t xml:space="preserve"> </w:t>
      </w:r>
      <w:r w:rsidR="00A77C32" w:rsidRPr="00BF0ED6">
        <w:t>indique</w:t>
      </w:r>
      <w:r w:rsidR="00BF0ED6" w:rsidRPr="00BF0ED6">
        <w:t xml:space="preserve"> </w:t>
      </w:r>
      <w:r w:rsidR="005D028C" w:rsidRPr="00BF0ED6">
        <w:t xml:space="preserve">les prescriptions d'émission et d'immunité pour les équipements de commutation, de transmission </w:t>
      </w:r>
      <w:r w:rsidR="004942DE" w:rsidRPr="00BF0ED6">
        <w:t>et de passerelle de média fondés sur le protocole Internet (IP) des réseaux de prochaine génération (NGN)</w:t>
      </w:r>
      <w:r w:rsidR="005D028C" w:rsidRPr="00BF0ED6">
        <w:t xml:space="preserve">. Elle décrit également les conditions opérationnelles pour les essais d'émission et d'immunité. Les critères de performance pour les essais d'immunité sont également </w:t>
      </w:r>
      <w:r w:rsidR="00A77C32" w:rsidRPr="00BF0ED6">
        <w:t>indiqués</w:t>
      </w:r>
      <w:r w:rsidR="005D028C" w:rsidRPr="00BF0ED6">
        <w:t>. Les critères généraux relatifs aux conditions et à la performance sont</w:t>
      </w:r>
      <w:r w:rsidR="00BF0ED6" w:rsidRPr="00BF0ED6">
        <w:t xml:space="preserve"> </w:t>
      </w:r>
      <w:r w:rsidR="00A77C32" w:rsidRPr="00BF0ED6">
        <w:t xml:space="preserve">décrits </w:t>
      </w:r>
      <w:r w:rsidR="005D028C" w:rsidRPr="00BF0ED6">
        <w:t xml:space="preserve">dans la </w:t>
      </w:r>
      <w:r w:rsidR="00D307DA" w:rsidRPr="00BF0ED6">
        <w:t>Recommandation</w:t>
      </w:r>
      <w:r w:rsidR="005D028C" w:rsidRPr="00BF0ED6">
        <w:t xml:space="preserve"> </w:t>
      </w:r>
      <w:r w:rsidR="00D307DA" w:rsidRPr="00BF0ED6">
        <w:t>[</w:t>
      </w:r>
      <w:r w:rsidR="005D028C" w:rsidRPr="00BF0ED6">
        <w:t>UIT-T K.48</w:t>
      </w:r>
      <w:r w:rsidR="00D307DA" w:rsidRPr="00BF0ED6">
        <w:t>]</w:t>
      </w:r>
      <w:r w:rsidR="005D028C" w:rsidRPr="00BF0ED6">
        <w:t xml:space="preserve">. </w:t>
      </w:r>
      <w:r w:rsidR="00585448" w:rsidRPr="00BF0ED6">
        <w:t>Cette</w:t>
      </w:r>
      <w:r w:rsidR="005D028C" w:rsidRPr="00BF0ED6">
        <w:t xml:space="preserve"> Recommandation décrit les conditions d'essai spécifiques à appliquer aux équipements </w:t>
      </w:r>
      <w:r w:rsidR="00E22EB1" w:rsidRPr="00BF0ED6">
        <w:t>de réseau NGN</w:t>
      </w:r>
      <w:r w:rsidR="005D028C" w:rsidRPr="00BF0ED6">
        <w:t>.</w:t>
      </w:r>
    </w:p>
    <w:p w14:paraId="38077B26" w14:textId="7C044969" w:rsidR="00F55A9B" w:rsidRPr="00BF0ED6" w:rsidRDefault="00F55A9B" w:rsidP="00BF0ED6">
      <w:r w:rsidRPr="00BF0ED6">
        <w:t xml:space="preserve">On trouvera dans l'Annexe A </w:t>
      </w:r>
      <w:r w:rsidR="00695D9E" w:rsidRPr="00BF0ED6">
        <w:t>des exemples</w:t>
      </w:r>
      <w:r w:rsidRPr="00BF0ED6">
        <w:t xml:space="preserve"> d'équipement</w:t>
      </w:r>
      <w:r w:rsidR="00695D9E" w:rsidRPr="00BF0ED6">
        <w:t>s</w:t>
      </w:r>
      <w:r w:rsidRPr="00BF0ED6">
        <w:t xml:space="preserve"> </w:t>
      </w:r>
      <w:r w:rsidR="004C4A9A" w:rsidRPr="00BF0ED6">
        <w:t>relevant de ce domaine d'application.</w:t>
      </w:r>
    </w:p>
    <w:p w14:paraId="6377F30D" w14:textId="00093AB6" w:rsidR="00D254D4" w:rsidRPr="00BF0ED6" w:rsidRDefault="00FD1E12" w:rsidP="00093019">
      <w:pPr>
        <w:rPr>
          <w:lang w:eastAsia="ja-JP"/>
        </w:rPr>
      </w:pPr>
      <w:bookmarkStart w:id="4" w:name="_Hlk118388971"/>
      <w:r w:rsidRPr="00BF0ED6">
        <w:rPr>
          <w:i/>
          <w:lang w:eastAsia="ja-JP"/>
        </w:rPr>
        <w:t>Mot</w:t>
      </w:r>
      <w:r w:rsidR="00D254D4" w:rsidRPr="00BF0ED6">
        <w:rPr>
          <w:i/>
          <w:lang w:eastAsia="ja-JP"/>
        </w:rPr>
        <w:t>ifs de la suppression des Recommandations UIT-T K.43 et K.48</w:t>
      </w:r>
      <w:r w:rsidR="00BF0ED6" w:rsidRPr="00BF0ED6">
        <w:rPr>
          <w:i/>
          <w:lang w:eastAsia="ja-JP"/>
        </w:rPr>
        <w:t xml:space="preserve"> </w:t>
      </w:r>
      <w:r w:rsidR="00A77C32" w:rsidRPr="00BF0ED6">
        <w:rPr>
          <w:i/>
          <w:lang w:eastAsia="ja-JP"/>
        </w:rPr>
        <w:t>énumérées</w:t>
      </w:r>
      <w:r w:rsidR="00490C64" w:rsidRPr="00BF0ED6">
        <w:rPr>
          <w:i/>
          <w:lang w:eastAsia="ja-JP"/>
        </w:rPr>
        <w:t xml:space="preserve"> ci-dessus:</w:t>
      </w:r>
    </w:p>
    <w:p w14:paraId="371901B6" w14:textId="25C4E85B" w:rsidR="006E2486" w:rsidRPr="00BF0ED6" w:rsidRDefault="006E2486" w:rsidP="00093019">
      <w:pPr>
        <w:rPr>
          <w:lang w:eastAsia="ja-JP"/>
        </w:rPr>
      </w:pPr>
      <w:r w:rsidRPr="00BF0ED6">
        <w:rPr>
          <w:lang w:eastAsia="ja-JP"/>
        </w:rPr>
        <w:t xml:space="preserve">Les </w:t>
      </w:r>
      <w:r w:rsidR="00AA76F7" w:rsidRPr="00BF0ED6">
        <w:rPr>
          <w:lang w:eastAsia="ja-JP"/>
        </w:rPr>
        <w:t xml:space="preserve">prescriptions </w:t>
      </w:r>
      <w:r w:rsidR="00A13461" w:rsidRPr="00BF0ED6">
        <w:rPr>
          <w:lang w:eastAsia="ja-JP"/>
        </w:rPr>
        <w:t xml:space="preserve">énoncées dans les Recommandations UIT-T K.43 et K.48 </w:t>
      </w:r>
      <w:r w:rsidR="008D37BF" w:rsidRPr="00BF0ED6">
        <w:rPr>
          <w:lang w:eastAsia="ja-JP"/>
        </w:rPr>
        <w:t>sont déjà</w:t>
      </w:r>
      <w:r w:rsidR="00BF0ED6" w:rsidRPr="00BF0ED6">
        <w:rPr>
          <w:lang w:eastAsia="ja-JP"/>
        </w:rPr>
        <w:t xml:space="preserve"> </w:t>
      </w:r>
      <w:r w:rsidR="00A77C32" w:rsidRPr="00BF0ED6">
        <w:rPr>
          <w:lang w:eastAsia="ja-JP"/>
        </w:rPr>
        <w:t>traitées dans</w:t>
      </w:r>
      <w:r w:rsidR="00BF0ED6" w:rsidRPr="00BF0ED6">
        <w:rPr>
          <w:lang w:eastAsia="ja-JP"/>
        </w:rPr>
        <w:t xml:space="preserve"> </w:t>
      </w:r>
      <w:r w:rsidR="008D37BF" w:rsidRPr="00BF0ED6">
        <w:rPr>
          <w:lang w:eastAsia="ja-JP"/>
        </w:rPr>
        <w:t>les Recommandations suivantes:</w:t>
      </w:r>
    </w:p>
    <w:p w14:paraId="3341CFC8" w14:textId="6D14041B" w:rsidR="005D028C" w:rsidRPr="00BF0ED6" w:rsidRDefault="00507A24" w:rsidP="00093019">
      <w:pPr>
        <w:pStyle w:val="enumlev1"/>
        <w:rPr>
          <w:lang w:eastAsia="zh-CN"/>
        </w:rPr>
      </w:pPr>
      <w:r w:rsidRPr="00BF0ED6">
        <w:rPr>
          <w:lang w:eastAsia="zh-CN"/>
        </w:rPr>
        <w:t>–</w:t>
      </w:r>
      <w:r w:rsidRPr="00BF0ED6">
        <w:rPr>
          <w:lang w:eastAsia="zh-CN"/>
        </w:rPr>
        <w:tab/>
        <w:t>Recommandation UIT</w:t>
      </w:r>
      <w:r w:rsidR="005D028C" w:rsidRPr="00BF0ED6">
        <w:rPr>
          <w:lang w:eastAsia="zh-CN"/>
        </w:rPr>
        <w:t>-T K.136 (2018): E</w:t>
      </w:r>
      <w:r w:rsidR="005D028C" w:rsidRPr="00BF0ED6">
        <w:t>xigences de compatibilité électromagnétique pour les équipements radio de télécommunication</w:t>
      </w:r>
      <w:r w:rsidR="00BF0ED6" w:rsidRPr="00BF0ED6">
        <w:t>.</w:t>
      </w:r>
    </w:p>
    <w:p w14:paraId="7ECD06EA" w14:textId="33EE79CB" w:rsidR="005D028C" w:rsidRPr="00BF0ED6" w:rsidRDefault="00507A24" w:rsidP="00093019">
      <w:pPr>
        <w:pStyle w:val="enumlev1"/>
        <w:rPr>
          <w:lang w:eastAsia="zh-CN"/>
        </w:rPr>
      </w:pPr>
      <w:r w:rsidRPr="00BF0ED6">
        <w:rPr>
          <w:lang w:eastAsia="zh-CN"/>
        </w:rPr>
        <w:t>–</w:t>
      </w:r>
      <w:r w:rsidRPr="00BF0ED6">
        <w:rPr>
          <w:lang w:eastAsia="zh-CN"/>
        </w:rPr>
        <w:tab/>
        <w:t xml:space="preserve">Recommandation UIT-T </w:t>
      </w:r>
      <w:r w:rsidR="005D028C" w:rsidRPr="00BF0ED6">
        <w:rPr>
          <w:lang w:eastAsia="zh-CN"/>
        </w:rPr>
        <w:t xml:space="preserve">K.137 (2022): </w:t>
      </w:r>
      <w:r w:rsidR="005D028C" w:rsidRPr="00BF0ED6">
        <w:t>Exigences en matière de compatibilité électromagnétique et méthodes de mesure pour les équipements de réseaux de télécommunication filaires</w:t>
      </w:r>
      <w:r w:rsidR="00BF0ED6" w:rsidRPr="00BF0ED6">
        <w:t>.</w:t>
      </w:r>
    </w:p>
    <w:p w14:paraId="1A8F485B" w14:textId="5EC32F7F" w:rsidR="005D028C" w:rsidRPr="00BF0ED6" w:rsidRDefault="00507A24" w:rsidP="00093019">
      <w:pPr>
        <w:pStyle w:val="enumlev1"/>
        <w:rPr>
          <w:lang w:eastAsia="zh-CN"/>
        </w:rPr>
      </w:pPr>
      <w:r w:rsidRPr="00BF0ED6">
        <w:rPr>
          <w:lang w:eastAsia="zh-CN"/>
        </w:rPr>
        <w:t>–</w:t>
      </w:r>
      <w:r w:rsidRPr="00BF0ED6">
        <w:rPr>
          <w:lang w:eastAsia="zh-CN"/>
        </w:rPr>
        <w:tab/>
        <w:t xml:space="preserve">Recommandation UIT-T </w:t>
      </w:r>
      <w:r w:rsidR="005D028C" w:rsidRPr="00BF0ED6">
        <w:rPr>
          <w:lang w:eastAsia="zh-CN"/>
        </w:rPr>
        <w:t xml:space="preserve">K.114 (2022): </w:t>
      </w:r>
      <w:r w:rsidRPr="00BF0ED6">
        <w:t>Exigences en matière de compatibilité électromagnétique et méthodes de mesure pour les équipements des stations de base de communications mobiles cellulaires numériques</w:t>
      </w:r>
      <w:r w:rsidR="00BF0ED6" w:rsidRPr="00BF0ED6">
        <w:t>.</w:t>
      </w:r>
    </w:p>
    <w:p w14:paraId="05D77C97" w14:textId="1F463286" w:rsidR="005D028C" w:rsidRPr="00BF0ED6" w:rsidRDefault="00507A24" w:rsidP="00093019">
      <w:pPr>
        <w:pStyle w:val="enumlev1"/>
        <w:rPr>
          <w:lang w:eastAsia="zh-CN"/>
        </w:rPr>
      </w:pPr>
      <w:r w:rsidRPr="00BF0ED6">
        <w:rPr>
          <w:lang w:eastAsia="zh-CN"/>
        </w:rPr>
        <w:t>–</w:t>
      </w:r>
      <w:r w:rsidRPr="00BF0ED6">
        <w:rPr>
          <w:lang w:eastAsia="zh-CN"/>
        </w:rPr>
        <w:tab/>
        <w:t xml:space="preserve">Recommandation UIT-T </w:t>
      </w:r>
      <w:r w:rsidR="005D028C" w:rsidRPr="00BF0ED6">
        <w:rPr>
          <w:lang w:eastAsia="zh-CN"/>
        </w:rPr>
        <w:t xml:space="preserve">K.123 (2022): </w:t>
      </w:r>
      <w:r w:rsidRPr="00BF0ED6">
        <w:t>Exigences en matière de compatibilité électromagnétique applicables aux équipements électriques dans les installations de télécommunication</w:t>
      </w:r>
      <w:r w:rsidR="00BF0ED6" w:rsidRPr="00BF0ED6">
        <w:t>.</w:t>
      </w:r>
    </w:p>
    <w:p w14:paraId="36D362CE" w14:textId="630D0602" w:rsidR="005D028C" w:rsidRPr="00BF0ED6" w:rsidRDefault="00507A24" w:rsidP="00093019">
      <w:pPr>
        <w:pStyle w:val="enumlev1"/>
        <w:rPr>
          <w:lang w:eastAsia="zh-CN"/>
        </w:rPr>
      </w:pPr>
      <w:r w:rsidRPr="00BF0ED6">
        <w:rPr>
          <w:lang w:eastAsia="zh-CN"/>
        </w:rPr>
        <w:t>–</w:t>
      </w:r>
      <w:r w:rsidRPr="00BF0ED6">
        <w:rPr>
          <w:lang w:eastAsia="zh-CN"/>
        </w:rPr>
        <w:tab/>
        <w:t xml:space="preserve">Recommandation UIT-T </w:t>
      </w:r>
      <w:r w:rsidR="005D028C" w:rsidRPr="00BF0ED6">
        <w:rPr>
          <w:lang w:eastAsia="zh-CN"/>
        </w:rPr>
        <w:t xml:space="preserve">K.116 (2019): </w:t>
      </w:r>
      <w:r w:rsidRPr="00BF0ED6">
        <w:rPr>
          <w:lang w:eastAsia="zh-CN"/>
        </w:rPr>
        <w:t>E</w:t>
      </w:r>
      <w:r w:rsidRPr="00BF0ED6">
        <w:t>xigences de compatibilité électromagnétique et méthodes de test pour les équipements terminaux de radio télécommunication</w:t>
      </w:r>
      <w:r w:rsidR="00BF0ED6" w:rsidRPr="00BF0ED6">
        <w:t>.</w:t>
      </w:r>
    </w:p>
    <w:p w14:paraId="112EFA0E" w14:textId="05AC77F0" w:rsidR="00151068" w:rsidRPr="00BF0ED6" w:rsidRDefault="00507A24" w:rsidP="00093019">
      <w:pPr>
        <w:pStyle w:val="enumlev1"/>
        <w:rPr>
          <w:lang w:eastAsia="zh-CN"/>
        </w:rPr>
      </w:pPr>
      <w:r w:rsidRPr="00BF0ED6">
        <w:rPr>
          <w:lang w:eastAsia="zh-CN"/>
        </w:rPr>
        <w:t>–</w:t>
      </w:r>
      <w:r w:rsidRPr="00BF0ED6">
        <w:rPr>
          <w:lang w:eastAsia="zh-CN"/>
        </w:rPr>
        <w:tab/>
        <w:t xml:space="preserve">Recommandation UIT-T </w:t>
      </w:r>
      <w:r w:rsidR="005D028C" w:rsidRPr="00BF0ED6">
        <w:rPr>
          <w:lang w:eastAsia="zh-CN"/>
        </w:rPr>
        <w:t xml:space="preserve">K.152 (2022): </w:t>
      </w:r>
      <w:r w:rsidR="00151068" w:rsidRPr="00BF0ED6">
        <w:rPr>
          <w:lang w:eastAsia="zh-CN"/>
        </w:rPr>
        <w:t xml:space="preserve">Exigences en matière de compatibilité électromagnétique </w:t>
      </w:r>
      <w:r w:rsidR="00480221" w:rsidRPr="00BF0ED6">
        <w:rPr>
          <w:lang w:eastAsia="zh-CN"/>
        </w:rPr>
        <w:t xml:space="preserve">applicables aux équipements </w:t>
      </w:r>
      <w:r w:rsidR="002066CE" w:rsidRPr="00BF0ED6">
        <w:rPr>
          <w:lang w:eastAsia="zh-CN"/>
        </w:rPr>
        <w:t>d'alimentation dans les installations de télécommunication</w:t>
      </w:r>
      <w:r w:rsidR="00BF0ED6" w:rsidRPr="00BF0ED6">
        <w:rPr>
          <w:lang w:eastAsia="zh-CN"/>
        </w:rPr>
        <w:t>.</w:t>
      </w:r>
    </w:p>
    <w:p w14:paraId="26971DCD" w14:textId="7EBCD862" w:rsidR="009B58EB" w:rsidRPr="00BF0ED6" w:rsidRDefault="00FD1E12" w:rsidP="00093019">
      <w:pPr>
        <w:rPr>
          <w:lang w:eastAsia="ja-JP"/>
        </w:rPr>
      </w:pPr>
      <w:r w:rsidRPr="00BF0ED6">
        <w:rPr>
          <w:i/>
          <w:lang w:eastAsia="ja-JP"/>
        </w:rPr>
        <w:t>Mot</w:t>
      </w:r>
      <w:r w:rsidR="009B58EB" w:rsidRPr="00BF0ED6">
        <w:rPr>
          <w:i/>
          <w:lang w:eastAsia="ja-JP"/>
        </w:rPr>
        <w:t>ifs de la suppression de la Recommandation UIT-T K.88</w:t>
      </w:r>
      <w:r w:rsidR="00BF0ED6" w:rsidRPr="00BF0ED6">
        <w:rPr>
          <w:i/>
          <w:lang w:eastAsia="ja-JP"/>
        </w:rPr>
        <w:t xml:space="preserve"> </w:t>
      </w:r>
      <w:r w:rsidR="00A77C32" w:rsidRPr="00BF0ED6">
        <w:rPr>
          <w:i/>
          <w:lang w:eastAsia="ja-JP"/>
        </w:rPr>
        <w:t>indiquée</w:t>
      </w:r>
      <w:r w:rsidR="009B58EB" w:rsidRPr="00BF0ED6">
        <w:rPr>
          <w:i/>
          <w:lang w:eastAsia="ja-JP"/>
        </w:rPr>
        <w:t xml:space="preserve"> ci-dessus:</w:t>
      </w:r>
    </w:p>
    <w:p w14:paraId="6F824457" w14:textId="09024BCB" w:rsidR="003D6AD3" w:rsidRPr="00BF0ED6" w:rsidRDefault="003D6AD3" w:rsidP="00093019">
      <w:pPr>
        <w:rPr>
          <w:lang w:eastAsia="ja-JP"/>
        </w:rPr>
      </w:pPr>
      <w:r w:rsidRPr="00BF0ED6">
        <w:rPr>
          <w:lang w:eastAsia="ja-JP"/>
        </w:rPr>
        <w:t xml:space="preserve">Les </w:t>
      </w:r>
      <w:r w:rsidR="00A77C32" w:rsidRPr="00BF0ED6">
        <w:rPr>
          <w:lang w:eastAsia="ja-JP"/>
        </w:rPr>
        <w:t>prescriptions</w:t>
      </w:r>
      <w:r w:rsidR="00BF0ED6" w:rsidRPr="00BF0ED6">
        <w:rPr>
          <w:lang w:eastAsia="ja-JP"/>
        </w:rPr>
        <w:t xml:space="preserve"> </w:t>
      </w:r>
      <w:r w:rsidRPr="00BF0ED6">
        <w:rPr>
          <w:lang w:eastAsia="ja-JP"/>
        </w:rPr>
        <w:t>énoncées dans la Recommandation UIT-T K.88 sont déjà</w:t>
      </w:r>
      <w:r w:rsidR="00BF0ED6" w:rsidRPr="00BF0ED6">
        <w:rPr>
          <w:lang w:eastAsia="ja-JP"/>
        </w:rPr>
        <w:t xml:space="preserve"> </w:t>
      </w:r>
      <w:r w:rsidR="00A77C32" w:rsidRPr="00BF0ED6">
        <w:rPr>
          <w:lang w:eastAsia="ja-JP"/>
        </w:rPr>
        <w:t>traitées dans</w:t>
      </w:r>
      <w:r w:rsidR="00BF0ED6" w:rsidRPr="00BF0ED6">
        <w:rPr>
          <w:lang w:eastAsia="ja-JP"/>
        </w:rPr>
        <w:t xml:space="preserve"> </w:t>
      </w:r>
      <w:r w:rsidRPr="00BF0ED6">
        <w:rPr>
          <w:lang w:eastAsia="ja-JP"/>
        </w:rPr>
        <w:t>la Recommandation UIT-T K.137 (2022), intitulée "</w:t>
      </w:r>
      <w:r w:rsidR="00330A6F" w:rsidRPr="00BF0ED6">
        <w:t>Exigences en matière de compatibilité électromagnétique et méthodes de mesure pour les équipements de réseaux de télécommunication filaires".</w:t>
      </w:r>
    </w:p>
    <w:bookmarkEnd w:id="4"/>
    <w:p w14:paraId="603891A8" w14:textId="77777777" w:rsidR="00DF5F86" w:rsidRPr="00BF0ED6" w:rsidRDefault="00DF5F86" w:rsidP="00093019">
      <w:pPr>
        <w:spacing w:before="360"/>
        <w:jc w:val="center"/>
      </w:pPr>
      <w:r w:rsidRPr="00BF0ED6">
        <w:t>______________</w:t>
      </w:r>
    </w:p>
    <w:sectPr w:rsidR="00DF5F86" w:rsidRPr="00BF0ED6" w:rsidSect="00A15179">
      <w:headerReference w:type="even" r:id="rId10"/>
      <w:headerReference w:type="default" r:id="rId11"/>
      <w:footerReference w:type="even" r:id="rId12"/>
      <w:footerReference w:type="default" r:id="rId13"/>
      <w:headerReference w:type="firs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08138" w14:textId="77777777" w:rsidR="003A2B66" w:rsidRDefault="003A2B66">
      <w:r>
        <w:separator/>
      </w:r>
    </w:p>
  </w:endnote>
  <w:endnote w:type="continuationSeparator" w:id="0">
    <w:p w14:paraId="417F0C31" w14:textId="77777777" w:rsidR="003A2B66" w:rsidRDefault="003A2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egoe UI">
    <w:altName w:val="Sylfaen"/>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76D90" w14:textId="77777777" w:rsidR="0069262A" w:rsidRDefault="00692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66A1" w14:textId="161A7527" w:rsidR="00697BC1" w:rsidRPr="00C24926" w:rsidRDefault="00697BC1" w:rsidP="00C24926">
    <w:pPr>
      <w:pStyle w:val="Footer"/>
      <w:rPr>
        <w:sz w:val="16"/>
        <w:szCs w:val="16"/>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224B"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A07FC" w14:textId="77777777" w:rsidR="003A2B66" w:rsidRDefault="003A2B66">
      <w:r>
        <w:t>____________________</w:t>
      </w:r>
    </w:p>
  </w:footnote>
  <w:footnote w:type="continuationSeparator" w:id="0">
    <w:p w14:paraId="2D4118E0" w14:textId="77777777" w:rsidR="003A2B66" w:rsidRDefault="003A2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63B5" w14:textId="77777777" w:rsidR="0069262A" w:rsidRDefault="00692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68B0" w14:textId="1A5DE742" w:rsidR="00697BC1" w:rsidRPr="00697BC1" w:rsidRDefault="002B7FE0" w:rsidP="00434AA7">
    <w:pPr>
      <w:pStyle w:val="Header"/>
      <w:spacing w:after="240"/>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7C0D85">
          <w:rPr>
            <w:noProof/>
            <w:sz w:val="18"/>
            <w:szCs w:val="16"/>
          </w:rPr>
          <w:t>7</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101288">
      <w:rPr>
        <w:noProof/>
        <w:sz w:val="18"/>
        <w:szCs w:val="16"/>
      </w:rPr>
      <w:br/>
      <w:t xml:space="preserve">Circulaire TSB </w:t>
    </w:r>
    <w:r w:rsidR="00434AA7">
      <w:rPr>
        <w:noProof/>
        <w:sz w:val="18"/>
        <w:szCs w:val="16"/>
      </w:rPr>
      <w:t>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52E7" w14:textId="77777777" w:rsidR="0069262A" w:rsidRDefault="00692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D57CCD"/>
    <w:multiLevelType w:val="multilevel"/>
    <w:tmpl w:val="86D4081A"/>
    <w:lvl w:ilvl="0">
      <w:start w:val="1"/>
      <w:numFmt w:val="decimal"/>
      <w:lvlText w:val="%1"/>
      <w:lvlJc w:val="left"/>
      <w:pPr>
        <w:ind w:left="948" w:hanging="795"/>
        <w:jc w:val="left"/>
      </w:pPr>
      <w:rPr>
        <w:rFonts w:ascii="Times New Roman" w:eastAsia="Times New Roman" w:hAnsi="Times New Roman" w:cs="Times New Roman" w:hint="default"/>
        <w:b/>
        <w:bCs/>
        <w:i w:val="0"/>
        <w:iCs w:val="0"/>
        <w:w w:val="100"/>
        <w:sz w:val="24"/>
        <w:szCs w:val="24"/>
        <w:lang w:val="fr-FR" w:eastAsia="en-US" w:bidi="ar-SA"/>
      </w:rPr>
    </w:lvl>
    <w:lvl w:ilvl="1">
      <w:start w:val="1"/>
      <w:numFmt w:val="decimal"/>
      <w:lvlText w:val="%1.%2"/>
      <w:lvlJc w:val="left"/>
      <w:pPr>
        <w:ind w:left="154" w:hanging="795"/>
        <w:jc w:val="left"/>
      </w:pPr>
      <w:rPr>
        <w:rFonts w:ascii="Times New Roman" w:eastAsia="Times New Roman" w:hAnsi="Times New Roman" w:cs="Times New Roman" w:hint="default"/>
        <w:b/>
        <w:bCs/>
        <w:i w:val="0"/>
        <w:iCs w:val="0"/>
        <w:w w:val="100"/>
        <w:sz w:val="24"/>
        <w:szCs w:val="24"/>
        <w:lang w:val="fr-FR" w:eastAsia="en-US" w:bidi="ar-SA"/>
      </w:rPr>
    </w:lvl>
    <w:lvl w:ilvl="2">
      <w:start w:val="1"/>
      <w:numFmt w:val="decimal"/>
      <w:lvlText w:val="%1.%2.%3"/>
      <w:lvlJc w:val="left"/>
      <w:pPr>
        <w:ind w:left="948" w:hanging="795"/>
        <w:jc w:val="left"/>
      </w:pPr>
      <w:rPr>
        <w:rFonts w:ascii="Times New Roman" w:eastAsia="Times New Roman" w:hAnsi="Times New Roman" w:cs="Times New Roman" w:hint="default"/>
        <w:b/>
        <w:bCs/>
        <w:i w:val="0"/>
        <w:iCs w:val="0"/>
        <w:w w:val="100"/>
        <w:sz w:val="24"/>
        <w:szCs w:val="24"/>
        <w:lang w:val="fr-FR" w:eastAsia="en-US" w:bidi="ar-SA"/>
      </w:rPr>
    </w:lvl>
    <w:lvl w:ilvl="3">
      <w:numFmt w:val="bullet"/>
      <w:lvlText w:val="–"/>
      <w:lvlJc w:val="left"/>
      <w:pPr>
        <w:ind w:left="948" w:hanging="795"/>
      </w:pPr>
      <w:rPr>
        <w:rFonts w:ascii="Times New Roman" w:eastAsia="Times New Roman" w:hAnsi="Times New Roman" w:cs="Times New Roman" w:hint="default"/>
        <w:b w:val="0"/>
        <w:bCs w:val="0"/>
        <w:i w:val="0"/>
        <w:iCs w:val="0"/>
        <w:w w:val="100"/>
        <w:sz w:val="24"/>
        <w:szCs w:val="24"/>
        <w:lang w:val="fr-FR" w:eastAsia="en-US" w:bidi="ar-SA"/>
      </w:rPr>
    </w:lvl>
    <w:lvl w:ilvl="4">
      <w:start w:val="1"/>
      <w:numFmt w:val="decimal"/>
      <w:lvlText w:val="%5)"/>
      <w:lvlJc w:val="left"/>
      <w:pPr>
        <w:ind w:left="1345" w:hanging="397"/>
        <w:jc w:val="left"/>
      </w:pPr>
      <w:rPr>
        <w:rFonts w:ascii="Times New Roman" w:eastAsia="Times New Roman" w:hAnsi="Times New Roman" w:cs="Times New Roman" w:hint="default"/>
        <w:b w:val="0"/>
        <w:bCs w:val="0"/>
        <w:i w:val="0"/>
        <w:iCs w:val="0"/>
        <w:w w:val="100"/>
        <w:sz w:val="24"/>
        <w:szCs w:val="24"/>
        <w:lang w:val="fr-FR" w:eastAsia="en-US" w:bidi="ar-SA"/>
      </w:rPr>
    </w:lvl>
    <w:lvl w:ilvl="5">
      <w:numFmt w:val="bullet"/>
      <w:lvlText w:val="•"/>
      <w:lvlJc w:val="left"/>
      <w:pPr>
        <w:ind w:left="4580" w:hanging="397"/>
      </w:pPr>
      <w:rPr>
        <w:rFonts w:hint="default"/>
        <w:lang w:val="fr-FR" w:eastAsia="en-US" w:bidi="ar-SA"/>
      </w:rPr>
    </w:lvl>
    <w:lvl w:ilvl="6">
      <w:numFmt w:val="bullet"/>
      <w:lvlText w:val="•"/>
      <w:lvlJc w:val="left"/>
      <w:pPr>
        <w:ind w:left="5660" w:hanging="397"/>
      </w:pPr>
      <w:rPr>
        <w:rFonts w:hint="default"/>
        <w:lang w:val="fr-FR" w:eastAsia="en-US" w:bidi="ar-SA"/>
      </w:rPr>
    </w:lvl>
    <w:lvl w:ilvl="7">
      <w:numFmt w:val="bullet"/>
      <w:lvlText w:val="•"/>
      <w:lvlJc w:val="left"/>
      <w:pPr>
        <w:ind w:left="6740" w:hanging="397"/>
      </w:pPr>
      <w:rPr>
        <w:rFonts w:hint="default"/>
        <w:lang w:val="fr-FR" w:eastAsia="en-US" w:bidi="ar-SA"/>
      </w:rPr>
    </w:lvl>
    <w:lvl w:ilvl="8">
      <w:numFmt w:val="bullet"/>
      <w:lvlText w:val="•"/>
      <w:lvlJc w:val="left"/>
      <w:pPr>
        <w:ind w:left="7820" w:hanging="397"/>
      </w:pPr>
      <w:rPr>
        <w:rFonts w:hint="default"/>
        <w:lang w:val="fr-FR" w:eastAsia="en-US" w:bidi="ar-SA"/>
      </w:r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0BC23803"/>
    <w:multiLevelType w:val="multilevel"/>
    <w:tmpl w:val="0004F024"/>
    <w:lvl w:ilvl="0">
      <w:numFmt w:val="decimal"/>
      <w:lvlText w:val="%1"/>
      <w:lvlJc w:val="left"/>
      <w:pPr>
        <w:ind w:left="903" w:hanging="795"/>
      </w:pPr>
      <w:rPr>
        <w:rFonts w:ascii="Times New Roman" w:eastAsia="Times New Roman" w:hAnsi="Times New Roman" w:cs="Times New Roman" w:hint="default"/>
        <w:b/>
        <w:bCs/>
        <w:i w:val="0"/>
        <w:iCs w:val="0"/>
        <w:w w:val="100"/>
        <w:sz w:val="24"/>
        <w:szCs w:val="24"/>
        <w:lang w:val="fr-FR" w:eastAsia="en-US" w:bidi="ar-SA"/>
      </w:rPr>
    </w:lvl>
    <w:lvl w:ilvl="1">
      <w:start w:val="1"/>
      <w:numFmt w:val="decimal"/>
      <w:lvlText w:val="%1.%2"/>
      <w:lvlJc w:val="left"/>
      <w:pPr>
        <w:ind w:left="903" w:hanging="795"/>
      </w:pPr>
      <w:rPr>
        <w:rFonts w:ascii="Times New Roman" w:eastAsia="Times New Roman" w:hAnsi="Times New Roman" w:cs="Times New Roman" w:hint="default"/>
        <w:b/>
        <w:bCs/>
        <w:i w:val="0"/>
        <w:iCs w:val="0"/>
        <w:w w:val="99"/>
        <w:sz w:val="22"/>
        <w:szCs w:val="22"/>
        <w:lang w:val="fr-FR" w:eastAsia="en-US" w:bidi="ar-SA"/>
      </w:rPr>
    </w:lvl>
    <w:lvl w:ilvl="2">
      <w:start w:val="1"/>
      <w:numFmt w:val="decimal"/>
      <w:lvlText w:val="%1.%2.%3"/>
      <w:lvlJc w:val="left"/>
      <w:pPr>
        <w:ind w:left="108" w:hanging="795"/>
      </w:pPr>
      <w:rPr>
        <w:rFonts w:ascii="Times New Roman" w:eastAsia="Times New Roman" w:hAnsi="Times New Roman" w:cs="Times New Roman" w:hint="default"/>
        <w:b/>
        <w:bCs/>
        <w:i w:val="0"/>
        <w:iCs w:val="0"/>
        <w:w w:val="100"/>
        <w:sz w:val="20"/>
        <w:szCs w:val="20"/>
        <w:lang w:val="fr-FR" w:eastAsia="en-US" w:bidi="ar-SA"/>
      </w:rPr>
    </w:lvl>
    <w:lvl w:ilvl="3">
      <w:start w:val="1"/>
      <w:numFmt w:val="decimal"/>
      <w:lvlText w:val="%1.%2.%3.%4"/>
      <w:lvlJc w:val="left"/>
      <w:pPr>
        <w:ind w:left="903" w:hanging="795"/>
      </w:pPr>
      <w:rPr>
        <w:rFonts w:ascii="Times New Roman" w:eastAsia="Times New Roman" w:hAnsi="Times New Roman" w:cs="Times New Roman" w:hint="default"/>
        <w:b/>
        <w:bCs/>
        <w:i w:val="0"/>
        <w:iCs w:val="0"/>
        <w:w w:val="100"/>
        <w:sz w:val="20"/>
        <w:szCs w:val="20"/>
        <w:lang w:val="fr-FR" w:eastAsia="en-US" w:bidi="ar-SA"/>
      </w:rPr>
    </w:lvl>
    <w:lvl w:ilvl="4">
      <w:start w:val="1"/>
      <w:numFmt w:val="lowerLetter"/>
      <w:lvlText w:val="%5)"/>
      <w:lvlJc w:val="left"/>
      <w:pPr>
        <w:ind w:left="1300" w:hanging="398"/>
      </w:pPr>
      <w:rPr>
        <w:rFonts w:ascii="Times New Roman" w:eastAsia="Times New Roman" w:hAnsi="Times New Roman" w:cs="Times New Roman" w:hint="default"/>
        <w:b w:val="0"/>
        <w:bCs w:val="0"/>
        <w:i w:val="0"/>
        <w:iCs w:val="0"/>
        <w:w w:val="100"/>
        <w:sz w:val="20"/>
        <w:szCs w:val="20"/>
        <w:lang w:val="fr-FR" w:eastAsia="en-US" w:bidi="ar-SA"/>
      </w:rPr>
    </w:lvl>
    <w:lvl w:ilvl="5">
      <w:numFmt w:val="bullet"/>
      <w:lvlText w:val="•"/>
      <w:lvlJc w:val="left"/>
      <w:pPr>
        <w:ind w:left="4555" w:hanging="398"/>
      </w:pPr>
      <w:rPr>
        <w:rFonts w:hint="default"/>
        <w:lang w:val="fr-FR" w:eastAsia="en-US" w:bidi="ar-SA"/>
      </w:rPr>
    </w:lvl>
    <w:lvl w:ilvl="6">
      <w:numFmt w:val="bullet"/>
      <w:lvlText w:val="•"/>
      <w:lvlJc w:val="left"/>
      <w:pPr>
        <w:ind w:left="5640" w:hanging="398"/>
      </w:pPr>
      <w:rPr>
        <w:rFonts w:hint="default"/>
        <w:lang w:val="fr-FR" w:eastAsia="en-US" w:bidi="ar-SA"/>
      </w:rPr>
    </w:lvl>
    <w:lvl w:ilvl="7">
      <w:numFmt w:val="bullet"/>
      <w:lvlText w:val="•"/>
      <w:lvlJc w:val="left"/>
      <w:pPr>
        <w:ind w:left="6725" w:hanging="398"/>
      </w:pPr>
      <w:rPr>
        <w:rFonts w:hint="default"/>
        <w:lang w:val="fr-FR" w:eastAsia="en-US" w:bidi="ar-SA"/>
      </w:rPr>
    </w:lvl>
    <w:lvl w:ilvl="8">
      <w:numFmt w:val="bullet"/>
      <w:lvlText w:val="•"/>
      <w:lvlJc w:val="left"/>
      <w:pPr>
        <w:ind w:left="7810" w:hanging="398"/>
      </w:pPr>
      <w:rPr>
        <w:rFonts w:hint="default"/>
        <w:lang w:val="fr-FR" w:eastAsia="en-US" w:bidi="ar-SA"/>
      </w:rPr>
    </w:lvl>
  </w:abstractNum>
  <w:abstractNum w:abstractNumId="4" w15:restartNumberingAfterBreak="0">
    <w:nsid w:val="36FB75F9"/>
    <w:multiLevelType w:val="hybridMultilevel"/>
    <w:tmpl w:val="65CA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730313C"/>
    <w:multiLevelType w:val="hybridMultilevel"/>
    <w:tmpl w:val="F18AF5AA"/>
    <w:lvl w:ilvl="0" w:tplc="26CEFECC">
      <w:start w:val="1"/>
      <w:numFmt w:val="lowerLetter"/>
      <w:lvlText w:val="%1)"/>
      <w:lvlJc w:val="left"/>
      <w:pPr>
        <w:ind w:left="1300" w:hanging="398"/>
      </w:pPr>
      <w:rPr>
        <w:rFonts w:ascii="Times New Roman" w:eastAsia="Times New Roman" w:hAnsi="Times New Roman" w:cs="Times New Roman" w:hint="default"/>
        <w:b w:val="0"/>
        <w:bCs w:val="0"/>
        <w:i w:val="0"/>
        <w:iCs w:val="0"/>
        <w:w w:val="100"/>
        <w:sz w:val="20"/>
        <w:szCs w:val="20"/>
        <w:lang w:val="fr-FR" w:eastAsia="en-US" w:bidi="ar-SA"/>
      </w:rPr>
    </w:lvl>
    <w:lvl w:ilvl="1" w:tplc="9ED27140">
      <w:numFmt w:val="bullet"/>
      <w:lvlText w:val="•"/>
      <w:lvlJc w:val="left"/>
      <w:pPr>
        <w:ind w:left="2168" w:hanging="398"/>
      </w:pPr>
      <w:rPr>
        <w:rFonts w:hint="default"/>
        <w:lang w:val="fr-FR" w:eastAsia="en-US" w:bidi="ar-SA"/>
      </w:rPr>
    </w:lvl>
    <w:lvl w:ilvl="2" w:tplc="12048DBE">
      <w:numFmt w:val="bullet"/>
      <w:lvlText w:val="•"/>
      <w:lvlJc w:val="left"/>
      <w:pPr>
        <w:ind w:left="3036" w:hanging="398"/>
      </w:pPr>
      <w:rPr>
        <w:rFonts w:hint="default"/>
        <w:lang w:val="fr-FR" w:eastAsia="en-US" w:bidi="ar-SA"/>
      </w:rPr>
    </w:lvl>
    <w:lvl w:ilvl="3" w:tplc="291ED3B0">
      <w:numFmt w:val="bullet"/>
      <w:lvlText w:val="•"/>
      <w:lvlJc w:val="left"/>
      <w:pPr>
        <w:ind w:left="3904" w:hanging="398"/>
      </w:pPr>
      <w:rPr>
        <w:rFonts w:hint="default"/>
        <w:lang w:val="fr-FR" w:eastAsia="en-US" w:bidi="ar-SA"/>
      </w:rPr>
    </w:lvl>
    <w:lvl w:ilvl="4" w:tplc="BA78139E">
      <w:numFmt w:val="bullet"/>
      <w:lvlText w:val="•"/>
      <w:lvlJc w:val="left"/>
      <w:pPr>
        <w:ind w:left="4772" w:hanging="398"/>
      </w:pPr>
      <w:rPr>
        <w:rFonts w:hint="default"/>
        <w:lang w:val="fr-FR" w:eastAsia="en-US" w:bidi="ar-SA"/>
      </w:rPr>
    </w:lvl>
    <w:lvl w:ilvl="5" w:tplc="F7620DB8">
      <w:numFmt w:val="bullet"/>
      <w:lvlText w:val="•"/>
      <w:lvlJc w:val="left"/>
      <w:pPr>
        <w:ind w:left="5640" w:hanging="398"/>
      </w:pPr>
      <w:rPr>
        <w:rFonts w:hint="default"/>
        <w:lang w:val="fr-FR" w:eastAsia="en-US" w:bidi="ar-SA"/>
      </w:rPr>
    </w:lvl>
    <w:lvl w:ilvl="6" w:tplc="B70E3408">
      <w:numFmt w:val="bullet"/>
      <w:lvlText w:val="•"/>
      <w:lvlJc w:val="left"/>
      <w:pPr>
        <w:ind w:left="6508" w:hanging="398"/>
      </w:pPr>
      <w:rPr>
        <w:rFonts w:hint="default"/>
        <w:lang w:val="fr-FR" w:eastAsia="en-US" w:bidi="ar-SA"/>
      </w:rPr>
    </w:lvl>
    <w:lvl w:ilvl="7" w:tplc="93407754">
      <w:numFmt w:val="bullet"/>
      <w:lvlText w:val="•"/>
      <w:lvlJc w:val="left"/>
      <w:pPr>
        <w:ind w:left="7376" w:hanging="398"/>
      </w:pPr>
      <w:rPr>
        <w:rFonts w:hint="default"/>
        <w:lang w:val="fr-FR" w:eastAsia="en-US" w:bidi="ar-SA"/>
      </w:rPr>
    </w:lvl>
    <w:lvl w:ilvl="8" w:tplc="757EC3B2">
      <w:numFmt w:val="bullet"/>
      <w:lvlText w:val="•"/>
      <w:lvlJc w:val="left"/>
      <w:pPr>
        <w:ind w:left="8244" w:hanging="398"/>
      </w:pPr>
      <w:rPr>
        <w:rFonts w:hint="default"/>
        <w:lang w:val="fr-FR" w:eastAsia="en-US" w:bidi="ar-SA"/>
      </w:rPr>
    </w:lvl>
  </w:abstractNum>
  <w:abstractNum w:abstractNumId="7" w15:restartNumberingAfterBreak="0">
    <w:nsid w:val="61820520"/>
    <w:multiLevelType w:val="hybridMultilevel"/>
    <w:tmpl w:val="79B6BA5E"/>
    <w:lvl w:ilvl="0" w:tplc="2506A280">
      <w:numFmt w:val="bullet"/>
      <w:lvlText w:val="–"/>
      <w:lvlJc w:val="left"/>
      <w:pPr>
        <w:ind w:left="948" w:hanging="795"/>
      </w:pPr>
      <w:rPr>
        <w:rFonts w:ascii="Times New Roman" w:eastAsia="Times New Roman" w:hAnsi="Times New Roman" w:cs="Times New Roman" w:hint="default"/>
        <w:b w:val="0"/>
        <w:bCs w:val="0"/>
        <w:i w:val="0"/>
        <w:iCs w:val="0"/>
        <w:w w:val="100"/>
        <w:sz w:val="24"/>
        <w:szCs w:val="24"/>
        <w:lang w:val="fr-FR" w:eastAsia="en-US" w:bidi="ar-SA"/>
      </w:rPr>
    </w:lvl>
    <w:lvl w:ilvl="1" w:tplc="75C0CEDA">
      <w:numFmt w:val="bullet"/>
      <w:lvlText w:val="•"/>
      <w:lvlJc w:val="left"/>
      <w:pPr>
        <w:ind w:left="1844" w:hanging="795"/>
      </w:pPr>
      <w:rPr>
        <w:rFonts w:hint="default"/>
        <w:lang w:val="fr-FR" w:eastAsia="en-US" w:bidi="ar-SA"/>
      </w:rPr>
    </w:lvl>
    <w:lvl w:ilvl="2" w:tplc="0B16C884">
      <w:numFmt w:val="bullet"/>
      <w:lvlText w:val="•"/>
      <w:lvlJc w:val="left"/>
      <w:pPr>
        <w:ind w:left="2748" w:hanging="795"/>
      </w:pPr>
      <w:rPr>
        <w:rFonts w:hint="default"/>
        <w:lang w:val="fr-FR" w:eastAsia="en-US" w:bidi="ar-SA"/>
      </w:rPr>
    </w:lvl>
    <w:lvl w:ilvl="3" w:tplc="1F5ECF46">
      <w:numFmt w:val="bullet"/>
      <w:lvlText w:val="•"/>
      <w:lvlJc w:val="left"/>
      <w:pPr>
        <w:ind w:left="3652" w:hanging="795"/>
      </w:pPr>
      <w:rPr>
        <w:rFonts w:hint="default"/>
        <w:lang w:val="fr-FR" w:eastAsia="en-US" w:bidi="ar-SA"/>
      </w:rPr>
    </w:lvl>
    <w:lvl w:ilvl="4" w:tplc="5CD85A4E">
      <w:numFmt w:val="bullet"/>
      <w:lvlText w:val="•"/>
      <w:lvlJc w:val="left"/>
      <w:pPr>
        <w:ind w:left="4556" w:hanging="795"/>
      </w:pPr>
      <w:rPr>
        <w:rFonts w:hint="default"/>
        <w:lang w:val="fr-FR" w:eastAsia="en-US" w:bidi="ar-SA"/>
      </w:rPr>
    </w:lvl>
    <w:lvl w:ilvl="5" w:tplc="BE7E8EFE">
      <w:numFmt w:val="bullet"/>
      <w:lvlText w:val="•"/>
      <w:lvlJc w:val="left"/>
      <w:pPr>
        <w:ind w:left="5460" w:hanging="795"/>
      </w:pPr>
      <w:rPr>
        <w:rFonts w:hint="default"/>
        <w:lang w:val="fr-FR" w:eastAsia="en-US" w:bidi="ar-SA"/>
      </w:rPr>
    </w:lvl>
    <w:lvl w:ilvl="6" w:tplc="1F1E2BCC">
      <w:numFmt w:val="bullet"/>
      <w:lvlText w:val="•"/>
      <w:lvlJc w:val="left"/>
      <w:pPr>
        <w:ind w:left="6364" w:hanging="795"/>
      </w:pPr>
      <w:rPr>
        <w:rFonts w:hint="default"/>
        <w:lang w:val="fr-FR" w:eastAsia="en-US" w:bidi="ar-SA"/>
      </w:rPr>
    </w:lvl>
    <w:lvl w:ilvl="7" w:tplc="BF049568">
      <w:numFmt w:val="bullet"/>
      <w:lvlText w:val="•"/>
      <w:lvlJc w:val="left"/>
      <w:pPr>
        <w:ind w:left="7268" w:hanging="795"/>
      </w:pPr>
      <w:rPr>
        <w:rFonts w:hint="default"/>
        <w:lang w:val="fr-FR" w:eastAsia="en-US" w:bidi="ar-SA"/>
      </w:rPr>
    </w:lvl>
    <w:lvl w:ilvl="8" w:tplc="6400BD12">
      <w:numFmt w:val="bullet"/>
      <w:lvlText w:val="•"/>
      <w:lvlJc w:val="left"/>
      <w:pPr>
        <w:ind w:left="8172" w:hanging="795"/>
      </w:pPr>
      <w:rPr>
        <w:rFonts w:hint="default"/>
        <w:lang w:val="fr-FR" w:eastAsia="en-US" w:bidi="ar-SA"/>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2F2181"/>
    <w:multiLevelType w:val="hybridMultilevel"/>
    <w:tmpl w:val="03D2E3A6"/>
    <w:lvl w:ilvl="0" w:tplc="B94AF624">
      <w:numFmt w:val="bullet"/>
      <w:lvlText w:val="-"/>
      <w:lvlJc w:val="left"/>
      <w:pPr>
        <w:ind w:left="644" w:hanging="360"/>
      </w:pPr>
      <w:rPr>
        <w:rFonts w:ascii="Calibri" w:eastAsia="Calibri" w:hAnsi="Calibri" w:hint="default"/>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num w:numId="1" w16cid:durableId="1714377805">
    <w:abstractNumId w:val="2"/>
  </w:num>
  <w:num w:numId="2" w16cid:durableId="568618739">
    <w:abstractNumId w:val="8"/>
  </w:num>
  <w:num w:numId="3" w16cid:durableId="894704281">
    <w:abstractNumId w:val="5"/>
  </w:num>
  <w:num w:numId="4" w16cid:durableId="1161114587">
    <w:abstractNumId w:val="0"/>
  </w:num>
  <w:num w:numId="5" w16cid:durableId="538663833">
    <w:abstractNumId w:val="6"/>
  </w:num>
  <w:num w:numId="6" w16cid:durableId="1625381648">
    <w:abstractNumId w:val="3"/>
  </w:num>
  <w:num w:numId="7" w16cid:durableId="2112823440">
    <w:abstractNumId w:val="7"/>
  </w:num>
  <w:num w:numId="8" w16cid:durableId="1099060322">
    <w:abstractNumId w:val="1"/>
  </w:num>
  <w:num w:numId="9" w16cid:durableId="304631426">
    <w:abstractNumId w:val="4"/>
  </w:num>
  <w:num w:numId="10" w16cid:durableId="5166246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B66"/>
    <w:rsid w:val="000039EE"/>
    <w:rsid w:val="00005622"/>
    <w:rsid w:val="0002519E"/>
    <w:rsid w:val="0003166F"/>
    <w:rsid w:val="00035B43"/>
    <w:rsid w:val="00036D38"/>
    <w:rsid w:val="00036F4F"/>
    <w:rsid w:val="00074015"/>
    <w:rsid w:val="000758B3"/>
    <w:rsid w:val="00076A0E"/>
    <w:rsid w:val="00085F5A"/>
    <w:rsid w:val="0008691A"/>
    <w:rsid w:val="00093019"/>
    <w:rsid w:val="000A2801"/>
    <w:rsid w:val="000B0D96"/>
    <w:rsid w:val="000B59D8"/>
    <w:rsid w:val="000C1F6B"/>
    <w:rsid w:val="000C25CC"/>
    <w:rsid w:val="000C56BE"/>
    <w:rsid w:val="00101288"/>
    <w:rsid w:val="0010194F"/>
    <w:rsid w:val="001026FD"/>
    <w:rsid w:val="001077FD"/>
    <w:rsid w:val="0011027D"/>
    <w:rsid w:val="00113E8C"/>
    <w:rsid w:val="001151E0"/>
    <w:rsid w:val="00115DD7"/>
    <w:rsid w:val="00115F1F"/>
    <w:rsid w:val="001225BE"/>
    <w:rsid w:val="001421FB"/>
    <w:rsid w:val="00151068"/>
    <w:rsid w:val="00160099"/>
    <w:rsid w:val="00167472"/>
    <w:rsid w:val="00167F92"/>
    <w:rsid w:val="00170580"/>
    <w:rsid w:val="00173738"/>
    <w:rsid w:val="00181B65"/>
    <w:rsid w:val="001B5E4B"/>
    <w:rsid w:val="001B79A3"/>
    <w:rsid w:val="001C3AAB"/>
    <w:rsid w:val="001E135D"/>
    <w:rsid w:val="002066CE"/>
    <w:rsid w:val="002152A3"/>
    <w:rsid w:val="002156FB"/>
    <w:rsid w:val="00221BC1"/>
    <w:rsid w:val="0023149D"/>
    <w:rsid w:val="00257766"/>
    <w:rsid w:val="0027317B"/>
    <w:rsid w:val="002958C7"/>
    <w:rsid w:val="00295E79"/>
    <w:rsid w:val="002B7FE0"/>
    <w:rsid w:val="002C1D10"/>
    <w:rsid w:val="002E3872"/>
    <w:rsid w:val="002E395D"/>
    <w:rsid w:val="003131F0"/>
    <w:rsid w:val="003224F0"/>
    <w:rsid w:val="0032323B"/>
    <w:rsid w:val="0032506C"/>
    <w:rsid w:val="00330A6F"/>
    <w:rsid w:val="00333A80"/>
    <w:rsid w:val="003374FB"/>
    <w:rsid w:val="00341117"/>
    <w:rsid w:val="00364E95"/>
    <w:rsid w:val="00372875"/>
    <w:rsid w:val="00384F48"/>
    <w:rsid w:val="003A264D"/>
    <w:rsid w:val="003A2B66"/>
    <w:rsid w:val="003B1E80"/>
    <w:rsid w:val="003B66E8"/>
    <w:rsid w:val="003B7BC6"/>
    <w:rsid w:val="003D6AD3"/>
    <w:rsid w:val="003D7B59"/>
    <w:rsid w:val="003E66AD"/>
    <w:rsid w:val="003F041C"/>
    <w:rsid w:val="003F163E"/>
    <w:rsid w:val="003F7CFA"/>
    <w:rsid w:val="00402433"/>
    <w:rsid w:val="004033F1"/>
    <w:rsid w:val="00414B0C"/>
    <w:rsid w:val="00420BD4"/>
    <w:rsid w:val="00423C21"/>
    <w:rsid w:val="004257AC"/>
    <w:rsid w:val="00425F28"/>
    <w:rsid w:val="0043391A"/>
    <w:rsid w:val="00434AA7"/>
    <w:rsid w:val="0043711B"/>
    <w:rsid w:val="004659C3"/>
    <w:rsid w:val="00480221"/>
    <w:rsid w:val="00490C64"/>
    <w:rsid w:val="00493A26"/>
    <w:rsid w:val="004942DE"/>
    <w:rsid w:val="004977C9"/>
    <w:rsid w:val="004A5D9D"/>
    <w:rsid w:val="004B13D1"/>
    <w:rsid w:val="004B732E"/>
    <w:rsid w:val="004C17D0"/>
    <w:rsid w:val="004C47A2"/>
    <w:rsid w:val="004C4A9A"/>
    <w:rsid w:val="004D51F4"/>
    <w:rsid w:val="004D64E0"/>
    <w:rsid w:val="004E1430"/>
    <w:rsid w:val="004F14F9"/>
    <w:rsid w:val="0050228C"/>
    <w:rsid w:val="00503F4B"/>
    <w:rsid w:val="00507A24"/>
    <w:rsid w:val="005120A2"/>
    <w:rsid w:val="0051210D"/>
    <w:rsid w:val="005136D2"/>
    <w:rsid w:val="00515B68"/>
    <w:rsid w:val="00517A03"/>
    <w:rsid w:val="00570DB2"/>
    <w:rsid w:val="00585448"/>
    <w:rsid w:val="005A3DD9"/>
    <w:rsid w:val="005B02FD"/>
    <w:rsid w:val="005B1DFC"/>
    <w:rsid w:val="005C3866"/>
    <w:rsid w:val="005D028C"/>
    <w:rsid w:val="005D1465"/>
    <w:rsid w:val="005E3082"/>
    <w:rsid w:val="005F123D"/>
    <w:rsid w:val="005F3D01"/>
    <w:rsid w:val="00601682"/>
    <w:rsid w:val="0060292A"/>
    <w:rsid w:val="00603470"/>
    <w:rsid w:val="0060673D"/>
    <w:rsid w:val="00622A6D"/>
    <w:rsid w:val="00625E79"/>
    <w:rsid w:val="006333F7"/>
    <w:rsid w:val="006361AF"/>
    <w:rsid w:val="006427A1"/>
    <w:rsid w:val="00644741"/>
    <w:rsid w:val="00644E10"/>
    <w:rsid w:val="00656CB4"/>
    <w:rsid w:val="0066039B"/>
    <w:rsid w:val="00667E91"/>
    <w:rsid w:val="00686C59"/>
    <w:rsid w:val="006902F6"/>
    <w:rsid w:val="0069262A"/>
    <w:rsid w:val="00695D9E"/>
    <w:rsid w:val="00697BC1"/>
    <w:rsid w:val="006A6FFE"/>
    <w:rsid w:val="006C09E8"/>
    <w:rsid w:val="006C5A91"/>
    <w:rsid w:val="006E2486"/>
    <w:rsid w:val="006E5404"/>
    <w:rsid w:val="00705834"/>
    <w:rsid w:val="00716BBC"/>
    <w:rsid w:val="007201F3"/>
    <w:rsid w:val="007239C2"/>
    <w:rsid w:val="007321BC"/>
    <w:rsid w:val="00740531"/>
    <w:rsid w:val="00760063"/>
    <w:rsid w:val="0076595D"/>
    <w:rsid w:val="00775E4B"/>
    <w:rsid w:val="0079553B"/>
    <w:rsid w:val="00795679"/>
    <w:rsid w:val="007A40FE"/>
    <w:rsid w:val="007C0D85"/>
    <w:rsid w:val="007C770A"/>
    <w:rsid w:val="00810105"/>
    <w:rsid w:val="008157E0"/>
    <w:rsid w:val="00850477"/>
    <w:rsid w:val="00854E1D"/>
    <w:rsid w:val="008555EA"/>
    <w:rsid w:val="008613EC"/>
    <w:rsid w:val="00887FA6"/>
    <w:rsid w:val="00893D75"/>
    <w:rsid w:val="008B01B3"/>
    <w:rsid w:val="008B30A0"/>
    <w:rsid w:val="008B5643"/>
    <w:rsid w:val="008C4397"/>
    <w:rsid w:val="008C465A"/>
    <w:rsid w:val="008D37BF"/>
    <w:rsid w:val="008E6CD1"/>
    <w:rsid w:val="008F2C9B"/>
    <w:rsid w:val="00922D17"/>
    <w:rsid w:val="00923CD6"/>
    <w:rsid w:val="00935AA8"/>
    <w:rsid w:val="0095727F"/>
    <w:rsid w:val="009670A3"/>
    <w:rsid w:val="00971C9A"/>
    <w:rsid w:val="009A5958"/>
    <w:rsid w:val="009B58EB"/>
    <w:rsid w:val="009D51FA"/>
    <w:rsid w:val="009F1E23"/>
    <w:rsid w:val="00A003B0"/>
    <w:rsid w:val="00A13461"/>
    <w:rsid w:val="00A139BE"/>
    <w:rsid w:val="00A15179"/>
    <w:rsid w:val="00A30471"/>
    <w:rsid w:val="00A36C6F"/>
    <w:rsid w:val="00A51537"/>
    <w:rsid w:val="00A5280F"/>
    <w:rsid w:val="00A5645A"/>
    <w:rsid w:val="00A60FC1"/>
    <w:rsid w:val="00A61F72"/>
    <w:rsid w:val="00A64D94"/>
    <w:rsid w:val="00A77C32"/>
    <w:rsid w:val="00A97C37"/>
    <w:rsid w:val="00AA131B"/>
    <w:rsid w:val="00AA76F7"/>
    <w:rsid w:val="00AB3AB7"/>
    <w:rsid w:val="00AC37B5"/>
    <w:rsid w:val="00AD2DDD"/>
    <w:rsid w:val="00AD752F"/>
    <w:rsid w:val="00AF08A4"/>
    <w:rsid w:val="00B03118"/>
    <w:rsid w:val="00B27180"/>
    <w:rsid w:val="00B27B41"/>
    <w:rsid w:val="00B33E41"/>
    <w:rsid w:val="00B37E0F"/>
    <w:rsid w:val="00B42659"/>
    <w:rsid w:val="00B65424"/>
    <w:rsid w:val="00B8324D"/>
    <w:rsid w:val="00B8573E"/>
    <w:rsid w:val="00B96B1E"/>
    <w:rsid w:val="00BB24C0"/>
    <w:rsid w:val="00BB5709"/>
    <w:rsid w:val="00BD24E1"/>
    <w:rsid w:val="00BD5020"/>
    <w:rsid w:val="00BD6ECF"/>
    <w:rsid w:val="00BF0ED6"/>
    <w:rsid w:val="00C03AF2"/>
    <w:rsid w:val="00C11F55"/>
    <w:rsid w:val="00C176C5"/>
    <w:rsid w:val="00C24926"/>
    <w:rsid w:val="00C26F2E"/>
    <w:rsid w:val="00C27C78"/>
    <w:rsid w:val="00C302E3"/>
    <w:rsid w:val="00C30986"/>
    <w:rsid w:val="00C45376"/>
    <w:rsid w:val="00C71CB0"/>
    <w:rsid w:val="00C74B87"/>
    <w:rsid w:val="00C75858"/>
    <w:rsid w:val="00C9028F"/>
    <w:rsid w:val="00CA0416"/>
    <w:rsid w:val="00CA38A2"/>
    <w:rsid w:val="00CA4740"/>
    <w:rsid w:val="00CB1125"/>
    <w:rsid w:val="00CB3727"/>
    <w:rsid w:val="00CD042E"/>
    <w:rsid w:val="00CE3C26"/>
    <w:rsid w:val="00CF2290"/>
    <w:rsid w:val="00CF2560"/>
    <w:rsid w:val="00CF5B46"/>
    <w:rsid w:val="00D254D4"/>
    <w:rsid w:val="00D307DA"/>
    <w:rsid w:val="00D35BA2"/>
    <w:rsid w:val="00D37AE3"/>
    <w:rsid w:val="00D46B68"/>
    <w:rsid w:val="00D542A5"/>
    <w:rsid w:val="00D54531"/>
    <w:rsid w:val="00DB3FC3"/>
    <w:rsid w:val="00DC038D"/>
    <w:rsid w:val="00DC3D47"/>
    <w:rsid w:val="00DD7068"/>
    <w:rsid w:val="00DD77DA"/>
    <w:rsid w:val="00DE1777"/>
    <w:rsid w:val="00DF06C4"/>
    <w:rsid w:val="00DF5F86"/>
    <w:rsid w:val="00E06C61"/>
    <w:rsid w:val="00E11CA1"/>
    <w:rsid w:val="00E13DB3"/>
    <w:rsid w:val="00E22284"/>
    <w:rsid w:val="00E22EB1"/>
    <w:rsid w:val="00E2408B"/>
    <w:rsid w:val="00E42408"/>
    <w:rsid w:val="00E44FA8"/>
    <w:rsid w:val="00E62CEA"/>
    <w:rsid w:val="00E72AE1"/>
    <w:rsid w:val="00E73F6A"/>
    <w:rsid w:val="00E87B7A"/>
    <w:rsid w:val="00EC4721"/>
    <w:rsid w:val="00ED6A7A"/>
    <w:rsid w:val="00EE4C36"/>
    <w:rsid w:val="00EE6578"/>
    <w:rsid w:val="00EE6E6A"/>
    <w:rsid w:val="00EE7989"/>
    <w:rsid w:val="00EF332E"/>
    <w:rsid w:val="00F04364"/>
    <w:rsid w:val="00F12374"/>
    <w:rsid w:val="00F346CE"/>
    <w:rsid w:val="00F34F98"/>
    <w:rsid w:val="00F40540"/>
    <w:rsid w:val="00F42494"/>
    <w:rsid w:val="00F44FE3"/>
    <w:rsid w:val="00F54B08"/>
    <w:rsid w:val="00F55A9B"/>
    <w:rsid w:val="00F67402"/>
    <w:rsid w:val="00F766A2"/>
    <w:rsid w:val="00F82654"/>
    <w:rsid w:val="00F9451D"/>
    <w:rsid w:val="00FA16C1"/>
    <w:rsid w:val="00FB029E"/>
    <w:rsid w:val="00FB0F5F"/>
    <w:rsid w:val="00FB3F13"/>
    <w:rsid w:val="00FD1E12"/>
    <w:rsid w:val="00FD5D71"/>
    <w:rsid w:val="00FE336A"/>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1E590"/>
  <w15:docId w15:val="{F56530E6-BCD4-4823-AA3C-A1267550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3A2B66"/>
    <w:rPr>
      <w:color w:val="605E5C"/>
      <w:shd w:val="clear" w:color="auto" w:fill="E1DFDD"/>
    </w:rPr>
  </w:style>
  <w:style w:type="paragraph" w:customStyle="1" w:styleId="Reasons">
    <w:name w:val="Reasons"/>
    <w:basedOn w:val="Normal"/>
    <w:qFormat/>
    <w:rsid w:val="00F82654"/>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Revision">
    <w:name w:val="Revision"/>
    <w:hidden/>
    <w:uiPriority w:val="99"/>
    <w:semiHidden/>
    <w:rsid w:val="0066039B"/>
    <w:rPr>
      <w:rFonts w:asciiTheme="minorHAnsi" w:hAnsiTheme="minorHAnsi"/>
      <w:sz w:val="24"/>
      <w:lang w:val="fr-FR" w:eastAsia="en-US"/>
    </w:rPr>
  </w:style>
  <w:style w:type="character" w:styleId="CommentReference">
    <w:name w:val="annotation reference"/>
    <w:basedOn w:val="DefaultParagraphFont"/>
    <w:semiHidden/>
    <w:unhideWhenUsed/>
    <w:rsid w:val="00A64D94"/>
    <w:rPr>
      <w:sz w:val="16"/>
      <w:szCs w:val="16"/>
    </w:rPr>
  </w:style>
  <w:style w:type="paragraph" w:styleId="CommentText">
    <w:name w:val="annotation text"/>
    <w:basedOn w:val="Normal"/>
    <w:link w:val="CommentTextChar"/>
    <w:unhideWhenUsed/>
    <w:rsid w:val="00A64D94"/>
    <w:rPr>
      <w:sz w:val="20"/>
    </w:rPr>
  </w:style>
  <w:style w:type="character" w:customStyle="1" w:styleId="CommentTextChar">
    <w:name w:val="Comment Text Char"/>
    <w:basedOn w:val="DefaultParagraphFont"/>
    <w:link w:val="CommentText"/>
    <w:rsid w:val="00A64D94"/>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A64D94"/>
    <w:rPr>
      <w:b/>
      <w:bCs/>
    </w:rPr>
  </w:style>
  <w:style w:type="character" w:customStyle="1" w:styleId="CommentSubjectChar">
    <w:name w:val="Comment Subject Char"/>
    <w:basedOn w:val="CommentTextChar"/>
    <w:link w:val="CommentSubject"/>
    <w:semiHidden/>
    <w:rsid w:val="00A64D94"/>
    <w:rPr>
      <w:rFonts w:asciiTheme="minorHAnsi" w:hAnsiTheme="minorHAnsi"/>
      <w:b/>
      <w:bCs/>
      <w:lang w:val="fr-FR" w:eastAsia="en-US"/>
    </w:rPr>
  </w:style>
  <w:style w:type="character" w:styleId="FollowedHyperlink">
    <w:name w:val="FollowedHyperlink"/>
    <w:basedOn w:val="DefaultParagraphFont"/>
    <w:semiHidden/>
    <w:unhideWhenUsed/>
    <w:rsid w:val="006361AF"/>
    <w:rPr>
      <w:color w:val="800080" w:themeColor="followedHyperlink"/>
      <w:u w:val="single"/>
    </w:rPr>
  </w:style>
  <w:style w:type="paragraph" w:styleId="ListParagraph">
    <w:name w:val="List Paragraph"/>
    <w:basedOn w:val="Normal"/>
    <w:qFormat/>
    <w:rsid w:val="001E135D"/>
    <w:pPr>
      <w:widowControl w:val="0"/>
      <w:tabs>
        <w:tab w:val="clear" w:pos="794"/>
        <w:tab w:val="clear" w:pos="1191"/>
        <w:tab w:val="clear" w:pos="1588"/>
        <w:tab w:val="clear" w:pos="1985"/>
      </w:tabs>
      <w:overflowPunct/>
      <w:adjustRightInd/>
      <w:spacing w:before="0"/>
      <w:ind w:left="1300" w:hanging="398"/>
      <w:textAlignment w:val="auto"/>
    </w:pPr>
    <w:rPr>
      <w:rFonts w:ascii="Times New Roman" w:hAnsi="Times New Roman"/>
      <w:sz w:val="22"/>
      <w:szCs w:val="22"/>
    </w:rPr>
  </w:style>
  <w:style w:type="paragraph" w:customStyle="1" w:styleId="Rectitle0">
    <w:name w:val="Rec_title"/>
    <w:basedOn w:val="Normal"/>
    <w:next w:val="Normal"/>
    <w:rsid w:val="006E5404"/>
    <w:pPr>
      <w:keepNext/>
      <w:keepLines/>
      <w:spacing w:before="360"/>
      <w:jc w:val="center"/>
    </w:pPr>
    <w:rPr>
      <w:rFonts w:ascii="Times New Roman" w:hAnsi="Times New Roman"/>
      <w:b/>
      <w:sz w:val="28"/>
    </w:rPr>
  </w:style>
  <w:style w:type="paragraph" w:styleId="BalloonText">
    <w:name w:val="Balloon Text"/>
    <w:basedOn w:val="Normal"/>
    <w:link w:val="BalloonTextChar"/>
    <w:semiHidden/>
    <w:unhideWhenUsed/>
    <w:rsid w:val="00420BD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20BD4"/>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1418D-E655-42CA-B091-922E7B0F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42</TotalTime>
  <Pages>4</Pages>
  <Words>1050</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7725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6</cp:revision>
  <cp:lastPrinted>2022-11-25T14:55:00Z</cp:lastPrinted>
  <dcterms:created xsi:type="dcterms:W3CDTF">2022-11-10T13:55:00Z</dcterms:created>
  <dcterms:modified xsi:type="dcterms:W3CDTF">2022-11-25T14:56:00Z</dcterms:modified>
</cp:coreProperties>
</file>