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028"/>
        <w:gridCol w:w="382"/>
        <w:gridCol w:w="3467"/>
        <w:gridCol w:w="5329"/>
      </w:tblGrid>
      <w:tr w:rsidR="007B6316" w:rsidRPr="00641BB0" w14:paraId="141ECEE7" w14:textId="77777777" w:rsidTr="007B6316">
        <w:trPr>
          <w:cantSplit/>
          <w:trHeight w:val="340"/>
        </w:trPr>
        <w:tc>
          <w:tcPr>
            <w:tcW w:w="1410" w:type="dxa"/>
            <w:gridSpan w:val="2"/>
          </w:tcPr>
          <w:p w14:paraId="7E35267B" w14:textId="77777777" w:rsidR="007B6316" w:rsidRPr="00641BB0" w:rsidRDefault="007B6316" w:rsidP="00303D62">
            <w:pPr>
              <w:tabs>
                <w:tab w:val="left" w:pos="4111"/>
              </w:tabs>
              <w:spacing w:before="10"/>
              <w:ind w:left="57"/>
              <w:rPr>
                <w:sz w:val="22"/>
              </w:rPr>
            </w:pPr>
            <w:r w:rsidRPr="00641BB0">
              <w:rPr>
                <w:noProof/>
                <w:lang w:eastAsia="zh-CN"/>
              </w:rPr>
              <w:drawing>
                <wp:inline distT="0" distB="0" distL="0" distR="0" wp14:anchorId="4023C9DE" wp14:editId="3804289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8124880" w14:textId="77777777" w:rsidR="007B6316" w:rsidRPr="00641BB0" w:rsidRDefault="007B6316" w:rsidP="007B6316">
            <w:pPr>
              <w:spacing w:before="0"/>
              <w:rPr>
                <w:rFonts w:cs="Times New Roman Bold"/>
                <w:b/>
                <w:bCs/>
                <w:smallCaps/>
                <w:sz w:val="26"/>
                <w:szCs w:val="26"/>
              </w:rPr>
            </w:pPr>
            <w:r w:rsidRPr="00641BB0">
              <w:rPr>
                <w:rFonts w:cs="Times New Roman Bold"/>
                <w:b/>
                <w:bCs/>
                <w:smallCaps/>
                <w:sz w:val="36"/>
                <w:szCs w:val="36"/>
              </w:rPr>
              <w:t>Unión Internacional de Telecomunicaciones</w:t>
            </w:r>
          </w:p>
          <w:p w14:paraId="50742E3E" w14:textId="77777777" w:rsidR="007B6316" w:rsidRPr="00641BB0" w:rsidRDefault="007B6316" w:rsidP="007B6316">
            <w:pPr>
              <w:spacing w:before="0"/>
            </w:pPr>
            <w:r w:rsidRPr="00641BB0">
              <w:rPr>
                <w:rFonts w:cs="Times New Roman Bold"/>
                <w:b/>
                <w:bCs/>
                <w:smallCaps/>
                <w:sz w:val="28"/>
                <w:szCs w:val="28"/>
              </w:rPr>
              <w:t>Oficina</w:t>
            </w:r>
            <w:r w:rsidRPr="00641BB0">
              <w:rPr>
                <w:rFonts w:cs="Times New Roman Bold"/>
                <w:b/>
                <w:bCs/>
                <w:iCs/>
                <w:smallCaps/>
                <w:sz w:val="22"/>
                <w:szCs w:val="22"/>
              </w:rPr>
              <w:t xml:space="preserve"> </w:t>
            </w:r>
            <w:r w:rsidRPr="00641BB0">
              <w:rPr>
                <w:rFonts w:cs="Times New Roman Bold"/>
                <w:b/>
                <w:bCs/>
                <w:iCs/>
                <w:smallCaps/>
                <w:sz w:val="28"/>
                <w:szCs w:val="28"/>
              </w:rPr>
              <w:t>de Normalización de las Telecomunicaciones</w:t>
            </w:r>
          </w:p>
        </w:tc>
      </w:tr>
      <w:tr w:rsidR="007B6316" w:rsidRPr="00641BB0" w14:paraId="335F482B" w14:textId="77777777" w:rsidTr="00885060">
        <w:trPr>
          <w:cantSplit/>
          <w:trHeight w:val="340"/>
        </w:trPr>
        <w:tc>
          <w:tcPr>
            <w:tcW w:w="1028" w:type="dxa"/>
          </w:tcPr>
          <w:p w14:paraId="7CF4273E" w14:textId="77777777" w:rsidR="007B6316" w:rsidRPr="00641BB0" w:rsidRDefault="007B6316" w:rsidP="00303D62">
            <w:pPr>
              <w:tabs>
                <w:tab w:val="left" w:pos="4111"/>
              </w:tabs>
              <w:spacing w:before="10"/>
              <w:ind w:left="57"/>
              <w:rPr>
                <w:b/>
                <w:bCs/>
                <w:sz w:val="22"/>
              </w:rPr>
            </w:pPr>
          </w:p>
        </w:tc>
        <w:tc>
          <w:tcPr>
            <w:tcW w:w="3849" w:type="dxa"/>
            <w:gridSpan w:val="2"/>
          </w:tcPr>
          <w:p w14:paraId="3D925F9F" w14:textId="77777777" w:rsidR="007B6316" w:rsidRPr="004F5F0C" w:rsidRDefault="007B6316" w:rsidP="00303D62">
            <w:pPr>
              <w:tabs>
                <w:tab w:val="left" w:pos="4111"/>
              </w:tabs>
              <w:spacing w:before="0"/>
              <w:ind w:left="57"/>
              <w:rPr>
                <w:b/>
              </w:rPr>
            </w:pPr>
          </w:p>
        </w:tc>
        <w:tc>
          <w:tcPr>
            <w:tcW w:w="5329" w:type="dxa"/>
          </w:tcPr>
          <w:p w14:paraId="336B3865" w14:textId="551B05AA" w:rsidR="007B6316" w:rsidRPr="004F5F0C" w:rsidRDefault="007B6316" w:rsidP="007B6316">
            <w:pPr>
              <w:tabs>
                <w:tab w:val="clear" w:pos="794"/>
                <w:tab w:val="clear" w:pos="1191"/>
                <w:tab w:val="clear" w:pos="1588"/>
                <w:tab w:val="clear" w:pos="1985"/>
                <w:tab w:val="left" w:pos="284"/>
              </w:tabs>
              <w:spacing w:after="120"/>
              <w:ind w:left="284" w:hanging="227"/>
            </w:pPr>
            <w:r w:rsidRPr="004F5F0C">
              <w:rPr>
                <w:szCs w:val="24"/>
              </w:rPr>
              <w:t>Ginebra,</w:t>
            </w:r>
            <w:r w:rsidR="00203DEE" w:rsidRPr="004F5F0C">
              <w:rPr>
                <w:rFonts w:ascii="Calibri" w:hAnsi="Calibri"/>
                <w:sz w:val="22"/>
                <w:szCs w:val="18"/>
              </w:rPr>
              <w:t xml:space="preserve"> 4 de noviembre de 2022</w:t>
            </w:r>
          </w:p>
        </w:tc>
      </w:tr>
      <w:tr w:rsidR="007B6316" w:rsidRPr="00641BB0" w14:paraId="26BDA040" w14:textId="77777777" w:rsidTr="00885060">
        <w:trPr>
          <w:cantSplit/>
          <w:trHeight w:val="340"/>
        </w:trPr>
        <w:tc>
          <w:tcPr>
            <w:tcW w:w="1028" w:type="dxa"/>
          </w:tcPr>
          <w:p w14:paraId="69606C6A" w14:textId="77777777" w:rsidR="007B6316" w:rsidRPr="00641BB0" w:rsidRDefault="007B6316" w:rsidP="00F625B7">
            <w:pPr>
              <w:tabs>
                <w:tab w:val="left" w:pos="4111"/>
              </w:tabs>
              <w:spacing w:before="240"/>
              <w:ind w:left="57"/>
              <w:rPr>
                <w:b/>
                <w:bCs/>
                <w:sz w:val="22"/>
              </w:rPr>
            </w:pPr>
            <w:r w:rsidRPr="00641BB0">
              <w:rPr>
                <w:b/>
                <w:bCs/>
                <w:sz w:val="22"/>
              </w:rPr>
              <w:t>Ref.:</w:t>
            </w:r>
          </w:p>
          <w:p w14:paraId="332C13B2" w14:textId="77777777" w:rsidR="007B6316" w:rsidRPr="00641BB0" w:rsidRDefault="007B6316" w:rsidP="007B6316">
            <w:pPr>
              <w:tabs>
                <w:tab w:val="left" w:pos="4111"/>
              </w:tabs>
              <w:spacing w:before="10"/>
              <w:ind w:left="57"/>
              <w:rPr>
                <w:b/>
                <w:bCs/>
                <w:sz w:val="22"/>
              </w:rPr>
            </w:pPr>
          </w:p>
        </w:tc>
        <w:tc>
          <w:tcPr>
            <w:tcW w:w="3849" w:type="dxa"/>
            <w:gridSpan w:val="2"/>
          </w:tcPr>
          <w:p w14:paraId="3CFC70CD" w14:textId="51EBCFFA" w:rsidR="007B6316" w:rsidRPr="004F5F0C" w:rsidRDefault="007B6316" w:rsidP="00F625B7">
            <w:pPr>
              <w:tabs>
                <w:tab w:val="left" w:pos="4111"/>
              </w:tabs>
              <w:spacing w:before="240"/>
              <w:ind w:left="57"/>
              <w:rPr>
                <w:b/>
              </w:rPr>
            </w:pPr>
            <w:r w:rsidRPr="004F5F0C">
              <w:rPr>
                <w:b/>
              </w:rPr>
              <w:t xml:space="preserve">Circular TSB </w:t>
            </w:r>
            <w:r w:rsidR="00203DEE" w:rsidRPr="004F5F0C">
              <w:rPr>
                <w:b/>
              </w:rPr>
              <w:t>53</w:t>
            </w:r>
          </w:p>
          <w:p w14:paraId="4137F759" w14:textId="71829EF7" w:rsidR="007B6316" w:rsidRPr="004F5F0C" w:rsidRDefault="007B6316" w:rsidP="007B6316">
            <w:pPr>
              <w:tabs>
                <w:tab w:val="left" w:pos="4111"/>
              </w:tabs>
              <w:spacing w:before="0"/>
              <w:ind w:left="57"/>
              <w:rPr>
                <w:b/>
              </w:rPr>
            </w:pPr>
            <w:r w:rsidRPr="004F5F0C">
              <w:t xml:space="preserve">COM </w:t>
            </w:r>
            <w:r w:rsidR="00203DEE" w:rsidRPr="004F5F0C">
              <w:t>5</w:t>
            </w:r>
            <w:r w:rsidRPr="004F5F0C">
              <w:t>/</w:t>
            </w:r>
            <w:r w:rsidR="00203DEE" w:rsidRPr="004F5F0C">
              <w:t>RU</w:t>
            </w:r>
          </w:p>
        </w:tc>
        <w:tc>
          <w:tcPr>
            <w:tcW w:w="5329" w:type="dxa"/>
            <w:vMerge w:val="restart"/>
          </w:tcPr>
          <w:p w14:paraId="1B18F00B" w14:textId="77777777" w:rsidR="007B6316" w:rsidRPr="004F5F0C" w:rsidRDefault="007B6316" w:rsidP="00F625B7">
            <w:pPr>
              <w:tabs>
                <w:tab w:val="clear" w:pos="794"/>
                <w:tab w:val="clear" w:pos="1191"/>
                <w:tab w:val="clear" w:pos="1588"/>
                <w:tab w:val="clear" w:pos="1985"/>
                <w:tab w:val="left" w:pos="284"/>
              </w:tabs>
              <w:spacing w:before="240"/>
              <w:ind w:left="284" w:hanging="227"/>
            </w:pPr>
            <w:bookmarkStart w:id="0" w:name="Addressee_S"/>
            <w:bookmarkEnd w:id="0"/>
            <w:r w:rsidRPr="004F5F0C">
              <w:t>-</w:t>
            </w:r>
            <w:r w:rsidRPr="004F5F0C">
              <w:tab/>
              <w:t>A las Administraciones de los Estados Miembros de la Unión</w:t>
            </w:r>
          </w:p>
        </w:tc>
      </w:tr>
      <w:tr w:rsidR="007B6316" w:rsidRPr="00641BB0" w14:paraId="2600F9A9" w14:textId="77777777" w:rsidTr="00885060">
        <w:trPr>
          <w:cantSplit/>
        </w:trPr>
        <w:tc>
          <w:tcPr>
            <w:tcW w:w="1028" w:type="dxa"/>
          </w:tcPr>
          <w:p w14:paraId="53B99150" w14:textId="77777777" w:rsidR="007B6316" w:rsidRPr="00641BB0" w:rsidRDefault="007B6316" w:rsidP="0035645B">
            <w:pPr>
              <w:tabs>
                <w:tab w:val="left" w:pos="4111"/>
              </w:tabs>
              <w:ind w:left="57"/>
              <w:rPr>
                <w:b/>
                <w:bCs/>
                <w:sz w:val="22"/>
              </w:rPr>
            </w:pPr>
            <w:r w:rsidRPr="00641BB0">
              <w:rPr>
                <w:b/>
                <w:bCs/>
                <w:sz w:val="22"/>
              </w:rPr>
              <w:t>Tel.:</w:t>
            </w:r>
          </w:p>
        </w:tc>
        <w:tc>
          <w:tcPr>
            <w:tcW w:w="3849" w:type="dxa"/>
            <w:gridSpan w:val="2"/>
          </w:tcPr>
          <w:p w14:paraId="110890A4" w14:textId="6463BB41" w:rsidR="007B6316" w:rsidRPr="004F5F0C" w:rsidRDefault="007B6316" w:rsidP="0035645B">
            <w:pPr>
              <w:tabs>
                <w:tab w:val="left" w:pos="4111"/>
              </w:tabs>
              <w:ind w:left="57"/>
              <w:rPr>
                <w:rStyle w:val="Hyperlink"/>
                <w:color w:val="auto"/>
              </w:rPr>
            </w:pPr>
            <w:r w:rsidRPr="004F5F0C">
              <w:t>+41 22 730</w:t>
            </w:r>
            <w:r w:rsidR="00203DEE" w:rsidRPr="004F5F0C">
              <w:rPr>
                <w:rFonts w:ascii="Calibri" w:hAnsi="Calibri"/>
              </w:rPr>
              <w:t>5356</w:t>
            </w:r>
          </w:p>
        </w:tc>
        <w:tc>
          <w:tcPr>
            <w:tcW w:w="5329" w:type="dxa"/>
            <w:vMerge/>
          </w:tcPr>
          <w:p w14:paraId="10A1B09C" w14:textId="77777777" w:rsidR="007B6316" w:rsidRPr="004F5F0C" w:rsidRDefault="007B6316" w:rsidP="00303D62">
            <w:pPr>
              <w:tabs>
                <w:tab w:val="left" w:pos="4111"/>
              </w:tabs>
              <w:spacing w:before="0"/>
              <w:rPr>
                <w:b/>
              </w:rPr>
            </w:pPr>
          </w:p>
        </w:tc>
      </w:tr>
      <w:tr w:rsidR="007B6316" w:rsidRPr="00641BB0" w14:paraId="179E3411" w14:textId="77777777" w:rsidTr="00885060">
        <w:trPr>
          <w:cantSplit/>
        </w:trPr>
        <w:tc>
          <w:tcPr>
            <w:tcW w:w="1028" w:type="dxa"/>
          </w:tcPr>
          <w:p w14:paraId="0E768996" w14:textId="77777777" w:rsidR="007B6316" w:rsidRPr="00641BB0" w:rsidRDefault="007B6316" w:rsidP="00303D62">
            <w:pPr>
              <w:tabs>
                <w:tab w:val="left" w:pos="4111"/>
              </w:tabs>
              <w:spacing w:before="10"/>
              <w:ind w:left="57"/>
              <w:rPr>
                <w:b/>
                <w:bCs/>
                <w:sz w:val="22"/>
              </w:rPr>
            </w:pPr>
            <w:r w:rsidRPr="00641BB0">
              <w:rPr>
                <w:b/>
                <w:bCs/>
                <w:sz w:val="22"/>
              </w:rPr>
              <w:t>Fax:</w:t>
            </w:r>
          </w:p>
        </w:tc>
        <w:tc>
          <w:tcPr>
            <w:tcW w:w="3849" w:type="dxa"/>
            <w:gridSpan w:val="2"/>
          </w:tcPr>
          <w:p w14:paraId="7488F404" w14:textId="77777777" w:rsidR="007B6316" w:rsidRPr="004F5F0C" w:rsidRDefault="007B6316" w:rsidP="00303D62">
            <w:pPr>
              <w:tabs>
                <w:tab w:val="left" w:pos="4111"/>
              </w:tabs>
              <w:spacing w:before="0"/>
              <w:ind w:left="57"/>
              <w:rPr>
                <w:rStyle w:val="Hyperlink"/>
                <w:color w:val="auto"/>
              </w:rPr>
            </w:pPr>
            <w:r w:rsidRPr="004F5F0C">
              <w:t>+41 22 730 5853</w:t>
            </w:r>
          </w:p>
        </w:tc>
        <w:tc>
          <w:tcPr>
            <w:tcW w:w="5329" w:type="dxa"/>
            <w:vMerge/>
          </w:tcPr>
          <w:p w14:paraId="450623F4" w14:textId="77777777" w:rsidR="007B6316" w:rsidRPr="004F5F0C" w:rsidRDefault="007B6316" w:rsidP="00303D62">
            <w:pPr>
              <w:tabs>
                <w:tab w:val="left" w:pos="4111"/>
              </w:tabs>
              <w:spacing w:before="0"/>
              <w:rPr>
                <w:b/>
              </w:rPr>
            </w:pPr>
          </w:p>
        </w:tc>
      </w:tr>
      <w:tr w:rsidR="00C34772" w:rsidRPr="00641BB0" w14:paraId="71595102" w14:textId="77777777" w:rsidTr="00885060">
        <w:trPr>
          <w:cantSplit/>
        </w:trPr>
        <w:tc>
          <w:tcPr>
            <w:tcW w:w="1028" w:type="dxa"/>
          </w:tcPr>
          <w:p w14:paraId="2B401D49" w14:textId="77777777" w:rsidR="00C34772" w:rsidRPr="00641BB0" w:rsidRDefault="00C34772" w:rsidP="00303D62">
            <w:pPr>
              <w:tabs>
                <w:tab w:val="left" w:pos="4111"/>
              </w:tabs>
              <w:spacing w:before="10"/>
              <w:ind w:left="57"/>
              <w:rPr>
                <w:b/>
                <w:bCs/>
                <w:sz w:val="22"/>
              </w:rPr>
            </w:pPr>
            <w:r w:rsidRPr="00641BB0">
              <w:rPr>
                <w:b/>
                <w:bCs/>
                <w:sz w:val="22"/>
              </w:rPr>
              <w:t>Correo-e:</w:t>
            </w:r>
          </w:p>
        </w:tc>
        <w:tc>
          <w:tcPr>
            <w:tcW w:w="3849" w:type="dxa"/>
            <w:gridSpan w:val="2"/>
          </w:tcPr>
          <w:p w14:paraId="55B03A55" w14:textId="3B1961FE" w:rsidR="00C34772" w:rsidRPr="004F5F0C" w:rsidRDefault="00C34772" w:rsidP="00303D62">
            <w:pPr>
              <w:tabs>
                <w:tab w:val="left" w:pos="4111"/>
              </w:tabs>
              <w:spacing w:before="0"/>
              <w:ind w:left="57"/>
            </w:pPr>
          </w:p>
        </w:tc>
        <w:tc>
          <w:tcPr>
            <w:tcW w:w="5329" w:type="dxa"/>
          </w:tcPr>
          <w:p w14:paraId="64BAAD49" w14:textId="77777777" w:rsidR="00C34772" w:rsidRPr="004F5F0C" w:rsidRDefault="00C34772" w:rsidP="00303D62">
            <w:pPr>
              <w:tabs>
                <w:tab w:val="left" w:pos="4111"/>
              </w:tabs>
              <w:spacing w:before="0"/>
            </w:pPr>
            <w:r w:rsidRPr="004F5F0C">
              <w:rPr>
                <w:b/>
              </w:rPr>
              <w:t>Copia</w:t>
            </w:r>
            <w:r w:rsidRPr="004F5F0C">
              <w:t>:</w:t>
            </w:r>
          </w:p>
          <w:p w14:paraId="6896C4A0" w14:textId="77777777" w:rsidR="00C34772" w:rsidRPr="004F5F0C" w:rsidRDefault="00C34772" w:rsidP="00303D62">
            <w:pPr>
              <w:tabs>
                <w:tab w:val="clear" w:pos="794"/>
                <w:tab w:val="left" w:pos="226"/>
                <w:tab w:val="left" w:pos="4111"/>
              </w:tabs>
              <w:spacing w:before="0"/>
            </w:pPr>
            <w:r w:rsidRPr="004F5F0C">
              <w:t>-</w:t>
            </w:r>
            <w:r w:rsidRPr="004F5F0C">
              <w:tab/>
              <w:t>A los Miembros del Sector UIT</w:t>
            </w:r>
            <w:r w:rsidRPr="004F5F0C">
              <w:noBreakHyphen/>
              <w:t>T;</w:t>
            </w:r>
          </w:p>
          <w:p w14:paraId="7B0218AB" w14:textId="4EB3DAAC" w:rsidR="00C34772" w:rsidRPr="004F5F0C" w:rsidRDefault="00C34772" w:rsidP="00DD251D">
            <w:pPr>
              <w:tabs>
                <w:tab w:val="clear" w:pos="794"/>
                <w:tab w:val="left" w:pos="226"/>
                <w:tab w:val="left" w:pos="4111"/>
              </w:tabs>
              <w:spacing w:before="0"/>
              <w:ind w:left="226" w:hanging="226"/>
            </w:pPr>
            <w:r w:rsidRPr="004F5F0C">
              <w:t>-</w:t>
            </w:r>
            <w:r w:rsidRPr="004F5F0C">
              <w:tab/>
              <w:t>A los Asociados</w:t>
            </w:r>
            <w:r w:rsidR="00203DEE" w:rsidRPr="004F5F0C">
              <w:t xml:space="preserve"> de la Comisión de Estudio 5 </w:t>
            </w:r>
            <w:r w:rsidRPr="004F5F0C">
              <w:t>del</w:t>
            </w:r>
            <w:r w:rsidR="00DD251D" w:rsidRPr="004F5F0C">
              <w:t> </w:t>
            </w:r>
            <w:r w:rsidRPr="004F5F0C">
              <w:t>UIT</w:t>
            </w:r>
            <w:r w:rsidRPr="004F5F0C">
              <w:noBreakHyphen/>
              <w:t>T;</w:t>
            </w:r>
          </w:p>
          <w:p w14:paraId="1A796391" w14:textId="77777777" w:rsidR="00C34772" w:rsidRPr="004F5F0C" w:rsidRDefault="00C34772" w:rsidP="00303D62">
            <w:pPr>
              <w:tabs>
                <w:tab w:val="clear" w:pos="794"/>
                <w:tab w:val="left" w:pos="226"/>
                <w:tab w:val="left" w:pos="4111"/>
              </w:tabs>
              <w:spacing w:before="0"/>
            </w:pPr>
            <w:r w:rsidRPr="004F5F0C">
              <w:t>-</w:t>
            </w:r>
            <w:r w:rsidRPr="004F5F0C">
              <w:tab/>
              <w:t>A las Instituciones Académicas del UIT-T;</w:t>
            </w:r>
          </w:p>
          <w:p w14:paraId="3DED6680" w14:textId="27D3CDEC" w:rsidR="00C34772" w:rsidRPr="004F5F0C" w:rsidRDefault="00C34772" w:rsidP="00303D62">
            <w:pPr>
              <w:tabs>
                <w:tab w:val="left" w:pos="226"/>
                <w:tab w:val="left" w:pos="4111"/>
              </w:tabs>
              <w:spacing w:before="0"/>
              <w:ind w:left="226" w:hanging="226"/>
            </w:pPr>
            <w:r w:rsidRPr="004F5F0C">
              <w:t>-</w:t>
            </w:r>
            <w:r w:rsidRPr="004F5F0C">
              <w:tab/>
              <w:t xml:space="preserve">Al </w:t>
            </w:r>
            <w:proofErr w:type="gramStart"/>
            <w:r w:rsidRPr="004F5F0C">
              <w:t>Presidente</w:t>
            </w:r>
            <w:proofErr w:type="gramEnd"/>
            <w:r w:rsidRPr="004F5F0C">
              <w:t xml:space="preserve"> y a los Vicepresidentes de la</w:t>
            </w:r>
            <w:r w:rsidRPr="004F5F0C">
              <w:br/>
              <w:t xml:space="preserve">Comisión de Estudio </w:t>
            </w:r>
            <w:r w:rsidR="00DD251D" w:rsidRPr="004F5F0C">
              <w:t>5 del UIT-T</w:t>
            </w:r>
            <w:r w:rsidRPr="004F5F0C">
              <w:t>;</w:t>
            </w:r>
          </w:p>
          <w:p w14:paraId="57821883" w14:textId="77777777" w:rsidR="00C34772" w:rsidRPr="004F5F0C" w:rsidRDefault="00C34772" w:rsidP="00303D62">
            <w:pPr>
              <w:tabs>
                <w:tab w:val="clear" w:pos="794"/>
                <w:tab w:val="clear" w:pos="1191"/>
                <w:tab w:val="clear" w:pos="1588"/>
                <w:tab w:val="clear" w:pos="1985"/>
                <w:tab w:val="left" w:pos="226"/>
                <w:tab w:val="left" w:pos="510"/>
              </w:tabs>
              <w:spacing w:before="0"/>
              <w:ind w:left="226" w:hanging="169"/>
            </w:pPr>
            <w:r w:rsidRPr="004F5F0C">
              <w:t>-</w:t>
            </w:r>
            <w:r w:rsidRPr="004F5F0C">
              <w:tab/>
              <w:t>A</w:t>
            </w:r>
            <w:r w:rsidR="00876165" w:rsidRPr="004F5F0C">
              <w:t xml:space="preserve"> </w:t>
            </w:r>
            <w:r w:rsidRPr="004F5F0C">
              <w:t>l</w:t>
            </w:r>
            <w:r w:rsidR="00876165" w:rsidRPr="004F5F0C">
              <w:t>a</w:t>
            </w:r>
            <w:r w:rsidRPr="004F5F0C">
              <w:t xml:space="preserve"> </w:t>
            </w:r>
            <w:proofErr w:type="gramStart"/>
            <w:r w:rsidRPr="004F5F0C">
              <w:t>Director</w:t>
            </w:r>
            <w:r w:rsidR="00876165" w:rsidRPr="004F5F0C">
              <w:t>a</w:t>
            </w:r>
            <w:proofErr w:type="gramEnd"/>
            <w:r w:rsidRPr="004F5F0C">
              <w:t xml:space="preserve"> de la Oficina de Desarrollo de las Telecomunicaciones;</w:t>
            </w:r>
          </w:p>
          <w:p w14:paraId="34F33587" w14:textId="77777777" w:rsidR="00C34772" w:rsidRPr="004F5F0C" w:rsidRDefault="00C34772" w:rsidP="00303D62">
            <w:pPr>
              <w:tabs>
                <w:tab w:val="clear" w:pos="794"/>
                <w:tab w:val="clear" w:pos="1191"/>
                <w:tab w:val="clear" w:pos="1588"/>
                <w:tab w:val="clear" w:pos="1985"/>
                <w:tab w:val="left" w:pos="226"/>
                <w:tab w:val="left" w:pos="510"/>
              </w:tabs>
              <w:spacing w:before="0"/>
              <w:ind w:left="226" w:hanging="169"/>
            </w:pPr>
            <w:r w:rsidRPr="004F5F0C">
              <w:t>-</w:t>
            </w:r>
            <w:r w:rsidRPr="004F5F0C">
              <w:tab/>
              <w:t xml:space="preserve">Al </w:t>
            </w:r>
            <w:proofErr w:type="gramStart"/>
            <w:r w:rsidRPr="004F5F0C">
              <w:t>Director</w:t>
            </w:r>
            <w:proofErr w:type="gramEnd"/>
            <w:r w:rsidRPr="004F5F0C">
              <w:t xml:space="preserve"> de la Oficina de Radiocomunicaciones</w:t>
            </w:r>
          </w:p>
        </w:tc>
      </w:tr>
      <w:tr w:rsidR="007B6316" w:rsidRPr="004F5F0C" w14:paraId="62ECFBB4" w14:textId="77777777" w:rsidTr="00885060">
        <w:trPr>
          <w:cantSplit/>
        </w:trPr>
        <w:tc>
          <w:tcPr>
            <w:tcW w:w="1028" w:type="dxa"/>
          </w:tcPr>
          <w:p w14:paraId="0A85B92F" w14:textId="77777777" w:rsidR="007B6316" w:rsidRPr="004F5F0C" w:rsidRDefault="007B6316" w:rsidP="00DD251D">
            <w:pPr>
              <w:tabs>
                <w:tab w:val="left" w:pos="4111"/>
              </w:tabs>
              <w:spacing w:before="360"/>
              <w:ind w:left="57"/>
              <w:rPr>
                <w:b/>
                <w:bCs/>
                <w:sz w:val="22"/>
              </w:rPr>
            </w:pPr>
            <w:r w:rsidRPr="004F5F0C">
              <w:rPr>
                <w:b/>
                <w:bCs/>
                <w:sz w:val="22"/>
              </w:rPr>
              <w:t>Asunto:</w:t>
            </w:r>
          </w:p>
        </w:tc>
        <w:tc>
          <w:tcPr>
            <w:tcW w:w="9178" w:type="dxa"/>
            <w:gridSpan w:val="3"/>
          </w:tcPr>
          <w:p w14:paraId="471DF280" w14:textId="3223316D" w:rsidR="007B6316" w:rsidRPr="004F5F0C" w:rsidRDefault="00DD251D" w:rsidP="00DD251D">
            <w:pPr>
              <w:tabs>
                <w:tab w:val="left" w:pos="4111"/>
              </w:tabs>
              <w:spacing w:before="360"/>
              <w:rPr>
                <w:b/>
              </w:rPr>
            </w:pPr>
            <w:r w:rsidRPr="004F5F0C">
              <w:rPr>
                <w:rFonts w:ascii="Calibri" w:hAnsi="Calibri"/>
                <w:b/>
                <w:bCs/>
              </w:rPr>
              <w:t xml:space="preserve">Propuesta de supresión de las Recomendaciones UIT-T </w:t>
            </w:r>
            <w:r w:rsidRPr="004F5F0C">
              <w:rPr>
                <w:rFonts w:ascii="Calibri" w:hAnsi="Calibri"/>
                <w:b/>
                <w:sz w:val="22"/>
                <w:szCs w:val="18"/>
              </w:rPr>
              <w:t xml:space="preserve">K.43, K.48 y K.88 </w:t>
            </w:r>
            <w:r w:rsidRPr="004F5F0C">
              <w:rPr>
                <w:rFonts w:ascii="Calibri" w:hAnsi="Calibri"/>
                <w:b/>
                <w:bCs/>
              </w:rPr>
              <w:t>acordadas por la</w:t>
            </w:r>
            <w:r w:rsidR="00D5736E" w:rsidRPr="004F5F0C">
              <w:rPr>
                <w:rFonts w:ascii="Calibri" w:hAnsi="Calibri"/>
                <w:b/>
                <w:bCs/>
              </w:rPr>
              <w:t> </w:t>
            </w:r>
            <w:r w:rsidRPr="004F5F0C">
              <w:rPr>
                <w:rFonts w:ascii="Calibri" w:hAnsi="Calibri"/>
                <w:b/>
                <w:bCs/>
              </w:rPr>
              <w:t>CE</w:t>
            </w:r>
            <w:r w:rsidR="00D5736E" w:rsidRPr="004F5F0C">
              <w:rPr>
                <w:rFonts w:ascii="Calibri" w:hAnsi="Calibri"/>
                <w:b/>
                <w:bCs/>
              </w:rPr>
              <w:t> </w:t>
            </w:r>
            <w:r w:rsidRPr="004F5F0C">
              <w:rPr>
                <w:rFonts w:ascii="Calibri" w:hAnsi="Calibri"/>
                <w:b/>
                <w:bCs/>
              </w:rPr>
              <w:t>5 del UIT</w:t>
            </w:r>
            <w:r w:rsidRPr="004F5F0C">
              <w:rPr>
                <w:rFonts w:ascii="Calibri" w:hAnsi="Calibri"/>
                <w:b/>
                <w:bCs/>
              </w:rPr>
              <w:noBreakHyphen/>
              <w:t>T en su reunión del 17 al 27 de octubre de 2022, Roma (Italia)</w:t>
            </w:r>
          </w:p>
        </w:tc>
      </w:tr>
    </w:tbl>
    <w:p w14:paraId="3881151D" w14:textId="77777777" w:rsidR="00C34772" w:rsidRPr="00641BB0" w:rsidRDefault="00C34772" w:rsidP="00F625B7">
      <w:pPr>
        <w:spacing w:before="480"/>
      </w:pPr>
      <w:bookmarkStart w:id="1" w:name="StartTyping_S"/>
      <w:bookmarkStart w:id="2" w:name="suitetext"/>
      <w:bookmarkStart w:id="3" w:name="text"/>
      <w:bookmarkEnd w:id="1"/>
      <w:bookmarkEnd w:id="2"/>
      <w:bookmarkEnd w:id="3"/>
      <w:r w:rsidRPr="004F5F0C">
        <w:t>Muy Señora mía/Muy Señor mío:</w:t>
      </w:r>
    </w:p>
    <w:p w14:paraId="363BCF59" w14:textId="77777777" w:rsidR="00822CBF" w:rsidRPr="00641BB0" w:rsidRDefault="00822CBF" w:rsidP="00F625B7">
      <w:r w:rsidRPr="00641BB0">
        <w:t>1</w:t>
      </w:r>
      <w:r w:rsidRPr="00641BB0">
        <w:tab/>
      </w:r>
      <w:r w:rsidRPr="004F5F0C">
        <w:t>A petición del Presidente de la Comisión de Estudio 5 (</w:t>
      </w:r>
      <w:r w:rsidRPr="004F5F0C">
        <w:rPr>
          <w:i/>
          <w:iCs/>
        </w:rPr>
        <w:t>C</w:t>
      </w:r>
      <w:r w:rsidRPr="004F5F0C">
        <w:rPr>
          <w:i/>
          <w:iCs/>
          <w:color w:val="000000"/>
        </w:rPr>
        <w:t>ampos electromagnéticos, medio ambiente, acción por el clima, digitalización sostenible y economía circular</w:t>
      </w:r>
      <w:r w:rsidRPr="004F5F0C">
        <w:rPr>
          <w:color w:val="000000"/>
        </w:rPr>
        <w:t>)</w:t>
      </w:r>
      <w:r w:rsidRPr="004F5F0C">
        <w:t>, tengo el honor de informarle que esta Comisión de Estudio, en su reunión del 17 al 27 de octubre de 2022 en Roma (Italia), acordó suprimir las Recomendaciones UIT-T arriba mencionadas, de acuerdo con las disposiciones de la Resolución 1 (Rev. Ginebra, 2022) de la AMNT, Sección 9, § 9.8.2. No hubo objeciones a este acuerdo por los Estados Miembros y Miembros de Sector que participaron en la reunión.</w:t>
      </w:r>
    </w:p>
    <w:p w14:paraId="2F8E4EA4" w14:textId="77777777" w:rsidR="00822CBF" w:rsidRPr="00641BB0" w:rsidRDefault="00822CBF" w:rsidP="00F625B7">
      <w:r w:rsidRPr="00641BB0">
        <w:t>2</w:t>
      </w:r>
      <w:r w:rsidRPr="00641BB0">
        <w:tab/>
      </w:r>
      <w:proofErr w:type="gramStart"/>
      <w:r w:rsidRPr="00641BB0">
        <w:t>En</w:t>
      </w:r>
      <w:proofErr w:type="gramEnd"/>
      <w:r w:rsidRPr="00641BB0">
        <w:t xml:space="preserve"> el </w:t>
      </w:r>
      <w:r w:rsidRPr="00641BB0">
        <w:rPr>
          <w:b/>
          <w:bCs/>
        </w:rPr>
        <w:t>Anexo 1</w:t>
      </w:r>
      <w:r w:rsidRPr="00641BB0">
        <w:t xml:space="preserve"> se facilita información sobre este acuerdo, incluido un resumen explicativo acerca de los motivos de la supresión.</w:t>
      </w:r>
    </w:p>
    <w:p w14:paraId="016BC418" w14:textId="77777777" w:rsidR="00822CBF" w:rsidRPr="00641BB0" w:rsidRDefault="00822CBF" w:rsidP="00F625B7">
      <w:r w:rsidRPr="00641BB0">
        <w:t>3</w:t>
      </w:r>
      <w:r w:rsidRPr="00641BB0">
        <w:tab/>
      </w:r>
      <w:proofErr w:type="gramStart"/>
      <w:r w:rsidRPr="00641BB0">
        <w:t>Teniendo</w:t>
      </w:r>
      <w:proofErr w:type="gramEnd"/>
      <w:r w:rsidRPr="00641BB0">
        <w:t xml:space="preserve"> en cuenta las disposiciones de la Resolución 1, Sección 9, le agradecería que me comunicase antes de las 24.00 horas UTC del </w:t>
      </w:r>
      <w:r w:rsidRPr="004F5F0C">
        <w:rPr>
          <w:b/>
          <w:bCs/>
        </w:rPr>
        <w:t xml:space="preserve">4 de febrero de 2023 </w:t>
      </w:r>
      <w:r w:rsidRPr="004F5F0C">
        <w:t>si</w:t>
      </w:r>
      <w:r w:rsidRPr="00641BB0">
        <w:t xml:space="preserve"> su Administración/organización aprueba o rechaza dicha supresión.</w:t>
      </w:r>
    </w:p>
    <w:p w14:paraId="1E4E9062" w14:textId="77777777" w:rsidR="00822CBF" w:rsidRPr="00641BB0" w:rsidRDefault="00822CBF" w:rsidP="00F625B7">
      <w:r w:rsidRPr="00641BB0">
        <w:t>Si algunos Estados Miembros o Miembros de Sector consideran que no debe aceptarse la supresión, deberán comunicar los motivos de su oposición, tras lo cual el asunto volverá a la Comisión de Estudio.</w:t>
      </w:r>
    </w:p>
    <w:p w14:paraId="40D38204" w14:textId="72043C4F" w:rsidR="00822CBF" w:rsidRPr="00641BB0" w:rsidRDefault="00822CBF" w:rsidP="00885060">
      <w:pPr>
        <w:keepNext/>
      </w:pPr>
      <w:r w:rsidRPr="00641BB0">
        <w:lastRenderedPageBreak/>
        <w:t>4</w:t>
      </w:r>
      <w:r w:rsidRPr="00641BB0">
        <w:tab/>
      </w:r>
      <w:proofErr w:type="gramStart"/>
      <w:r w:rsidRPr="00641BB0">
        <w:t>Tras</w:t>
      </w:r>
      <w:proofErr w:type="gramEnd"/>
      <w:r w:rsidRPr="00641BB0">
        <w:t xml:space="preserve"> cumplirse el plazo citado </w:t>
      </w:r>
      <w:r w:rsidRPr="00CE441A">
        <w:t xml:space="preserve">el </w:t>
      </w:r>
      <w:r w:rsidRPr="00CE441A">
        <w:rPr>
          <w:b/>
          <w:bCs/>
        </w:rPr>
        <w:t>4 de febrero de 2023</w:t>
      </w:r>
      <w:r w:rsidRPr="00CE441A">
        <w:t>, el</w:t>
      </w:r>
      <w:r w:rsidRPr="00641BB0">
        <w:t xml:space="preserve"> Director de la TSB notificará el resultado de la consulta en una Circular. Esta información también se publicará en el Boletín de Explotación de la UIT.</w:t>
      </w:r>
    </w:p>
    <w:p w14:paraId="143051DA" w14:textId="345DDD2F" w:rsidR="007B6316" w:rsidRPr="00641BB0" w:rsidRDefault="007B6316" w:rsidP="00DD251D">
      <w:pPr>
        <w:keepNext/>
      </w:pPr>
      <w:r w:rsidRPr="00641BB0">
        <w:t>Atentamente,</w:t>
      </w:r>
    </w:p>
    <w:p w14:paraId="2E32360D" w14:textId="0FFB1F01" w:rsidR="007B6316" w:rsidRPr="00641BB0" w:rsidRDefault="000007AD" w:rsidP="00F3068A">
      <w:pPr>
        <w:spacing w:before="960"/>
      </w:pPr>
      <w:r>
        <w:rPr>
          <w:noProof/>
        </w:rPr>
        <w:drawing>
          <wp:anchor distT="0" distB="0" distL="114300" distR="114300" simplePos="0" relativeHeight="251658240" behindDoc="1" locked="0" layoutInCell="1" allowOverlap="1" wp14:anchorId="63C28D05" wp14:editId="5F63B10E">
            <wp:simplePos x="0" y="0"/>
            <wp:positionH relativeFrom="column">
              <wp:posOffset>-1905</wp:posOffset>
            </wp:positionH>
            <wp:positionV relativeFrom="paragraph">
              <wp:posOffset>156845</wp:posOffset>
            </wp:positionV>
            <wp:extent cx="749300" cy="337471"/>
            <wp:effectExtent l="0" t="0" r="0" b="571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49300" cy="337471"/>
                    </a:xfrm>
                    <a:prstGeom prst="rect">
                      <a:avLst/>
                    </a:prstGeom>
                  </pic:spPr>
                </pic:pic>
              </a:graphicData>
            </a:graphic>
            <wp14:sizeRelH relativeFrom="margin">
              <wp14:pctWidth>0</wp14:pctWidth>
            </wp14:sizeRelH>
            <wp14:sizeRelV relativeFrom="margin">
              <wp14:pctHeight>0</wp14:pctHeight>
            </wp14:sizeRelV>
          </wp:anchor>
        </w:drawing>
      </w:r>
      <w:r w:rsidR="007B6316" w:rsidRPr="00641BB0">
        <w:t>Chaesub Lee</w:t>
      </w:r>
      <w:r w:rsidR="007B6316" w:rsidRPr="00641BB0">
        <w:br/>
      </w:r>
      <w:proofErr w:type="gramStart"/>
      <w:r w:rsidR="007B6316" w:rsidRPr="00641BB0">
        <w:t>Director</w:t>
      </w:r>
      <w:proofErr w:type="gramEnd"/>
      <w:r w:rsidR="007B6316" w:rsidRPr="00641BB0">
        <w:t xml:space="preserve"> de la Oficina de </w:t>
      </w:r>
      <w:r w:rsidR="007B6316" w:rsidRPr="00641BB0">
        <w:br/>
        <w:t>Normalización de las Telecomunicaciones</w:t>
      </w:r>
    </w:p>
    <w:p w14:paraId="2F3E2C3B" w14:textId="7F3390DF" w:rsidR="00DD251D" w:rsidRPr="00641BB0" w:rsidRDefault="00DD251D" w:rsidP="00DD251D">
      <w:pPr>
        <w:spacing w:before="840"/>
      </w:pPr>
      <w:r w:rsidRPr="00641BB0">
        <w:rPr>
          <w:b/>
          <w:bCs/>
        </w:rPr>
        <w:t>Anexo</w:t>
      </w:r>
      <w:r w:rsidRPr="00641BB0">
        <w:t>: 1</w:t>
      </w:r>
    </w:p>
    <w:p w14:paraId="575056EE" w14:textId="424656CE" w:rsidR="00203DEE" w:rsidRPr="00641BB0" w:rsidRDefault="00203DEE">
      <w:pPr>
        <w:tabs>
          <w:tab w:val="clear" w:pos="794"/>
          <w:tab w:val="clear" w:pos="1191"/>
          <w:tab w:val="clear" w:pos="1588"/>
          <w:tab w:val="clear" w:pos="1985"/>
        </w:tabs>
        <w:overflowPunct/>
        <w:autoSpaceDE/>
        <w:autoSpaceDN/>
        <w:adjustRightInd/>
        <w:spacing w:before="0"/>
        <w:textAlignment w:val="auto"/>
      </w:pPr>
      <w:r w:rsidRPr="00641BB0">
        <w:br w:type="page"/>
      </w:r>
    </w:p>
    <w:p w14:paraId="025912B5" w14:textId="1CFF818C" w:rsidR="00203DEE" w:rsidRPr="00A20F84" w:rsidRDefault="00203DEE" w:rsidP="00CD1952">
      <w:pPr>
        <w:pStyle w:val="AnnexTitle"/>
        <w:rPr>
          <w:lang w:eastAsia="ja-JP"/>
        </w:rPr>
      </w:pPr>
      <w:r w:rsidRPr="00A20F84">
        <w:lastRenderedPageBreak/>
        <w:t>Anexo 1</w:t>
      </w:r>
      <w:r w:rsidR="00CD1952">
        <w:br/>
      </w:r>
      <w:r w:rsidRPr="00A20F84">
        <w:br/>
        <w:t>Recomendaciones cuya supresión se ha propuesto: UIT-T K.43; K.48 y K.88</w:t>
      </w:r>
    </w:p>
    <w:p w14:paraId="69D37536" w14:textId="1F0E30DE" w:rsidR="00203DEE" w:rsidRPr="00CE441A" w:rsidRDefault="00203DEE" w:rsidP="001F4187">
      <w:pPr>
        <w:pStyle w:val="headingb"/>
        <w:spacing w:before="360"/>
      </w:pPr>
      <w:r w:rsidRPr="00CE441A">
        <w:t>Recomendación UIT-T K.43</w:t>
      </w:r>
      <w:r w:rsidR="00CD1952" w:rsidRPr="00CE441A">
        <w:t xml:space="preserve"> </w:t>
      </w:r>
      <w:r w:rsidRPr="00CE441A">
        <w:t>Requisitos de inmunidad para los equipos de redes de telecomunicación</w:t>
      </w:r>
    </w:p>
    <w:p w14:paraId="704478D3" w14:textId="2EF3A3B8" w:rsidR="00203DEE" w:rsidRPr="00CE441A" w:rsidRDefault="00203DEE" w:rsidP="00CD1952">
      <w:pPr>
        <w:pStyle w:val="headingb"/>
      </w:pPr>
      <w:bookmarkStart w:id="4" w:name="_Toc67198626"/>
      <w:bookmarkStart w:id="5" w:name="_Toc67187613"/>
      <w:bookmarkStart w:id="6" w:name="_Toc58151138"/>
      <w:bookmarkStart w:id="7" w:name="_Toc430773896"/>
      <w:r w:rsidRPr="00CE441A">
        <w:t>Fecha de aprobación:</w:t>
      </w:r>
      <w:r w:rsidR="00D5736E" w:rsidRPr="00CE441A">
        <w:t xml:space="preserve"> </w:t>
      </w:r>
      <w:r w:rsidRPr="00CE441A">
        <w:t>julio de 2009</w:t>
      </w:r>
    </w:p>
    <w:p w14:paraId="0DDC1930" w14:textId="77777777" w:rsidR="00203DEE" w:rsidRPr="00CD1952" w:rsidRDefault="00203DEE" w:rsidP="00CD1952">
      <w:pPr>
        <w:rPr>
          <w:rFonts w:ascii="Times New Roman" w:hAnsi="Times New Roman"/>
          <w:i/>
          <w:iCs/>
        </w:rPr>
      </w:pPr>
      <w:r w:rsidRPr="00CE441A">
        <w:rPr>
          <w:i/>
          <w:iCs/>
        </w:rPr>
        <w:t>Alcance</w:t>
      </w:r>
      <w:bookmarkEnd w:id="4"/>
      <w:bookmarkEnd w:id="5"/>
      <w:bookmarkEnd w:id="6"/>
      <w:bookmarkEnd w:id="7"/>
      <w:r w:rsidRPr="00CE441A">
        <w:rPr>
          <w:i/>
          <w:iCs/>
        </w:rPr>
        <w:t>:</w:t>
      </w:r>
    </w:p>
    <w:p w14:paraId="4FBEF485" w14:textId="77777777" w:rsidR="00203DEE" w:rsidRPr="00641BB0" w:rsidRDefault="00203DEE" w:rsidP="00F625B7">
      <w:r w:rsidRPr="00641BB0">
        <w:t xml:space="preserve">La presente Recomendación especifica los requisitos de inmunidad para los equipos utilizados en las redes públicas de telecomunicaciones y equipos terminales conectados a dichas redes. </w:t>
      </w:r>
      <w:r w:rsidRPr="00CE441A">
        <w:t>Es una Recomendación relativa a la familia de productos.</w:t>
      </w:r>
    </w:p>
    <w:p w14:paraId="6BB760FD" w14:textId="77777777" w:rsidR="00203DEE" w:rsidRPr="00641BB0" w:rsidRDefault="00203DEE" w:rsidP="00F625B7">
      <w:r w:rsidRPr="00641BB0">
        <w:t>La presente Recomendación establece los mínimos niveles de prueba aplicables en un entorno dado. Los requisitos contenidos en una Recomendación específica de una familia de productos prevalecen sobre los que figuran en esta Recomendación.</w:t>
      </w:r>
    </w:p>
    <w:p w14:paraId="7510BF78" w14:textId="77777777" w:rsidR="00203DEE" w:rsidRPr="00641BB0" w:rsidRDefault="00203DEE" w:rsidP="00F625B7">
      <w:r w:rsidRPr="00641BB0">
        <w:t>La presente Recomendación se aplica a todos los tipos de equipos:</w:t>
      </w:r>
    </w:p>
    <w:p w14:paraId="1E8E5EA6" w14:textId="1C8D839A" w:rsidR="00203DEE" w:rsidRPr="00641BB0" w:rsidRDefault="00203DEE" w:rsidP="000A1C8A">
      <w:pPr>
        <w:pStyle w:val="enumlev1"/>
      </w:pPr>
      <w:r w:rsidRPr="00641BB0">
        <w:t>–</w:t>
      </w:r>
      <w:r w:rsidRPr="00641BB0">
        <w:tab/>
        <w:t>equipos de redes de telecomunicaciones, entre ellos equipos de conmutación, de transmisión, radioeléctricos, de alimentación de energía eléctrica, de supervisión y de control;</w:t>
      </w:r>
    </w:p>
    <w:p w14:paraId="56D1CA1D" w14:textId="22328857" w:rsidR="00203DEE" w:rsidRPr="00641BB0" w:rsidRDefault="000A1C8A" w:rsidP="000A1C8A">
      <w:pPr>
        <w:pStyle w:val="enumlev1"/>
        <w:rPr>
          <w:rFonts w:ascii="Calibri" w:hAnsi="Calibri"/>
        </w:rPr>
      </w:pPr>
      <w:r w:rsidRPr="00641BB0">
        <w:t>–</w:t>
      </w:r>
      <w:r w:rsidRPr="00641BB0">
        <w:tab/>
      </w:r>
      <w:r w:rsidR="00203DEE" w:rsidRPr="00A20F84">
        <w:rPr>
          <w:rFonts w:ascii="Calibri" w:hAnsi="Calibri"/>
        </w:rPr>
        <w:t>equipos terminales conectados a redes de telecomunicaciones; por ejemplo, teléfonos, aparatos de facsímil y centralitas privadas;</w:t>
      </w:r>
    </w:p>
    <w:p w14:paraId="4943A323" w14:textId="05AA1421" w:rsidR="00203DEE" w:rsidRPr="00A20F84" w:rsidRDefault="000A1C8A" w:rsidP="000A1C8A">
      <w:pPr>
        <w:pStyle w:val="enumlev1"/>
        <w:rPr>
          <w:rFonts w:ascii="Calibri" w:hAnsi="Calibri"/>
        </w:rPr>
      </w:pPr>
      <w:r w:rsidRPr="00CE441A">
        <w:rPr>
          <w:rFonts w:ascii="Calibri" w:hAnsi="Calibri"/>
        </w:rPr>
        <w:t>–</w:t>
      </w:r>
      <w:r w:rsidRPr="00CE441A">
        <w:rPr>
          <w:rFonts w:ascii="Calibri" w:hAnsi="Calibri"/>
        </w:rPr>
        <w:tab/>
      </w:r>
      <w:r w:rsidR="00203DEE" w:rsidRPr="00A20F84">
        <w:rPr>
          <w:rFonts w:ascii="Calibri" w:hAnsi="Calibri"/>
        </w:rPr>
        <w:t xml:space="preserve">equipos terminales que utilizan la red </w:t>
      </w:r>
      <w:r w:rsidR="00203DEE" w:rsidRPr="00CE441A">
        <w:rPr>
          <w:rFonts w:ascii="Calibri" w:hAnsi="Calibri"/>
          <w:color w:val="000000"/>
        </w:rPr>
        <w:t xml:space="preserve">de corriente alterna de baja </w:t>
      </w:r>
      <w:r w:rsidR="00203DEE" w:rsidRPr="00A20F84">
        <w:rPr>
          <w:rFonts w:ascii="Calibri" w:hAnsi="Calibri"/>
          <w:color w:val="000000"/>
        </w:rPr>
        <w:t>tensión para las telecomunicaciones; por ejemplo, dispositivos PLT</w:t>
      </w:r>
      <w:r w:rsidR="00203DEE" w:rsidRPr="00A20F84">
        <w:rPr>
          <w:rFonts w:ascii="Calibri" w:hAnsi="Calibri"/>
        </w:rPr>
        <w:t>.</w:t>
      </w:r>
    </w:p>
    <w:p w14:paraId="42D63F12" w14:textId="6A5A31CF" w:rsidR="00203DEE" w:rsidRPr="00CE441A" w:rsidRDefault="00203DEE" w:rsidP="000A1C8A">
      <w:r w:rsidRPr="00CE441A">
        <w:t>Esta Recomendación incluye requisitos de inmunidad en la gama de frecuencias:</w:t>
      </w:r>
    </w:p>
    <w:p w14:paraId="303E68B6" w14:textId="72389FF0" w:rsidR="00203DEE" w:rsidRPr="00CE441A" w:rsidRDefault="000A1C8A" w:rsidP="000A1C8A">
      <w:pPr>
        <w:pStyle w:val="enumlev1"/>
        <w:rPr>
          <w:rFonts w:ascii="Calibri" w:hAnsi="Calibri"/>
        </w:rPr>
      </w:pPr>
      <w:r w:rsidRPr="00CE441A">
        <w:t>•</w:t>
      </w:r>
      <w:r w:rsidRPr="00CE441A">
        <w:tab/>
      </w:r>
      <w:bookmarkStart w:id="8" w:name="lt_pId096"/>
      <w:r w:rsidR="00203DEE" w:rsidRPr="00A20F84">
        <w:rPr>
          <w:rFonts w:ascii="Calibri" w:hAnsi="Calibri"/>
        </w:rPr>
        <w:t>150 </w:t>
      </w:r>
      <w:r w:rsidR="00203DEE" w:rsidRPr="00CE441A">
        <w:rPr>
          <w:rFonts w:ascii="Calibri" w:hAnsi="Calibri"/>
        </w:rPr>
        <w:t>kHz-80</w:t>
      </w:r>
      <w:r w:rsidR="00203DEE" w:rsidRPr="00A20F84">
        <w:rPr>
          <w:rFonts w:ascii="Calibri" w:hAnsi="Calibri"/>
        </w:rPr>
        <w:t> </w:t>
      </w:r>
      <w:r w:rsidR="00203DEE" w:rsidRPr="00CE441A">
        <w:rPr>
          <w:rFonts w:ascii="Calibri" w:hAnsi="Calibri"/>
        </w:rPr>
        <w:t>MHz para la inmunidad conducida;</w:t>
      </w:r>
      <w:bookmarkEnd w:id="8"/>
    </w:p>
    <w:p w14:paraId="6543D96B" w14:textId="462C6B88" w:rsidR="00203DEE" w:rsidRPr="00CE441A" w:rsidRDefault="000A1C8A" w:rsidP="000A1C8A">
      <w:pPr>
        <w:pStyle w:val="enumlev1"/>
        <w:rPr>
          <w:rFonts w:ascii="Calibri" w:hAnsi="Calibri"/>
        </w:rPr>
      </w:pPr>
      <w:r w:rsidRPr="00CE441A">
        <w:rPr>
          <w:rFonts w:ascii="Calibri" w:hAnsi="Calibri"/>
        </w:rPr>
        <w:t>•</w:t>
      </w:r>
      <w:r w:rsidRPr="00CE441A">
        <w:rPr>
          <w:rFonts w:ascii="Calibri" w:hAnsi="Calibri"/>
        </w:rPr>
        <w:tab/>
      </w:r>
      <w:bookmarkStart w:id="9" w:name="lt_pId097"/>
      <w:r w:rsidR="00203DEE" w:rsidRPr="00CE441A">
        <w:rPr>
          <w:rFonts w:ascii="Calibri" w:hAnsi="Calibri"/>
        </w:rPr>
        <w:t>80-2 </w:t>
      </w:r>
      <w:r w:rsidR="00203DEE" w:rsidRPr="00A20F84">
        <w:rPr>
          <w:rFonts w:ascii="Calibri" w:hAnsi="Calibri"/>
        </w:rPr>
        <w:t>700 </w:t>
      </w:r>
      <w:r w:rsidR="00203DEE" w:rsidRPr="00CE441A">
        <w:rPr>
          <w:rFonts w:ascii="Calibri" w:hAnsi="Calibri"/>
        </w:rPr>
        <w:t>MHz para la inmunidad radiada.</w:t>
      </w:r>
      <w:bookmarkEnd w:id="9"/>
    </w:p>
    <w:p w14:paraId="76F8CCC3" w14:textId="31F5FCB2" w:rsidR="00203DEE" w:rsidRPr="00641BB0" w:rsidRDefault="00203DEE" w:rsidP="000A1C8A">
      <w:bookmarkStart w:id="10" w:name="lt_pId098"/>
      <w:r w:rsidRPr="00CE441A">
        <w:t>Otras gamas de frecuencias están contempladas en diferentes Recomendaciones de la serie K del</w:t>
      </w:r>
      <w:r w:rsidR="00D5736E" w:rsidRPr="00CE441A">
        <w:t> </w:t>
      </w:r>
      <w:r w:rsidRPr="00CE441A">
        <w:t xml:space="preserve">UIT-T, por ejemplo, </w:t>
      </w:r>
      <w:bookmarkEnd w:id="10"/>
      <w:r w:rsidRPr="00CE441A">
        <w:t>[b-</w:t>
      </w:r>
      <w:r w:rsidR="00CE441A" w:rsidRPr="00CE441A">
        <w:t>U</w:t>
      </w:r>
      <w:r w:rsidRPr="00CE441A">
        <w:t>IT-T K.76] para la gama de frecuencias 9-150</w:t>
      </w:r>
      <w:r w:rsidR="00CE441A" w:rsidRPr="00CE441A">
        <w:t xml:space="preserve"> </w:t>
      </w:r>
      <w:r w:rsidRPr="00CE441A">
        <w:t>kHz.</w:t>
      </w:r>
    </w:p>
    <w:p w14:paraId="08D26421" w14:textId="2B50216C" w:rsidR="00203DEE" w:rsidRPr="00641BB0" w:rsidRDefault="00203DEE" w:rsidP="001F4187">
      <w:pPr>
        <w:pStyle w:val="headingb"/>
        <w:spacing w:before="360"/>
      </w:pPr>
      <w:r w:rsidRPr="00641BB0">
        <w:t>Recomendación UIT-T K.48</w:t>
      </w:r>
      <w:r w:rsidR="00F625B7" w:rsidRPr="00641BB0">
        <w:t xml:space="preserve"> </w:t>
      </w:r>
      <w:r w:rsidRPr="00641BB0">
        <w:t>Requisitos de compatibilidad electromagnética para equipos</w:t>
      </w:r>
      <w:r w:rsidR="00CE441A">
        <w:t xml:space="preserve"> </w:t>
      </w:r>
      <w:r w:rsidRPr="00641BB0">
        <w:t>de telecomunicación – Recomendación relativa</w:t>
      </w:r>
      <w:r w:rsidR="00F625B7" w:rsidRPr="00641BB0">
        <w:t xml:space="preserve"> </w:t>
      </w:r>
      <w:r w:rsidRPr="00641BB0">
        <w:t>a la familia de productos</w:t>
      </w:r>
    </w:p>
    <w:p w14:paraId="0A57EB02" w14:textId="1229508D" w:rsidR="00203DEE" w:rsidRPr="00641BB0" w:rsidRDefault="00203DEE" w:rsidP="00F625B7">
      <w:pPr>
        <w:pStyle w:val="headingb"/>
      </w:pPr>
      <w:bookmarkStart w:id="11" w:name="_Toc176573901"/>
      <w:bookmarkStart w:id="12" w:name="_Toc179705146"/>
      <w:bookmarkStart w:id="13" w:name="_Toc182207527"/>
      <w:r w:rsidRPr="00CE441A">
        <w:t>Fecha de aprobación:</w:t>
      </w:r>
      <w:r w:rsidR="00F625B7" w:rsidRPr="00CE441A">
        <w:t xml:space="preserve"> </w:t>
      </w:r>
      <w:r w:rsidRPr="00CE441A">
        <w:t>septiembre de 2006</w:t>
      </w:r>
    </w:p>
    <w:p w14:paraId="69DF54DC" w14:textId="77777777" w:rsidR="00203DEE" w:rsidRPr="00641BB0" w:rsidRDefault="00203DEE" w:rsidP="00F625B7">
      <w:pPr>
        <w:rPr>
          <w:i/>
          <w:iCs/>
        </w:rPr>
      </w:pPr>
      <w:r w:rsidRPr="00CE441A">
        <w:rPr>
          <w:i/>
          <w:iCs/>
        </w:rPr>
        <w:t>Alcance</w:t>
      </w:r>
      <w:bookmarkEnd w:id="11"/>
      <w:bookmarkEnd w:id="12"/>
      <w:bookmarkEnd w:id="13"/>
      <w:r w:rsidRPr="00CE441A">
        <w:rPr>
          <w:i/>
          <w:iCs/>
        </w:rPr>
        <w:t>:</w:t>
      </w:r>
    </w:p>
    <w:p w14:paraId="37C77169" w14:textId="4FAA26B4" w:rsidR="00203DEE" w:rsidRPr="00641BB0" w:rsidRDefault="00203DEE" w:rsidP="00F625B7">
      <w:r w:rsidRPr="00641BB0">
        <w:t xml:space="preserve">La presente Recomendación especifica los requisitos de emisión e inmunidad para los equipos de conmutación, transmisión, alimentación de energía eléctrica, estaciones de base móviles digitales, redes de área local inalámbricas, sistemas de radioenlaces digitales, línea de abonado digital (xDSL) y sistemas de supervisión. </w:t>
      </w:r>
      <w:proofErr w:type="gramStart"/>
      <w:r w:rsidRPr="00641BB0">
        <w:t>Asimismo</w:t>
      </w:r>
      <w:proofErr w:type="gramEnd"/>
      <w:r w:rsidRPr="00641BB0">
        <w:t xml:space="preserve"> describe las condiciones de funcionamiento para las pruebas de emisión e inmunidad y se establecen también los criterios de calidad de funcionamiento para las pruebas de inmunidad. En la Rec. UIT-T K.43 se indican las condiciones de funcionamiento y los criterios de calidad de funcionamiento generales. La presente Recomendación describe las condiciones específicas que deben cumplir las pruebas realizadas en el equipo de la red de telecomunicación.</w:t>
      </w:r>
    </w:p>
    <w:p w14:paraId="0AA37BA3" w14:textId="79D58E9B" w:rsidR="00203DEE" w:rsidRPr="00CE441A" w:rsidRDefault="00203DEE" w:rsidP="001F4187">
      <w:pPr>
        <w:pStyle w:val="headingb"/>
        <w:spacing w:before="360"/>
      </w:pPr>
      <w:r w:rsidRPr="00CE441A">
        <w:lastRenderedPageBreak/>
        <w:t>Recomendación UIT-T K.88</w:t>
      </w:r>
      <w:r w:rsidR="00F625B7" w:rsidRPr="00CE441A">
        <w:t xml:space="preserve"> </w:t>
      </w:r>
      <w:r w:rsidRPr="00CE441A">
        <w:t xml:space="preserve">Requisitos de compatibilidad electromagnética para </w:t>
      </w:r>
      <w:r w:rsidRPr="00CE441A">
        <w:rPr>
          <w:color w:val="000000"/>
        </w:rPr>
        <w:t>equipos de redes de la próxima generación</w:t>
      </w:r>
    </w:p>
    <w:p w14:paraId="3CCADB61" w14:textId="44787617" w:rsidR="00203DEE" w:rsidRPr="00641BB0" w:rsidRDefault="00203DEE" w:rsidP="00F625B7">
      <w:pPr>
        <w:pStyle w:val="headingb"/>
      </w:pPr>
      <w:r w:rsidRPr="00CE441A">
        <w:t>Fecha de aprobación:</w:t>
      </w:r>
      <w:r w:rsidR="00F625B7" w:rsidRPr="00CE441A">
        <w:t xml:space="preserve"> </w:t>
      </w:r>
      <w:r w:rsidRPr="00CE441A">
        <w:t>noviembre de 2011</w:t>
      </w:r>
    </w:p>
    <w:p w14:paraId="4D4EF6CC" w14:textId="77777777" w:rsidR="00203DEE" w:rsidRPr="00641BB0" w:rsidRDefault="00203DEE" w:rsidP="00F625B7">
      <w:pPr>
        <w:rPr>
          <w:i/>
          <w:iCs/>
        </w:rPr>
      </w:pPr>
      <w:r w:rsidRPr="00641BB0">
        <w:rPr>
          <w:i/>
          <w:iCs/>
        </w:rPr>
        <w:t>Alcance:</w:t>
      </w:r>
    </w:p>
    <w:p w14:paraId="695ED2CA" w14:textId="77777777" w:rsidR="00203DEE" w:rsidRPr="00641BB0" w:rsidRDefault="00203DEE" w:rsidP="00F625B7">
      <w:r w:rsidRPr="00CE441A">
        <w:t>La presente Recomendación especifica los requisitos de emisión e inmunidad para los equipos de conmutación, transmisión y pasarela de medios basados en el protocolo de Internet de las redes de la próxima generación (NGN). Asimismo, describe las condiciones de funcionamiento para las pruebas de emisión e inmunidad y se establecen también los criterios de calidad de funcionamiento para las pruebas de inmunidad. En [UIT-T K.48] se indican</w:t>
      </w:r>
      <w:r w:rsidRPr="00641BB0">
        <w:t xml:space="preserve"> las condiciones de funcionamiento y los criterios de calidad de funcionamiento generales. La presente Recomendación describe las condiciones específicas que deben cumplir las pruebas realizadas en el equipo de </w:t>
      </w:r>
      <w:r w:rsidRPr="00CE441A">
        <w:t>la NGN.</w:t>
      </w:r>
    </w:p>
    <w:p w14:paraId="75C971B0" w14:textId="77777777" w:rsidR="00203DEE" w:rsidRPr="00641BB0" w:rsidRDefault="00203DEE" w:rsidP="00F625B7">
      <w:r w:rsidRPr="00641BB0">
        <w:t>En el Anexo A se presenta un ejemplo de equipo cubierto por este alcance.</w:t>
      </w:r>
    </w:p>
    <w:p w14:paraId="4C1B52C4" w14:textId="77777777" w:rsidR="00203DEE" w:rsidRPr="00641BB0" w:rsidRDefault="00203DEE" w:rsidP="00F625B7">
      <w:pPr>
        <w:rPr>
          <w:i/>
          <w:iCs/>
          <w:lang w:eastAsia="ja-JP"/>
        </w:rPr>
      </w:pPr>
      <w:bookmarkStart w:id="14" w:name="lt_pId129"/>
      <w:r w:rsidRPr="00641BB0">
        <w:rPr>
          <w:i/>
          <w:iCs/>
        </w:rPr>
        <w:t xml:space="preserve">Motivos para suprimir las Recomendaciones </w:t>
      </w:r>
      <w:r w:rsidRPr="00641BB0">
        <w:rPr>
          <w:i/>
          <w:iCs/>
          <w:lang w:eastAsia="ja-JP"/>
        </w:rPr>
        <w:t xml:space="preserve">UIT-T K.43 y UIT-T K.48 </w:t>
      </w:r>
      <w:r w:rsidRPr="00641BB0">
        <w:rPr>
          <w:i/>
          <w:iCs/>
        </w:rPr>
        <w:t>arriba indicadas</w:t>
      </w:r>
      <w:r w:rsidRPr="00641BB0">
        <w:rPr>
          <w:i/>
          <w:iCs/>
          <w:lang w:eastAsia="ja-JP"/>
        </w:rPr>
        <w:t>:</w:t>
      </w:r>
      <w:bookmarkEnd w:id="14"/>
    </w:p>
    <w:p w14:paraId="4F42FD59" w14:textId="58B81ED3" w:rsidR="00203DEE" w:rsidRPr="00641BB0" w:rsidRDefault="00203DEE" w:rsidP="00F625B7">
      <w:pPr>
        <w:rPr>
          <w:lang w:eastAsia="ja-JP"/>
        </w:rPr>
      </w:pPr>
      <w:bookmarkStart w:id="15" w:name="lt_pId130"/>
      <w:r w:rsidRPr="00641BB0">
        <w:rPr>
          <w:lang w:eastAsia="ja-JP"/>
        </w:rPr>
        <w:t>Los requisitos que figuran en las Recomendaciones UIT-T K.43 y UIT-T K.48 ya están cubiertos en las Recomendaciones siguientes:</w:t>
      </w:r>
      <w:bookmarkEnd w:id="15"/>
    </w:p>
    <w:p w14:paraId="57FE187F" w14:textId="3CE56047" w:rsidR="00203DEE" w:rsidRPr="00CE441A" w:rsidRDefault="00F625B7" w:rsidP="00F625B7">
      <w:pPr>
        <w:pStyle w:val="enumlev1"/>
        <w:rPr>
          <w:rFonts w:cstheme="minorHAnsi"/>
        </w:rPr>
      </w:pPr>
      <w:r w:rsidRPr="00CE441A">
        <w:rPr>
          <w:rFonts w:cstheme="minorHAnsi"/>
          <w:lang w:eastAsia="ja-JP"/>
        </w:rPr>
        <w:t>–</w:t>
      </w:r>
      <w:r w:rsidRPr="00CE441A">
        <w:rPr>
          <w:rFonts w:cstheme="minorHAnsi"/>
          <w:lang w:eastAsia="ja-JP"/>
        </w:rPr>
        <w:tab/>
      </w:r>
      <w:bookmarkStart w:id="16" w:name="lt_pId131"/>
      <w:r w:rsidR="00203DEE" w:rsidRPr="00CE441A">
        <w:rPr>
          <w:rFonts w:cstheme="minorHAnsi"/>
          <w:lang w:eastAsia="zh-CN"/>
        </w:rPr>
        <w:t>UIT-T K.136 (2018):</w:t>
      </w:r>
      <w:bookmarkEnd w:id="16"/>
      <w:r w:rsidR="00203DEE" w:rsidRPr="00CE441A">
        <w:rPr>
          <w:rFonts w:cstheme="minorHAnsi"/>
          <w:lang w:eastAsia="zh-CN"/>
        </w:rPr>
        <w:t xml:space="preserve"> </w:t>
      </w:r>
      <w:r w:rsidR="00203DEE" w:rsidRPr="00CE441A">
        <w:rPr>
          <w:rFonts w:cstheme="minorHAnsi"/>
        </w:rPr>
        <w:t>Requisitos de compatibilidad electromagnética para equipos de radiotelecomunicaciones</w:t>
      </w:r>
      <w:r w:rsidR="00885060" w:rsidRPr="00CE441A">
        <w:rPr>
          <w:rFonts w:cstheme="minorHAnsi"/>
        </w:rPr>
        <w:t>.</w:t>
      </w:r>
    </w:p>
    <w:p w14:paraId="49FE9FD2" w14:textId="65C4B3B2" w:rsidR="00203DEE" w:rsidRPr="00CE441A" w:rsidRDefault="00885060" w:rsidP="00885060">
      <w:pPr>
        <w:pStyle w:val="enumlev1"/>
      </w:pPr>
      <w:r w:rsidRPr="00CE441A">
        <w:rPr>
          <w:rFonts w:cstheme="minorHAnsi"/>
        </w:rPr>
        <w:t>–</w:t>
      </w:r>
      <w:r w:rsidRPr="00CE441A">
        <w:rPr>
          <w:rFonts w:cstheme="minorHAnsi"/>
        </w:rPr>
        <w:tab/>
      </w:r>
      <w:bookmarkStart w:id="17" w:name="lt_pId133"/>
      <w:r w:rsidR="00203DEE" w:rsidRPr="00A20F84">
        <w:rPr>
          <w:rFonts w:cstheme="minorHAnsi"/>
          <w:lang w:eastAsia="zh-CN"/>
        </w:rPr>
        <w:t>UIT-T K.137 (2022):</w:t>
      </w:r>
      <w:bookmarkEnd w:id="17"/>
      <w:r w:rsidR="00203DEE" w:rsidRPr="00A20F84">
        <w:rPr>
          <w:rFonts w:cstheme="minorHAnsi"/>
          <w:lang w:eastAsia="zh-CN"/>
        </w:rPr>
        <w:t xml:space="preserve"> </w:t>
      </w:r>
      <w:r w:rsidR="00203DEE" w:rsidRPr="00A20F84">
        <w:t>Requisitos de compatibilidad electromagnética y métodos de medición para los equipos de red de telecomunicaciones alámbrica</w:t>
      </w:r>
      <w:r w:rsidRPr="00CE441A">
        <w:t>.</w:t>
      </w:r>
    </w:p>
    <w:p w14:paraId="48461368" w14:textId="27F6A026" w:rsidR="00203DEE" w:rsidRPr="00CE441A" w:rsidRDefault="00885060" w:rsidP="004F5F0C">
      <w:pPr>
        <w:pStyle w:val="enumlev1"/>
      </w:pPr>
      <w:r w:rsidRPr="00CE441A">
        <w:rPr>
          <w:lang w:eastAsia="zh-CN"/>
        </w:rPr>
        <w:t>–</w:t>
      </w:r>
      <w:r w:rsidRPr="00CE441A">
        <w:tab/>
      </w:r>
      <w:bookmarkStart w:id="18" w:name="lt_pId135"/>
      <w:r w:rsidR="00203DEE" w:rsidRPr="00CE441A">
        <w:t>UIT-T K.114 (2022):</w:t>
      </w:r>
      <w:bookmarkEnd w:id="18"/>
      <w:r w:rsidR="00203DEE" w:rsidRPr="00CE441A">
        <w:t xml:space="preserve"> Requisitos y métodos de medición de la compatibilidad electromagnética para los equipos de las estaciones base de comunicación móvil celular digital</w:t>
      </w:r>
      <w:r w:rsidRPr="00CE441A">
        <w:t>.</w:t>
      </w:r>
    </w:p>
    <w:p w14:paraId="436347A2" w14:textId="6DB4F58D" w:rsidR="00203DEE" w:rsidRPr="00CE441A" w:rsidRDefault="00885060" w:rsidP="004F5F0C">
      <w:pPr>
        <w:pStyle w:val="enumlev1"/>
      </w:pPr>
      <w:r w:rsidRPr="00CE441A">
        <w:t>–</w:t>
      </w:r>
      <w:r w:rsidRPr="00CE441A">
        <w:tab/>
      </w:r>
      <w:bookmarkStart w:id="19" w:name="lt_pId137"/>
      <w:r w:rsidR="00203DEE" w:rsidRPr="00CE441A">
        <w:t>UIT-T K.123 (2022):</w:t>
      </w:r>
      <w:bookmarkEnd w:id="19"/>
      <w:r w:rsidR="00203DEE" w:rsidRPr="00CE441A">
        <w:t xml:space="preserve"> Requisitos de compatibilidad electromagnética para equipos eléctricos en instalaciones de telecomunicaciones</w:t>
      </w:r>
      <w:r w:rsidRPr="00CE441A">
        <w:t>.</w:t>
      </w:r>
    </w:p>
    <w:p w14:paraId="52BFFD4C" w14:textId="0D7E5710" w:rsidR="00203DEE" w:rsidRPr="00CE441A" w:rsidRDefault="00885060" w:rsidP="004F5F0C">
      <w:pPr>
        <w:pStyle w:val="enumlev1"/>
      </w:pPr>
      <w:r w:rsidRPr="00CE441A">
        <w:t>–</w:t>
      </w:r>
      <w:r w:rsidRPr="00CE441A">
        <w:tab/>
      </w:r>
      <w:bookmarkStart w:id="20" w:name="lt_pId139"/>
      <w:r w:rsidR="00203DEE" w:rsidRPr="00CE441A">
        <w:t>UIT-T K.116 (2019):</w:t>
      </w:r>
      <w:bookmarkEnd w:id="20"/>
      <w:r w:rsidR="00203DEE" w:rsidRPr="00CE441A">
        <w:t xml:space="preserve"> Requisitos de compatibilidad electromagnética y métodos de prueba para equipos terminales de radiotelecomunicaciones</w:t>
      </w:r>
      <w:r w:rsidRPr="00CE441A">
        <w:t>.</w:t>
      </w:r>
    </w:p>
    <w:p w14:paraId="2A653895" w14:textId="4650E76F" w:rsidR="00203DEE" w:rsidRPr="00A20F84" w:rsidRDefault="00885060" w:rsidP="004F5F0C">
      <w:pPr>
        <w:pStyle w:val="enumlev1"/>
      </w:pPr>
      <w:r w:rsidRPr="00CE441A">
        <w:t>–</w:t>
      </w:r>
      <w:r w:rsidRPr="00CE441A">
        <w:tab/>
      </w:r>
      <w:bookmarkStart w:id="21" w:name="lt_pId141"/>
      <w:r w:rsidR="00203DEE" w:rsidRPr="00CE441A">
        <w:t>UIT-T K.152 (2022):</w:t>
      </w:r>
      <w:bookmarkEnd w:id="21"/>
      <w:r w:rsidR="00203DEE" w:rsidRPr="00CE441A">
        <w:t xml:space="preserve"> </w:t>
      </w:r>
      <w:bookmarkStart w:id="22" w:name="lt_pId142"/>
      <w:proofErr w:type="spellStart"/>
      <w:r w:rsidR="00203DEE" w:rsidRPr="00CE441A">
        <w:t>Electromagnetic</w:t>
      </w:r>
      <w:proofErr w:type="spellEnd"/>
      <w:r w:rsidR="00203DEE" w:rsidRPr="00CE441A">
        <w:t xml:space="preserve"> </w:t>
      </w:r>
      <w:proofErr w:type="spellStart"/>
      <w:r w:rsidR="00203DEE" w:rsidRPr="00CE441A">
        <w:t>compatibility</w:t>
      </w:r>
      <w:proofErr w:type="spellEnd"/>
      <w:r w:rsidR="00203DEE" w:rsidRPr="00CE441A">
        <w:t xml:space="preserve"> </w:t>
      </w:r>
      <w:proofErr w:type="spellStart"/>
      <w:r w:rsidR="00203DEE" w:rsidRPr="00CE441A">
        <w:t>requirements</w:t>
      </w:r>
      <w:proofErr w:type="spellEnd"/>
      <w:r w:rsidR="00203DEE" w:rsidRPr="00CE441A">
        <w:t xml:space="preserve"> for </w:t>
      </w:r>
      <w:proofErr w:type="spellStart"/>
      <w:r w:rsidR="00203DEE" w:rsidRPr="00CE441A">
        <w:t>power</w:t>
      </w:r>
      <w:proofErr w:type="spellEnd"/>
      <w:r w:rsidR="00203DEE" w:rsidRPr="00CE441A">
        <w:t xml:space="preserve"> </w:t>
      </w:r>
      <w:proofErr w:type="spellStart"/>
      <w:r w:rsidR="00203DEE" w:rsidRPr="00CE441A">
        <w:t>equipment</w:t>
      </w:r>
      <w:proofErr w:type="spellEnd"/>
      <w:r w:rsidR="00203DEE" w:rsidRPr="00CE441A">
        <w:t xml:space="preserve"> in </w:t>
      </w:r>
      <w:proofErr w:type="spellStart"/>
      <w:r w:rsidR="00203DEE" w:rsidRPr="00CE441A">
        <w:t>telecommunication</w:t>
      </w:r>
      <w:proofErr w:type="spellEnd"/>
      <w:r w:rsidR="00203DEE" w:rsidRPr="00CE441A">
        <w:t xml:space="preserve"> </w:t>
      </w:r>
      <w:proofErr w:type="spellStart"/>
      <w:r w:rsidR="00203DEE" w:rsidRPr="00CE441A">
        <w:t>facilities</w:t>
      </w:r>
      <w:bookmarkEnd w:id="22"/>
      <w:proofErr w:type="spellEnd"/>
      <w:r w:rsidRPr="00CE441A">
        <w:t>.</w:t>
      </w:r>
    </w:p>
    <w:p w14:paraId="08387C28" w14:textId="77777777" w:rsidR="00203DEE" w:rsidRPr="00641BB0" w:rsidRDefault="00203DEE" w:rsidP="00885060">
      <w:pPr>
        <w:rPr>
          <w:i/>
          <w:iCs/>
          <w:lang w:eastAsia="ja-JP"/>
        </w:rPr>
      </w:pPr>
      <w:bookmarkStart w:id="23" w:name="lt_pId143"/>
      <w:r w:rsidRPr="00641BB0">
        <w:rPr>
          <w:i/>
          <w:iCs/>
        </w:rPr>
        <w:t>Motivos para suprimir la Recomendación UIT</w:t>
      </w:r>
      <w:r w:rsidRPr="00641BB0">
        <w:rPr>
          <w:i/>
          <w:iCs/>
          <w:lang w:eastAsia="ja-JP"/>
        </w:rPr>
        <w:t xml:space="preserve">-T K.88 </w:t>
      </w:r>
      <w:r w:rsidRPr="00641BB0">
        <w:rPr>
          <w:i/>
          <w:iCs/>
        </w:rPr>
        <w:t>arriba indicada</w:t>
      </w:r>
      <w:r w:rsidRPr="00641BB0">
        <w:rPr>
          <w:i/>
          <w:iCs/>
          <w:lang w:eastAsia="ja-JP"/>
        </w:rPr>
        <w:t>:</w:t>
      </w:r>
      <w:bookmarkEnd w:id="23"/>
    </w:p>
    <w:p w14:paraId="1F7CEDC3" w14:textId="28CB6D16" w:rsidR="00401C20" w:rsidRPr="00641BB0" w:rsidRDefault="00203DEE" w:rsidP="00885060">
      <w:pPr>
        <w:rPr>
          <w:rFonts w:ascii="Calibri" w:hAnsi="Calibri"/>
          <w:lang w:eastAsia="ja-JP"/>
        </w:rPr>
      </w:pPr>
      <w:bookmarkStart w:id="24" w:name="lt_pId144"/>
      <w:r w:rsidRPr="00CE441A">
        <w:rPr>
          <w:rFonts w:ascii="Calibri" w:hAnsi="Calibri"/>
          <w:lang w:eastAsia="ja-JP"/>
        </w:rPr>
        <w:t xml:space="preserve">Los requisitos que figuran en la Recomendación UIT-T K.88 ya están cubiertos en la Recomendación UIT-T K.137 (2022), </w:t>
      </w:r>
      <w:r w:rsidRPr="00CE441A">
        <w:t>Requisitos de compatibilidad electromagnética y métodos de medición para los equipos de red de telecomunicaciones alámbrica</w:t>
      </w:r>
      <w:r w:rsidRPr="00CE441A">
        <w:rPr>
          <w:rFonts w:ascii="Calibri" w:hAnsi="Calibri"/>
          <w:lang w:eastAsia="ja-JP"/>
        </w:rPr>
        <w:t>.</w:t>
      </w:r>
      <w:bookmarkEnd w:id="24"/>
    </w:p>
    <w:p w14:paraId="5AC33C36" w14:textId="77777777" w:rsidR="00885060" w:rsidRPr="00641BB0" w:rsidRDefault="00885060" w:rsidP="0032202E">
      <w:pPr>
        <w:pStyle w:val="Reasons"/>
        <w:rPr>
          <w:lang w:val="es-ES_tradnl"/>
        </w:rPr>
      </w:pPr>
    </w:p>
    <w:p w14:paraId="0EE9CF71" w14:textId="77777777" w:rsidR="00885060" w:rsidRPr="00641BB0" w:rsidRDefault="00885060">
      <w:pPr>
        <w:jc w:val="center"/>
      </w:pPr>
      <w:r w:rsidRPr="00641BB0">
        <w:t>______________</w:t>
      </w:r>
    </w:p>
    <w:sectPr w:rsidR="00885060" w:rsidRPr="00641BB0" w:rsidSect="00B87E9E">
      <w:headerReference w:type="default" r:id="rId10"/>
      <w:footerReference w:type="first" r:id="rId1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19F5" w14:textId="77777777" w:rsidR="00166DC3" w:rsidRDefault="00166DC3">
      <w:r>
        <w:separator/>
      </w:r>
    </w:p>
  </w:endnote>
  <w:endnote w:type="continuationSeparator" w:id="0">
    <w:p w14:paraId="18B8984B" w14:textId="77777777" w:rsidR="00166DC3" w:rsidRDefault="0016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7778" w14:textId="16BA0BEA"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203DEE">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D396" w14:textId="77777777" w:rsidR="00166DC3" w:rsidRDefault="00166DC3">
      <w:r>
        <w:t>____________________</w:t>
      </w:r>
    </w:p>
  </w:footnote>
  <w:footnote w:type="continuationSeparator" w:id="0">
    <w:p w14:paraId="2ED5C7D7" w14:textId="77777777" w:rsidR="00166DC3" w:rsidRDefault="0016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65AB" w14:textId="3F0B228A"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2938D7B5" w14:textId="5D4DAAA2" w:rsidR="00641BB0" w:rsidRPr="00641BB0" w:rsidRDefault="00641BB0" w:rsidP="00641BB0">
    <w:pPr>
      <w:spacing w:before="0"/>
      <w:jc w:val="center"/>
      <w:rPr>
        <w:sz w:val="18"/>
      </w:rPr>
    </w:pPr>
    <w:r w:rsidRPr="00D8656F">
      <w:rPr>
        <w:sz w:val="18"/>
      </w:rPr>
      <w:t xml:space="preserve">Circular TSB </w:t>
    </w:r>
    <w:r>
      <w:rPr>
        <w:sz w:val="18"/>
      </w:rPr>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A1D14"/>
    <w:multiLevelType w:val="hybridMultilevel"/>
    <w:tmpl w:val="50E4C5E0"/>
    <w:lvl w:ilvl="0" w:tplc="16F28A8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B75F9"/>
    <w:multiLevelType w:val="hybridMultilevel"/>
    <w:tmpl w:val="65C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2F2181"/>
    <w:multiLevelType w:val="hybridMultilevel"/>
    <w:tmpl w:val="03D2E3A6"/>
    <w:lvl w:ilvl="0" w:tplc="B94AF624">
      <w:numFmt w:val="bullet"/>
      <w:lvlText w:val="-"/>
      <w:lvlJc w:val="left"/>
      <w:pPr>
        <w:ind w:left="644" w:hanging="360"/>
      </w:pPr>
      <w:rPr>
        <w:rFonts w:ascii="Calibri" w:eastAsia="Calibri" w:hAnsi="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70496689">
    <w:abstractNumId w:val="2"/>
  </w:num>
  <w:num w:numId="2" w16cid:durableId="743257299">
    <w:abstractNumId w:val="6"/>
  </w:num>
  <w:num w:numId="3" w16cid:durableId="2130392852">
    <w:abstractNumId w:val="4"/>
  </w:num>
  <w:num w:numId="4" w16cid:durableId="1103766467">
    <w:abstractNumId w:val="3"/>
  </w:num>
  <w:num w:numId="5" w16cid:durableId="977958915">
    <w:abstractNumId w:val="1"/>
  </w:num>
  <w:num w:numId="6" w16cid:durableId="1629357698">
    <w:abstractNumId w:val="5"/>
  </w:num>
  <w:num w:numId="7" w16cid:durableId="131976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C3"/>
    <w:rsid w:val="000007AD"/>
    <w:rsid w:val="00002529"/>
    <w:rsid w:val="00085662"/>
    <w:rsid w:val="000A1C8A"/>
    <w:rsid w:val="000C382F"/>
    <w:rsid w:val="001173CC"/>
    <w:rsid w:val="0014464D"/>
    <w:rsid w:val="00166DC3"/>
    <w:rsid w:val="001A54CC"/>
    <w:rsid w:val="001F28EE"/>
    <w:rsid w:val="001F4187"/>
    <w:rsid w:val="00203DEE"/>
    <w:rsid w:val="00257FB4"/>
    <w:rsid w:val="002E496E"/>
    <w:rsid w:val="00303D62"/>
    <w:rsid w:val="00335367"/>
    <w:rsid w:val="0035645B"/>
    <w:rsid w:val="00370C2D"/>
    <w:rsid w:val="003D1E8D"/>
    <w:rsid w:val="003D673B"/>
    <w:rsid w:val="003F2855"/>
    <w:rsid w:val="00401C20"/>
    <w:rsid w:val="004A7957"/>
    <w:rsid w:val="004C4144"/>
    <w:rsid w:val="004F5F0C"/>
    <w:rsid w:val="0055719E"/>
    <w:rsid w:val="005E0552"/>
    <w:rsid w:val="00641BB0"/>
    <w:rsid w:val="006969B4"/>
    <w:rsid w:val="006E4F7B"/>
    <w:rsid w:val="00781E2A"/>
    <w:rsid w:val="007933A2"/>
    <w:rsid w:val="007B6316"/>
    <w:rsid w:val="00814503"/>
    <w:rsid w:val="00822CBF"/>
    <w:rsid w:val="008258C2"/>
    <w:rsid w:val="008505BD"/>
    <w:rsid w:val="00850C78"/>
    <w:rsid w:val="00876165"/>
    <w:rsid w:val="00884D12"/>
    <w:rsid w:val="00885060"/>
    <w:rsid w:val="008C17AD"/>
    <w:rsid w:val="008D02CD"/>
    <w:rsid w:val="0091370C"/>
    <w:rsid w:val="0095172A"/>
    <w:rsid w:val="009A0BA0"/>
    <w:rsid w:val="009B31EA"/>
    <w:rsid w:val="00A54E47"/>
    <w:rsid w:val="00AA455A"/>
    <w:rsid w:val="00AB6E3A"/>
    <w:rsid w:val="00AE7093"/>
    <w:rsid w:val="00B422BC"/>
    <w:rsid w:val="00B43F77"/>
    <w:rsid w:val="00B55A3E"/>
    <w:rsid w:val="00B87E9E"/>
    <w:rsid w:val="00B95F0A"/>
    <w:rsid w:val="00B96180"/>
    <w:rsid w:val="00C116FE"/>
    <w:rsid w:val="00C17AC0"/>
    <w:rsid w:val="00C34772"/>
    <w:rsid w:val="00C5465A"/>
    <w:rsid w:val="00CD1952"/>
    <w:rsid w:val="00CE441A"/>
    <w:rsid w:val="00D54642"/>
    <w:rsid w:val="00D5736E"/>
    <w:rsid w:val="00D834E7"/>
    <w:rsid w:val="00D92CF5"/>
    <w:rsid w:val="00D9467F"/>
    <w:rsid w:val="00DD251D"/>
    <w:rsid w:val="00DD77C9"/>
    <w:rsid w:val="00DF3538"/>
    <w:rsid w:val="00E839B0"/>
    <w:rsid w:val="00E92C09"/>
    <w:rsid w:val="00F14380"/>
    <w:rsid w:val="00F3068A"/>
    <w:rsid w:val="00F625B7"/>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AA4C7"/>
  <w15:docId w15:val="{006D50B7-1054-4AA6-A987-B5480DFE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88506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103</TotalTime>
  <Pages>4</Pages>
  <Words>1042</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7051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Braud, Olivia</cp:lastModifiedBy>
  <cp:revision>8</cp:revision>
  <cp:lastPrinted>2022-11-25T14:52:00Z</cp:lastPrinted>
  <dcterms:created xsi:type="dcterms:W3CDTF">2022-11-15T08:52:00Z</dcterms:created>
  <dcterms:modified xsi:type="dcterms:W3CDTF">2022-11-25T14:52:00Z</dcterms:modified>
</cp:coreProperties>
</file>