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142"/>
        <w:gridCol w:w="3402"/>
        <w:gridCol w:w="3119"/>
        <w:gridCol w:w="1984"/>
      </w:tblGrid>
      <w:tr w:rsidR="00A27839" w:rsidRPr="008A6F4D" w14:paraId="220B26CF" w14:textId="77777777" w:rsidTr="00FC61DC">
        <w:trPr>
          <w:trHeight w:val="1131"/>
        </w:trPr>
        <w:tc>
          <w:tcPr>
            <w:tcW w:w="1418" w:type="dxa"/>
            <w:gridSpan w:val="2"/>
            <w:shd w:val="clear" w:color="auto" w:fill="auto"/>
            <w:tcMar>
              <w:left w:w="0" w:type="dxa"/>
              <w:right w:w="0" w:type="dxa"/>
            </w:tcMar>
            <w:vAlign w:val="center"/>
          </w:tcPr>
          <w:p w14:paraId="17B415BE" w14:textId="77777777" w:rsidR="00A27839" w:rsidRPr="008A6F4D" w:rsidRDefault="00A27839" w:rsidP="00DC16F2">
            <w:pPr>
              <w:pStyle w:val="Tabletext"/>
              <w:jc w:val="both"/>
              <w:rPr>
                <w:rFonts w:cs="Calibri"/>
                <w:sz w:val="22"/>
                <w:szCs w:val="22"/>
              </w:rPr>
            </w:pPr>
            <w:r w:rsidRPr="008A6F4D">
              <w:rPr>
                <w:rFonts w:cs="Calibri"/>
                <w:noProof/>
                <w:sz w:val="22"/>
                <w:szCs w:val="22"/>
                <w:lang w:val="fr-CH" w:eastAsia="fr-CH"/>
              </w:rPr>
              <w:drawing>
                <wp:inline distT="0" distB="0" distL="0" distR="0" wp14:anchorId="18D50AE8" wp14:editId="40102B8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2B2D058" w14:textId="77777777" w:rsidR="00A27839" w:rsidRPr="00426031" w:rsidRDefault="00A27839" w:rsidP="00DC16F2">
            <w:pPr>
              <w:spacing w:before="0"/>
              <w:jc w:val="both"/>
              <w:rPr>
                <w:rFonts w:cs="Calibri"/>
                <w:b/>
                <w:bCs/>
                <w:smallCaps/>
                <w:sz w:val="36"/>
                <w:szCs w:val="36"/>
              </w:rPr>
            </w:pPr>
            <w:r w:rsidRPr="00426031">
              <w:rPr>
                <w:rFonts w:cs="Calibri"/>
                <w:b/>
                <w:bCs/>
                <w:smallCaps/>
                <w:sz w:val="36"/>
                <w:szCs w:val="36"/>
              </w:rPr>
              <w:t>International telecommunication union</w:t>
            </w:r>
          </w:p>
          <w:p w14:paraId="50EFB442" w14:textId="77777777" w:rsidR="00A27839" w:rsidRPr="008A6F4D" w:rsidRDefault="00A27839" w:rsidP="00DC16F2">
            <w:pPr>
              <w:spacing w:before="0"/>
              <w:jc w:val="both"/>
              <w:rPr>
                <w:rFonts w:cs="Calibri"/>
                <w:color w:val="FFFFFF"/>
                <w:sz w:val="22"/>
                <w:szCs w:val="22"/>
              </w:rPr>
            </w:pPr>
            <w:r w:rsidRPr="00426031">
              <w:rPr>
                <w:rFonts w:cs="Calibri"/>
                <w:b/>
                <w:bCs/>
                <w:iCs/>
                <w:smallCaps/>
                <w:sz w:val="28"/>
                <w:szCs w:val="28"/>
              </w:rPr>
              <w:t>Telecommunication Standardization Bureau</w:t>
            </w:r>
          </w:p>
        </w:tc>
        <w:tc>
          <w:tcPr>
            <w:tcW w:w="1984" w:type="dxa"/>
            <w:shd w:val="clear" w:color="auto" w:fill="auto"/>
            <w:vAlign w:val="center"/>
          </w:tcPr>
          <w:p w14:paraId="16E31E39" w14:textId="77777777" w:rsidR="00A27839" w:rsidRPr="008A6F4D" w:rsidRDefault="00A27839" w:rsidP="00DC16F2">
            <w:pPr>
              <w:spacing w:before="0"/>
              <w:jc w:val="both"/>
              <w:rPr>
                <w:rFonts w:cs="Calibri"/>
                <w:color w:val="FFFFFF"/>
                <w:sz w:val="22"/>
                <w:szCs w:val="22"/>
              </w:rPr>
            </w:pPr>
          </w:p>
        </w:tc>
      </w:tr>
      <w:tr w:rsidR="00A27839" w:rsidRPr="008A6F4D" w14:paraId="2ED59F9E" w14:textId="77777777" w:rsidTr="00FC61DC">
        <w:trPr>
          <w:cantSplit/>
          <w:trHeight w:val="782"/>
        </w:trPr>
        <w:tc>
          <w:tcPr>
            <w:tcW w:w="4820" w:type="dxa"/>
            <w:gridSpan w:val="3"/>
            <w:vAlign w:val="center"/>
          </w:tcPr>
          <w:p w14:paraId="20DC8C39" w14:textId="77777777" w:rsidR="00A27839" w:rsidRPr="008A6F4D" w:rsidRDefault="00A27839" w:rsidP="00DC16F2">
            <w:pPr>
              <w:pStyle w:val="Tabletext"/>
              <w:jc w:val="both"/>
              <w:rPr>
                <w:rFonts w:cs="Calibri"/>
                <w:sz w:val="22"/>
                <w:szCs w:val="22"/>
              </w:rPr>
            </w:pPr>
          </w:p>
        </w:tc>
        <w:tc>
          <w:tcPr>
            <w:tcW w:w="5103" w:type="dxa"/>
            <w:gridSpan w:val="2"/>
            <w:vAlign w:val="center"/>
          </w:tcPr>
          <w:p w14:paraId="47FC22F3" w14:textId="152933B8" w:rsidR="00A27839" w:rsidRPr="008A6F4D" w:rsidRDefault="00A27839" w:rsidP="00DC16F2">
            <w:pPr>
              <w:pStyle w:val="Tabletext"/>
              <w:spacing w:before="0" w:after="120"/>
              <w:ind w:left="-108"/>
              <w:jc w:val="both"/>
              <w:rPr>
                <w:rFonts w:cs="Calibri"/>
                <w:sz w:val="22"/>
                <w:szCs w:val="22"/>
              </w:rPr>
            </w:pPr>
            <w:r w:rsidRPr="008A6F4D">
              <w:rPr>
                <w:rFonts w:cs="Calibri"/>
                <w:sz w:val="22"/>
                <w:szCs w:val="22"/>
              </w:rPr>
              <w:t xml:space="preserve">Geneva, </w:t>
            </w:r>
            <w:r w:rsidR="001F6A30">
              <w:rPr>
                <w:rFonts w:cs="Calibri"/>
                <w:sz w:val="22"/>
                <w:szCs w:val="22"/>
              </w:rPr>
              <w:t>20</w:t>
            </w:r>
            <w:r w:rsidR="00BD0F01">
              <w:rPr>
                <w:rFonts w:cs="Calibri"/>
                <w:sz w:val="22"/>
                <w:szCs w:val="22"/>
              </w:rPr>
              <w:t xml:space="preserve"> December</w:t>
            </w:r>
            <w:r w:rsidRPr="008A6F4D">
              <w:rPr>
                <w:rFonts w:cs="Calibri"/>
                <w:sz w:val="22"/>
                <w:szCs w:val="22"/>
              </w:rPr>
              <w:t xml:space="preserve"> 2022</w:t>
            </w:r>
          </w:p>
        </w:tc>
      </w:tr>
      <w:tr w:rsidR="00A27839" w:rsidRPr="008A6F4D" w14:paraId="7E094D2D" w14:textId="77777777" w:rsidTr="00FC61DC">
        <w:trPr>
          <w:cantSplit/>
          <w:trHeight w:val="720"/>
        </w:trPr>
        <w:tc>
          <w:tcPr>
            <w:tcW w:w="1276" w:type="dxa"/>
          </w:tcPr>
          <w:p w14:paraId="545933FC" w14:textId="77777777" w:rsidR="00A27839" w:rsidRPr="008A6F4D" w:rsidRDefault="00A27839" w:rsidP="00DC16F2">
            <w:pPr>
              <w:pStyle w:val="Tabletext"/>
              <w:jc w:val="both"/>
              <w:rPr>
                <w:rFonts w:cs="Calibri"/>
                <w:sz w:val="22"/>
                <w:szCs w:val="22"/>
              </w:rPr>
            </w:pPr>
            <w:r w:rsidRPr="008A6F4D">
              <w:rPr>
                <w:rFonts w:cs="Calibri"/>
                <w:b/>
                <w:sz w:val="22"/>
                <w:szCs w:val="22"/>
              </w:rPr>
              <w:t>Ref:</w:t>
            </w:r>
          </w:p>
        </w:tc>
        <w:tc>
          <w:tcPr>
            <w:tcW w:w="3544" w:type="dxa"/>
            <w:gridSpan w:val="2"/>
          </w:tcPr>
          <w:p w14:paraId="7D2C1E3D" w14:textId="6D303D27" w:rsidR="00A27839" w:rsidRPr="008A6F4D" w:rsidRDefault="00A27839" w:rsidP="00DC16F2">
            <w:pPr>
              <w:pStyle w:val="Tabletext"/>
              <w:jc w:val="both"/>
              <w:rPr>
                <w:rFonts w:cs="Calibri"/>
                <w:b/>
                <w:bCs/>
                <w:sz w:val="22"/>
                <w:szCs w:val="22"/>
              </w:rPr>
            </w:pPr>
            <w:r w:rsidRPr="00B35316">
              <w:rPr>
                <w:rFonts w:cs="Calibri"/>
                <w:b/>
                <w:bCs/>
                <w:sz w:val="22"/>
                <w:szCs w:val="22"/>
              </w:rPr>
              <w:t xml:space="preserve">TSB Circular </w:t>
            </w:r>
            <w:r w:rsidR="00697100">
              <w:rPr>
                <w:rFonts w:cs="Calibri"/>
                <w:b/>
                <w:bCs/>
                <w:sz w:val="22"/>
                <w:szCs w:val="22"/>
              </w:rPr>
              <w:t>06</w:t>
            </w:r>
            <w:r w:rsidR="00C227FD">
              <w:rPr>
                <w:rFonts w:cs="Calibri"/>
                <w:b/>
                <w:bCs/>
                <w:sz w:val="22"/>
                <w:szCs w:val="22"/>
              </w:rPr>
              <w:t>2</w:t>
            </w:r>
          </w:p>
        </w:tc>
        <w:tc>
          <w:tcPr>
            <w:tcW w:w="5103" w:type="dxa"/>
            <w:gridSpan w:val="2"/>
            <w:vMerge w:val="restart"/>
          </w:tcPr>
          <w:p w14:paraId="2091063E" w14:textId="77777777" w:rsidR="00A27839" w:rsidRPr="008A6F4D" w:rsidRDefault="00A27839" w:rsidP="00DC16F2">
            <w:pPr>
              <w:tabs>
                <w:tab w:val="clear" w:pos="794"/>
                <w:tab w:val="clear" w:pos="1191"/>
                <w:tab w:val="clear" w:pos="1588"/>
                <w:tab w:val="clear" w:pos="1985"/>
                <w:tab w:val="left" w:pos="241"/>
              </w:tabs>
              <w:spacing w:before="40" w:after="40"/>
              <w:ind w:left="283" w:hanging="391"/>
              <w:jc w:val="both"/>
              <w:rPr>
                <w:rFonts w:cs="Calibri"/>
                <w:sz w:val="22"/>
                <w:szCs w:val="22"/>
              </w:rPr>
            </w:pPr>
            <w:r w:rsidRPr="008A6F4D">
              <w:rPr>
                <w:rFonts w:cs="Calibri"/>
                <w:b/>
                <w:sz w:val="22"/>
                <w:szCs w:val="22"/>
              </w:rPr>
              <w:t>To:</w:t>
            </w:r>
          </w:p>
          <w:p w14:paraId="76A94A91" w14:textId="3DD22CFE" w:rsidR="00A27839" w:rsidRPr="008A6F4D" w:rsidRDefault="00A27839" w:rsidP="002527F0">
            <w:pPr>
              <w:tabs>
                <w:tab w:val="clear" w:pos="794"/>
                <w:tab w:val="clear" w:pos="1191"/>
                <w:tab w:val="clear" w:pos="1588"/>
                <w:tab w:val="clear" w:pos="1985"/>
              </w:tabs>
              <w:spacing w:before="40" w:after="40"/>
              <w:ind w:left="283" w:hanging="391"/>
              <w:rPr>
                <w:rFonts w:cs="Calibri"/>
                <w:sz w:val="22"/>
                <w:szCs w:val="22"/>
              </w:rPr>
            </w:pPr>
            <w:r w:rsidRPr="008A6F4D">
              <w:rPr>
                <w:rFonts w:cs="Calibri"/>
                <w:sz w:val="22"/>
                <w:szCs w:val="22"/>
              </w:rPr>
              <w:t>-</w:t>
            </w:r>
            <w:r w:rsidRPr="008A6F4D">
              <w:rPr>
                <w:rFonts w:cs="Calibri"/>
                <w:sz w:val="22"/>
                <w:szCs w:val="22"/>
              </w:rPr>
              <w:tab/>
              <w:t>Administrations of Member States of the Union</w:t>
            </w:r>
          </w:p>
          <w:p w14:paraId="579E98E8" w14:textId="4314EBC5" w:rsidR="00A27839" w:rsidRPr="008A6F4D" w:rsidRDefault="00A27839" w:rsidP="002527F0">
            <w:pPr>
              <w:tabs>
                <w:tab w:val="clear" w:pos="794"/>
                <w:tab w:val="clear" w:pos="1191"/>
                <w:tab w:val="clear" w:pos="1588"/>
                <w:tab w:val="clear" w:pos="1985"/>
              </w:tabs>
              <w:spacing w:before="40" w:after="40"/>
              <w:ind w:left="283" w:hanging="391"/>
              <w:rPr>
                <w:rFonts w:cs="Calibri"/>
                <w:sz w:val="22"/>
                <w:szCs w:val="22"/>
                <w:lang w:val="fr-FR"/>
              </w:rPr>
            </w:pPr>
            <w:r w:rsidRPr="008A6F4D">
              <w:rPr>
                <w:rFonts w:cs="Calibri"/>
                <w:sz w:val="22"/>
                <w:szCs w:val="22"/>
                <w:lang w:val="fr-FR"/>
              </w:rPr>
              <w:t>-</w:t>
            </w:r>
            <w:r w:rsidRPr="008A6F4D">
              <w:rPr>
                <w:rFonts w:cs="Calibri"/>
                <w:sz w:val="22"/>
                <w:szCs w:val="22"/>
                <w:lang w:val="fr-FR"/>
              </w:rPr>
              <w:tab/>
              <w:t xml:space="preserve">ITU-T </w:t>
            </w:r>
            <w:proofErr w:type="spellStart"/>
            <w:r w:rsidRPr="008A6F4D">
              <w:rPr>
                <w:rFonts w:cs="Calibri"/>
                <w:sz w:val="22"/>
                <w:szCs w:val="22"/>
                <w:lang w:val="fr-FR"/>
              </w:rPr>
              <w:t>Sector</w:t>
            </w:r>
            <w:proofErr w:type="spellEnd"/>
            <w:r w:rsidRPr="008A6F4D">
              <w:rPr>
                <w:rFonts w:cs="Calibri"/>
                <w:sz w:val="22"/>
                <w:szCs w:val="22"/>
                <w:lang w:val="fr-FR"/>
              </w:rPr>
              <w:t xml:space="preserve"> Members</w:t>
            </w:r>
          </w:p>
          <w:p w14:paraId="7A5CDC69" w14:textId="14A5BE7C" w:rsidR="00A27839" w:rsidRPr="008A6F4D" w:rsidRDefault="00A27839" w:rsidP="002527F0">
            <w:pPr>
              <w:tabs>
                <w:tab w:val="clear" w:pos="794"/>
                <w:tab w:val="clear" w:pos="1191"/>
                <w:tab w:val="clear" w:pos="1588"/>
                <w:tab w:val="clear" w:pos="1985"/>
              </w:tabs>
              <w:spacing w:before="40" w:after="40"/>
              <w:ind w:left="283" w:hanging="391"/>
              <w:rPr>
                <w:rFonts w:cs="Calibri"/>
                <w:sz w:val="22"/>
                <w:szCs w:val="22"/>
                <w:lang w:val="fr-FR"/>
              </w:rPr>
            </w:pPr>
            <w:r w:rsidRPr="008A6F4D">
              <w:rPr>
                <w:rFonts w:cs="Calibri"/>
                <w:sz w:val="22"/>
                <w:szCs w:val="22"/>
                <w:lang w:val="fr-FR"/>
              </w:rPr>
              <w:t>-</w:t>
            </w:r>
            <w:r w:rsidRPr="008A6F4D">
              <w:rPr>
                <w:rFonts w:cs="Calibri"/>
                <w:sz w:val="22"/>
                <w:szCs w:val="22"/>
                <w:lang w:val="fr-FR"/>
              </w:rPr>
              <w:tab/>
              <w:t>ITU-T Associates</w:t>
            </w:r>
          </w:p>
          <w:p w14:paraId="5780AA12" w14:textId="77777777" w:rsidR="00A27839" w:rsidRPr="008A6F4D" w:rsidRDefault="00A27839" w:rsidP="002527F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8A6F4D">
              <w:rPr>
                <w:rFonts w:cs="Calibri"/>
                <w:sz w:val="22"/>
                <w:szCs w:val="22"/>
              </w:rPr>
              <w:t>-</w:t>
            </w:r>
            <w:r w:rsidRPr="008A6F4D">
              <w:rPr>
                <w:rFonts w:cs="Calibri"/>
                <w:sz w:val="22"/>
                <w:szCs w:val="22"/>
              </w:rPr>
              <w:tab/>
              <w:t>ITU Academia</w:t>
            </w:r>
          </w:p>
        </w:tc>
      </w:tr>
      <w:tr w:rsidR="00A27839" w:rsidRPr="008A6F4D" w14:paraId="4B95B0C4" w14:textId="77777777" w:rsidTr="00FC61DC">
        <w:trPr>
          <w:cantSplit/>
          <w:trHeight w:val="221"/>
        </w:trPr>
        <w:tc>
          <w:tcPr>
            <w:tcW w:w="1276" w:type="dxa"/>
          </w:tcPr>
          <w:p w14:paraId="45E2B2FB" w14:textId="77777777" w:rsidR="00A27839" w:rsidRPr="008A6F4D" w:rsidRDefault="00A27839" w:rsidP="00DC16F2">
            <w:pPr>
              <w:pStyle w:val="Tabletext"/>
              <w:jc w:val="both"/>
              <w:rPr>
                <w:rFonts w:cs="Calibri"/>
                <w:sz w:val="22"/>
                <w:szCs w:val="22"/>
              </w:rPr>
            </w:pPr>
            <w:r w:rsidRPr="008A6F4D">
              <w:rPr>
                <w:rFonts w:cs="Calibri"/>
                <w:b/>
                <w:sz w:val="22"/>
                <w:szCs w:val="22"/>
              </w:rPr>
              <w:t>Tel:</w:t>
            </w:r>
          </w:p>
        </w:tc>
        <w:tc>
          <w:tcPr>
            <w:tcW w:w="3544" w:type="dxa"/>
            <w:gridSpan w:val="2"/>
          </w:tcPr>
          <w:p w14:paraId="24F915EF" w14:textId="77777777" w:rsidR="00A27839" w:rsidRPr="00F346E9" w:rsidRDefault="00A27839" w:rsidP="00DC16F2">
            <w:pPr>
              <w:pStyle w:val="Tabletext"/>
              <w:jc w:val="both"/>
              <w:rPr>
                <w:rFonts w:cs="Calibri"/>
                <w:b/>
                <w:sz w:val="22"/>
                <w:szCs w:val="22"/>
              </w:rPr>
            </w:pPr>
            <w:r w:rsidRPr="00F346E9">
              <w:rPr>
                <w:rFonts w:cs="Calibri"/>
                <w:sz w:val="22"/>
                <w:szCs w:val="22"/>
              </w:rPr>
              <w:t xml:space="preserve">+41 22 730 </w:t>
            </w:r>
            <w:r w:rsidRPr="006764F9">
              <w:rPr>
                <w:rFonts w:cs="Calibri"/>
                <w:sz w:val="22"/>
                <w:szCs w:val="22"/>
              </w:rPr>
              <w:t>5356</w:t>
            </w:r>
          </w:p>
        </w:tc>
        <w:tc>
          <w:tcPr>
            <w:tcW w:w="5103" w:type="dxa"/>
            <w:gridSpan w:val="2"/>
            <w:vMerge/>
          </w:tcPr>
          <w:p w14:paraId="02CB47FF" w14:textId="77777777" w:rsidR="00A27839" w:rsidRPr="008A6F4D" w:rsidRDefault="00A27839" w:rsidP="00DC16F2">
            <w:pPr>
              <w:pStyle w:val="Tabletext"/>
              <w:ind w:left="142" w:hanging="391"/>
              <w:jc w:val="both"/>
              <w:rPr>
                <w:rFonts w:cs="Calibri"/>
                <w:sz w:val="22"/>
                <w:szCs w:val="22"/>
              </w:rPr>
            </w:pPr>
          </w:p>
        </w:tc>
      </w:tr>
      <w:tr w:rsidR="00A27839" w:rsidRPr="008A6F4D" w14:paraId="398C077B" w14:textId="77777777" w:rsidTr="00FC61DC">
        <w:trPr>
          <w:cantSplit/>
          <w:trHeight w:val="282"/>
        </w:trPr>
        <w:tc>
          <w:tcPr>
            <w:tcW w:w="1276" w:type="dxa"/>
          </w:tcPr>
          <w:p w14:paraId="48AB32B6" w14:textId="77777777" w:rsidR="00A27839" w:rsidRPr="008A6F4D" w:rsidRDefault="00A27839" w:rsidP="00DC16F2">
            <w:pPr>
              <w:pStyle w:val="Tabletext"/>
              <w:jc w:val="both"/>
              <w:rPr>
                <w:rFonts w:cs="Calibri"/>
                <w:sz w:val="22"/>
                <w:szCs w:val="22"/>
              </w:rPr>
            </w:pPr>
            <w:r w:rsidRPr="008A6F4D">
              <w:rPr>
                <w:rFonts w:cs="Calibri"/>
                <w:b/>
                <w:sz w:val="22"/>
                <w:szCs w:val="22"/>
              </w:rPr>
              <w:t>Fax:</w:t>
            </w:r>
          </w:p>
        </w:tc>
        <w:tc>
          <w:tcPr>
            <w:tcW w:w="3544" w:type="dxa"/>
            <w:gridSpan w:val="2"/>
          </w:tcPr>
          <w:p w14:paraId="6AC542FC" w14:textId="77777777" w:rsidR="00A27839" w:rsidRPr="00F346E9" w:rsidRDefault="00A27839" w:rsidP="00DC16F2">
            <w:pPr>
              <w:pStyle w:val="Tabletext"/>
              <w:jc w:val="both"/>
              <w:rPr>
                <w:rFonts w:cs="Calibri"/>
                <w:b/>
                <w:sz w:val="22"/>
                <w:szCs w:val="22"/>
              </w:rPr>
            </w:pPr>
            <w:r w:rsidRPr="00F346E9">
              <w:rPr>
                <w:rFonts w:cs="Calibri"/>
                <w:sz w:val="22"/>
                <w:szCs w:val="22"/>
              </w:rPr>
              <w:t>+41 22 730 5853</w:t>
            </w:r>
          </w:p>
        </w:tc>
        <w:tc>
          <w:tcPr>
            <w:tcW w:w="5103" w:type="dxa"/>
            <w:gridSpan w:val="2"/>
            <w:vMerge/>
          </w:tcPr>
          <w:p w14:paraId="2CA7B9B4" w14:textId="77777777" w:rsidR="00A27839" w:rsidRPr="008A6F4D" w:rsidRDefault="00A27839" w:rsidP="00DC16F2">
            <w:pPr>
              <w:pStyle w:val="Tabletext"/>
              <w:ind w:left="142" w:hanging="391"/>
              <w:jc w:val="both"/>
              <w:rPr>
                <w:rFonts w:cs="Calibri"/>
                <w:sz w:val="22"/>
                <w:szCs w:val="22"/>
              </w:rPr>
            </w:pPr>
          </w:p>
        </w:tc>
      </w:tr>
      <w:tr w:rsidR="00A27839" w:rsidRPr="008A6F4D" w14:paraId="53EFBF8D" w14:textId="77777777" w:rsidTr="00FC61DC">
        <w:trPr>
          <w:cantSplit/>
          <w:trHeight w:val="2025"/>
        </w:trPr>
        <w:tc>
          <w:tcPr>
            <w:tcW w:w="1276" w:type="dxa"/>
          </w:tcPr>
          <w:p w14:paraId="4C07D266" w14:textId="77777777" w:rsidR="00A27839" w:rsidRPr="008A6F4D" w:rsidRDefault="00A27839" w:rsidP="00DC16F2">
            <w:pPr>
              <w:pStyle w:val="Tabletext"/>
              <w:jc w:val="both"/>
              <w:rPr>
                <w:rFonts w:cs="Calibri"/>
                <w:sz w:val="22"/>
                <w:szCs w:val="22"/>
              </w:rPr>
            </w:pPr>
            <w:r w:rsidRPr="008A6F4D">
              <w:rPr>
                <w:rFonts w:cs="Calibri"/>
                <w:b/>
                <w:sz w:val="22"/>
                <w:szCs w:val="22"/>
              </w:rPr>
              <w:t>E-mail:</w:t>
            </w:r>
          </w:p>
        </w:tc>
        <w:tc>
          <w:tcPr>
            <w:tcW w:w="3544" w:type="dxa"/>
            <w:gridSpan w:val="2"/>
          </w:tcPr>
          <w:p w14:paraId="631F6F4A" w14:textId="77777777" w:rsidR="00A27839" w:rsidRPr="008A6F4D" w:rsidRDefault="00482B9A" w:rsidP="00DC16F2">
            <w:pPr>
              <w:pStyle w:val="Tabletext"/>
              <w:jc w:val="both"/>
              <w:rPr>
                <w:rFonts w:cs="Calibri"/>
                <w:sz w:val="22"/>
                <w:szCs w:val="22"/>
              </w:rPr>
            </w:pPr>
            <w:hyperlink r:id="rId11" w:history="1">
              <w:r w:rsidR="00A27839" w:rsidRPr="008A6F4D">
                <w:rPr>
                  <w:rStyle w:val="Hyperlink"/>
                  <w:rFonts w:cs="Calibri"/>
                  <w:sz w:val="22"/>
                  <w:szCs w:val="22"/>
                </w:rPr>
                <w:t>tsbevents@itu.int</w:t>
              </w:r>
            </w:hyperlink>
          </w:p>
        </w:tc>
        <w:tc>
          <w:tcPr>
            <w:tcW w:w="5103" w:type="dxa"/>
            <w:gridSpan w:val="2"/>
          </w:tcPr>
          <w:p w14:paraId="47FD5ABA" w14:textId="77777777" w:rsidR="00A27839" w:rsidRPr="008A6F4D" w:rsidRDefault="00A27839" w:rsidP="00DC16F2">
            <w:pPr>
              <w:pStyle w:val="Tabletext"/>
              <w:ind w:left="283" w:hanging="391"/>
              <w:jc w:val="both"/>
              <w:rPr>
                <w:rFonts w:cs="Calibri"/>
                <w:sz w:val="22"/>
                <w:szCs w:val="22"/>
              </w:rPr>
            </w:pPr>
            <w:r w:rsidRPr="008A6F4D">
              <w:rPr>
                <w:rFonts w:cs="Calibri"/>
                <w:b/>
                <w:sz w:val="22"/>
                <w:szCs w:val="22"/>
              </w:rPr>
              <w:t>Copy to:</w:t>
            </w:r>
          </w:p>
          <w:p w14:paraId="5D8E5A2D" w14:textId="35894D53" w:rsidR="00A27839" w:rsidRPr="008A6F4D" w:rsidRDefault="00A27839" w:rsidP="002527F0">
            <w:pPr>
              <w:pStyle w:val="Tabletext"/>
              <w:tabs>
                <w:tab w:val="clear" w:pos="284"/>
              </w:tabs>
              <w:ind w:left="283" w:hanging="391"/>
              <w:rPr>
                <w:rFonts w:cs="Calibri"/>
                <w:sz w:val="22"/>
                <w:szCs w:val="22"/>
              </w:rPr>
            </w:pPr>
            <w:r w:rsidRPr="008A6F4D">
              <w:rPr>
                <w:rFonts w:cs="Calibri"/>
                <w:sz w:val="22"/>
                <w:szCs w:val="22"/>
              </w:rPr>
              <w:t>-</w:t>
            </w:r>
            <w:r w:rsidRPr="008A6F4D">
              <w:rPr>
                <w:rFonts w:cs="Calibri"/>
                <w:sz w:val="22"/>
                <w:szCs w:val="22"/>
              </w:rPr>
              <w:tab/>
              <w:t>The Chairmen and Vice-Chairmen of Study Groups</w:t>
            </w:r>
          </w:p>
          <w:p w14:paraId="39264A90" w14:textId="6F683E6B" w:rsidR="00A27839" w:rsidRPr="008A6F4D" w:rsidRDefault="00A27839" w:rsidP="002527F0">
            <w:pPr>
              <w:pStyle w:val="Tabletext"/>
              <w:tabs>
                <w:tab w:val="clear" w:pos="284"/>
              </w:tabs>
              <w:ind w:left="283" w:hanging="391"/>
              <w:rPr>
                <w:rFonts w:cs="Calibri"/>
                <w:sz w:val="22"/>
                <w:szCs w:val="22"/>
              </w:rPr>
            </w:pPr>
            <w:r w:rsidRPr="008A6F4D">
              <w:rPr>
                <w:rFonts w:cs="Calibri"/>
                <w:sz w:val="22"/>
                <w:szCs w:val="22"/>
              </w:rPr>
              <w:t>-</w:t>
            </w:r>
            <w:r w:rsidRPr="008A6F4D">
              <w:rPr>
                <w:rFonts w:cs="Calibri"/>
                <w:sz w:val="22"/>
                <w:szCs w:val="22"/>
              </w:rPr>
              <w:tab/>
              <w:t>The Director of the Telecommunication Development Bureau</w:t>
            </w:r>
          </w:p>
          <w:p w14:paraId="6ADA4E03" w14:textId="2EFDFFA6" w:rsidR="00A27839" w:rsidRPr="008A6F4D" w:rsidRDefault="00A27839" w:rsidP="002527F0">
            <w:pPr>
              <w:pStyle w:val="Tabletext"/>
              <w:tabs>
                <w:tab w:val="clear" w:pos="284"/>
              </w:tabs>
              <w:ind w:left="283" w:hanging="391"/>
              <w:rPr>
                <w:rFonts w:cs="Calibri"/>
                <w:sz w:val="22"/>
                <w:szCs w:val="22"/>
              </w:rPr>
            </w:pPr>
            <w:r w:rsidRPr="008A6F4D">
              <w:rPr>
                <w:rFonts w:cs="Calibri"/>
                <w:sz w:val="22"/>
                <w:szCs w:val="22"/>
              </w:rPr>
              <w:t>-</w:t>
            </w:r>
            <w:r w:rsidRPr="008A6F4D">
              <w:rPr>
                <w:rFonts w:cs="Calibri"/>
                <w:sz w:val="22"/>
                <w:szCs w:val="22"/>
              </w:rPr>
              <w:tab/>
              <w:t>The Director of the Radiocommunication Bureau</w:t>
            </w:r>
          </w:p>
        </w:tc>
      </w:tr>
      <w:tr w:rsidR="00A27839" w:rsidRPr="008A6F4D" w14:paraId="7D757198" w14:textId="77777777" w:rsidTr="00FC61DC">
        <w:trPr>
          <w:cantSplit/>
          <w:trHeight w:val="728"/>
        </w:trPr>
        <w:tc>
          <w:tcPr>
            <w:tcW w:w="1276" w:type="dxa"/>
          </w:tcPr>
          <w:p w14:paraId="2F9464CE" w14:textId="77777777" w:rsidR="00A27839" w:rsidRPr="008A6F4D" w:rsidRDefault="00A27839" w:rsidP="00DC16F2">
            <w:pPr>
              <w:pStyle w:val="Tabletext"/>
              <w:jc w:val="both"/>
              <w:rPr>
                <w:rFonts w:cs="Calibri"/>
                <w:sz w:val="22"/>
                <w:szCs w:val="22"/>
              </w:rPr>
            </w:pPr>
            <w:r w:rsidRPr="008A6F4D">
              <w:rPr>
                <w:rFonts w:cs="Calibri"/>
                <w:b/>
                <w:sz w:val="22"/>
                <w:szCs w:val="22"/>
              </w:rPr>
              <w:t>Subject:</w:t>
            </w:r>
          </w:p>
        </w:tc>
        <w:tc>
          <w:tcPr>
            <w:tcW w:w="8647" w:type="dxa"/>
            <w:gridSpan w:val="4"/>
          </w:tcPr>
          <w:p w14:paraId="61276167" w14:textId="1D1C39EF" w:rsidR="00226C92" w:rsidRPr="00226C92" w:rsidRDefault="00226C92" w:rsidP="00226C92">
            <w:pPr>
              <w:pStyle w:val="Tabletext"/>
              <w:jc w:val="both"/>
              <w:rPr>
                <w:rFonts w:cs="Calibri"/>
                <w:b/>
                <w:bCs/>
                <w:sz w:val="22"/>
                <w:szCs w:val="22"/>
              </w:rPr>
            </w:pPr>
            <w:r w:rsidRPr="00226C92">
              <w:rPr>
                <w:rFonts w:cs="Calibri"/>
                <w:b/>
                <w:bCs/>
                <w:sz w:val="22"/>
                <w:szCs w:val="22"/>
              </w:rPr>
              <w:t>ITU Workshop on “Accelerating Circular and Sustainable Public Procurement</w:t>
            </w:r>
            <w:r w:rsidR="00081064">
              <w:rPr>
                <w:rFonts w:cs="Calibri"/>
                <w:b/>
                <w:bCs/>
                <w:sz w:val="22"/>
                <w:szCs w:val="22"/>
              </w:rPr>
              <w:t xml:space="preserve"> of ICT</w:t>
            </w:r>
            <w:r w:rsidRPr="00226C92">
              <w:rPr>
                <w:rFonts w:cs="Calibri"/>
                <w:b/>
                <w:bCs/>
                <w:sz w:val="22"/>
                <w:szCs w:val="22"/>
              </w:rPr>
              <w:t>”</w:t>
            </w:r>
          </w:p>
          <w:p w14:paraId="6AEC11D8" w14:textId="3ED0A581" w:rsidR="00A27839" w:rsidRPr="008A6F4D" w:rsidRDefault="00226C92" w:rsidP="00226C92">
            <w:pPr>
              <w:pStyle w:val="Tabletext"/>
              <w:jc w:val="both"/>
              <w:rPr>
                <w:rFonts w:cs="Calibri"/>
                <w:sz w:val="22"/>
                <w:szCs w:val="22"/>
              </w:rPr>
            </w:pPr>
            <w:r w:rsidRPr="00226C92">
              <w:rPr>
                <w:rFonts w:cs="Calibri"/>
                <w:b/>
                <w:bCs/>
                <w:sz w:val="22"/>
                <w:szCs w:val="22"/>
              </w:rPr>
              <w:t>(Fully Virtual, 14 February 2023)</w:t>
            </w:r>
          </w:p>
        </w:tc>
      </w:tr>
    </w:tbl>
    <w:p w14:paraId="1D93C43D" w14:textId="54293960" w:rsidR="00A27839" w:rsidRPr="008A6F4D" w:rsidRDefault="00A27839" w:rsidP="00DC16F2">
      <w:pPr>
        <w:jc w:val="both"/>
        <w:rPr>
          <w:rFonts w:cs="Calibri"/>
          <w:sz w:val="22"/>
          <w:szCs w:val="22"/>
        </w:rPr>
      </w:pPr>
      <w:r w:rsidRPr="008A6F4D">
        <w:rPr>
          <w:rFonts w:cs="Calibri"/>
          <w:sz w:val="22"/>
          <w:szCs w:val="22"/>
        </w:rPr>
        <w:t>Dear Sir</w:t>
      </w:r>
      <w:r w:rsidR="00426031">
        <w:rPr>
          <w:rFonts w:cs="Calibri"/>
          <w:sz w:val="22"/>
          <w:szCs w:val="22"/>
        </w:rPr>
        <w:t>/</w:t>
      </w:r>
      <w:r w:rsidRPr="008A6F4D">
        <w:rPr>
          <w:rFonts w:cs="Calibri"/>
          <w:sz w:val="22"/>
          <w:szCs w:val="22"/>
        </w:rPr>
        <w:t>Madam,</w:t>
      </w:r>
    </w:p>
    <w:p w14:paraId="43D6AD80" w14:textId="6A3F6243" w:rsidR="0081325A" w:rsidRPr="007465DF" w:rsidRDefault="00EB0408" w:rsidP="007465DF">
      <w:pPr>
        <w:rPr>
          <w:rFonts w:cs="Calibri"/>
          <w:b/>
          <w:bCs/>
          <w:sz w:val="22"/>
          <w:szCs w:val="22"/>
          <w:lang w:val="en-US"/>
        </w:rPr>
      </w:pPr>
      <w:r w:rsidRPr="008A6F4D">
        <w:rPr>
          <w:rFonts w:cs="Calibri"/>
          <w:sz w:val="22"/>
          <w:szCs w:val="22"/>
        </w:rPr>
        <w:t>1</w:t>
      </w:r>
      <w:r w:rsidRPr="008A6F4D">
        <w:rPr>
          <w:rFonts w:cs="Calibri"/>
          <w:sz w:val="22"/>
          <w:szCs w:val="22"/>
        </w:rPr>
        <w:tab/>
      </w:r>
      <w:r w:rsidR="00226C92" w:rsidRPr="00A669D1">
        <w:rPr>
          <w:sz w:val="22"/>
          <w:szCs w:val="22"/>
        </w:rPr>
        <w:t>The International Telecommunication Union (ITU)</w:t>
      </w:r>
      <w:r w:rsidR="00226C92">
        <w:rPr>
          <w:sz w:val="22"/>
          <w:szCs w:val="22"/>
        </w:rPr>
        <w:t xml:space="preserve">, </w:t>
      </w:r>
      <w:r w:rsidR="008062F0">
        <w:rPr>
          <w:sz w:val="22"/>
          <w:szCs w:val="22"/>
        </w:rPr>
        <w:t xml:space="preserve">in collaboration with </w:t>
      </w:r>
      <w:proofErr w:type="spellStart"/>
      <w:r w:rsidR="00226C92" w:rsidRPr="00E54B20">
        <w:rPr>
          <w:sz w:val="22"/>
          <w:szCs w:val="22"/>
        </w:rPr>
        <w:t>Gov</w:t>
      </w:r>
      <w:r w:rsidR="00A84949">
        <w:rPr>
          <w:sz w:val="22"/>
          <w:szCs w:val="22"/>
        </w:rPr>
        <w:t>S</w:t>
      </w:r>
      <w:r w:rsidR="00226C92" w:rsidRPr="00E54B20">
        <w:rPr>
          <w:sz w:val="22"/>
          <w:szCs w:val="22"/>
        </w:rPr>
        <w:t>tack</w:t>
      </w:r>
      <w:proofErr w:type="spellEnd"/>
      <w:r w:rsidR="00A84949">
        <w:rPr>
          <w:sz w:val="22"/>
          <w:szCs w:val="22"/>
        </w:rPr>
        <w:t xml:space="preserve"> (an initiative of ITU, Germany, Estonia, </w:t>
      </w:r>
      <w:proofErr w:type="spellStart"/>
      <w:r w:rsidR="00A84949">
        <w:rPr>
          <w:sz w:val="22"/>
          <w:szCs w:val="22"/>
        </w:rPr>
        <w:t>GiZ</w:t>
      </w:r>
      <w:proofErr w:type="spellEnd"/>
      <w:r w:rsidR="00226C92" w:rsidRPr="00E54B20">
        <w:rPr>
          <w:sz w:val="22"/>
          <w:szCs w:val="22"/>
        </w:rPr>
        <w:t>,</w:t>
      </w:r>
      <w:r w:rsidR="00A84949">
        <w:rPr>
          <w:sz w:val="22"/>
          <w:szCs w:val="22"/>
        </w:rPr>
        <w:t xml:space="preserve"> and the Digital Impact Alliance) and with </w:t>
      </w:r>
      <w:r w:rsidR="008062F0">
        <w:rPr>
          <w:sz w:val="22"/>
          <w:szCs w:val="22"/>
        </w:rPr>
        <w:t xml:space="preserve">the </w:t>
      </w:r>
      <w:r w:rsidR="00226C92" w:rsidRPr="00E54B20">
        <w:rPr>
          <w:sz w:val="22"/>
          <w:szCs w:val="22"/>
        </w:rPr>
        <w:t>Circular Electronic</w:t>
      </w:r>
      <w:r w:rsidR="00A84949">
        <w:rPr>
          <w:sz w:val="22"/>
          <w:szCs w:val="22"/>
        </w:rPr>
        <w:t>s</w:t>
      </w:r>
      <w:r w:rsidR="00226C92" w:rsidRPr="00E54B20">
        <w:rPr>
          <w:sz w:val="22"/>
          <w:szCs w:val="22"/>
        </w:rPr>
        <w:t xml:space="preserve"> Partnership</w:t>
      </w:r>
      <w:r w:rsidR="008516FD">
        <w:rPr>
          <w:sz w:val="22"/>
          <w:szCs w:val="22"/>
        </w:rPr>
        <w:t xml:space="preserve"> and</w:t>
      </w:r>
      <w:r w:rsidR="00A84949">
        <w:rPr>
          <w:sz w:val="22"/>
          <w:szCs w:val="22"/>
        </w:rPr>
        <w:t xml:space="preserve"> Global</w:t>
      </w:r>
      <w:r w:rsidR="00A84949" w:rsidRPr="00E54B20">
        <w:rPr>
          <w:sz w:val="22"/>
          <w:szCs w:val="22"/>
        </w:rPr>
        <w:t xml:space="preserve"> </w:t>
      </w:r>
      <w:r w:rsidR="00226C92" w:rsidRPr="00E54B20">
        <w:rPr>
          <w:sz w:val="22"/>
          <w:szCs w:val="22"/>
        </w:rPr>
        <w:t>Electronic</w:t>
      </w:r>
      <w:r w:rsidR="00A84949">
        <w:rPr>
          <w:sz w:val="22"/>
          <w:szCs w:val="22"/>
        </w:rPr>
        <w:t>s</w:t>
      </w:r>
      <w:r w:rsidR="00226C92" w:rsidRPr="00E54B20">
        <w:rPr>
          <w:sz w:val="22"/>
          <w:szCs w:val="22"/>
        </w:rPr>
        <w:t xml:space="preserve"> Council</w:t>
      </w:r>
      <w:r w:rsidR="00226C92">
        <w:rPr>
          <w:sz w:val="22"/>
          <w:szCs w:val="22"/>
        </w:rPr>
        <w:t xml:space="preserve">, </w:t>
      </w:r>
      <w:r w:rsidR="00A76327">
        <w:rPr>
          <w:sz w:val="22"/>
          <w:szCs w:val="22"/>
        </w:rPr>
        <w:t>are</w:t>
      </w:r>
      <w:r w:rsidR="00A84949">
        <w:rPr>
          <w:sz w:val="22"/>
          <w:szCs w:val="22"/>
        </w:rPr>
        <w:t xml:space="preserve"> </w:t>
      </w:r>
      <w:r w:rsidR="00226C92" w:rsidRPr="00A669D1">
        <w:rPr>
          <w:sz w:val="22"/>
          <w:szCs w:val="22"/>
        </w:rPr>
        <w:t xml:space="preserve">organizing a workshop on </w:t>
      </w:r>
      <w:r w:rsidR="00226C92" w:rsidRPr="00A669D1">
        <w:rPr>
          <w:b/>
          <w:bCs/>
          <w:sz w:val="22"/>
          <w:szCs w:val="22"/>
        </w:rPr>
        <w:t>"</w:t>
      </w:r>
      <w:r w:rsidR="00226C92" w:rsidRPr="00E54B20">
        <w:rPr>
          <w:b/>
          <w:bCs/>
          <w:sz w:val="22"/>
          <w:szCs w:val="22"/>
        </w:rPr>
        <w:t>Accelerating Circular and Sustainable Public Procurement</w:t>
      </w:r>
      <w:r w:rsidR="00081064">
        <w:rPr>
          <w:b/>
          <w:bCs/>
          <w:sz w:val="22"/>
          <w:szCs w:val="22"/>
        </w:rPr>
        <w:t xml:space="preserve"> </w:t>
      </w:r>
      <w:r w:rsidR="006764F9">
        <w:rPr>
          <w:b/>
          <w:bCs/>
          <w:sz w:val="22"/>
          <w:szCs w:val="22"/>
        </w:rPr>
        <w:t>of ICT</w:t>
      </w:r>
      <w:r w:rsidR="00226C92" w:rsidRPr="00A669D1">
        <w:rPr>
          <w:b/>
          <w:bCs/>
          <w:sz w:val="22"/>
          <w:szCs w:val="22"/>
        </w:rPr>
        <w:t>"</w:t>
      </w:r>
      <w:r w:rsidR="00226C92" w:rsidRPr="00A669D1">
        <w:rPr>
          <w:sz w:val="22"/>
          <w:szCs w:val="22"/>
        </w:rPr>
        <w:t xml:space="preserve"> </w:t>
      </w:r>
      <w:r w:rsidR="008062F0">
        <w:rPr>
          <w:sz w:val="22"/>
          <w:szCs w:val="22"/>
        </w:rPr>
        <w:t xml:space="preserve">taking place virtually </w:t>
      </w:r>
      <w:r w:rsidR="00226C92">
        <w:rPr>
          <w:sz w:val="22"/>
          <w:szCs w:val="22"/>
        </w:rPr>
        <w:t>on the</w:t>
      </w:r>
      <w:r w:rsidR="00226C92" w:rsidRPr="00A669D1">
        <w:rPr>
          <w:sz w:val="22"/>
          <w:szCs w:val="22"/>
        </w:rPr>
        <w:t xml:space="preserve"> </w:t>
      </w:r>
      <w:r w:rsidR="00226C92" w:rsidRPr="00BD0F01">
        <w:rPr>
          <w:b/>
          <w:bCs/>
          <w:sz w:val="22"/>
          <w:szCs w:val="22"/>
        </w:rPr>
        <w:t>14</w:t>
      </w:r>
      <w:r w:rsidR="008062F0" w:rsidRPr="00BD0F01">
        <w:rPr>
          <w:b/>
          <w:bCs/>
          <w:sz w:val="22"/>
          <w:szCs w:val="22"/>
          <w:vertAlign w:val="superscript"/>
        </w:rPr>
        <w:t xml:space="preserve"> </w:t>
      </w:r>
      <w:r w:rsidR="00226C92" w:rsidRPr="00BD0F01">
        <w:rPr>
          <w:b/>
          <w:bCs/>
          <w:sz w:val="22"/>
          <w:szCs w:val="22"/>
        </w:rPr>
        <w:t>February 2023</w:t>
      </w:r>
      <w:r w:rsidR="008062F0" w:rsidRPr="00BD0F01">
        <w:rPr>
          <w:b/>
          <w:bCs/>
          <w:sz w:val="22"/>
          <w:szCs w:val="22"/>
        </w:rPr>
        <w:t xml:space="preserve"> from 13h00 to 16h00 CE</w:t>
      </w:r>
      <w:r w:rsidR="007465DF" w:rsidRPr="00BD0F01">
        <w:rPr>
          <w:b/>
          <w:bCs/>
          <w:sz w:val="22"/>
          <w:szCs w:val="22"/>
        </w:rPr>
        <w:t>T.</w:t>
      </w:r>
      <w:r w:rsidR="007465DF">
        <w:rPr>
          <w:sz w:val="22"/>
          <w:szCs w:val="22"/>
        </w:rPr>
        <w:t xml:space="preserve"> </w:t>
      </w:r>
    </w:p>
    <w:p w14:paraId="17E67074" w14:textId="2CC83AAE" w:rsidR="007465DF" w:rsidRPr="007465DF" w:rsidRDefault="007465DF" w:rsidP="007465DF">
      <w:pPr>
        <w:jc w:val="both"/>
        <w:rPr>
          <w:rFonts w:cs="Calibri"/>
          <w:sz w:val="22"/>
          <w:szCs w:val="22"/>
          <w:lang w:val="en-US"/>
        </w:rPr>
      </w:pPr>
      <w:r>
        <w:rPr>
          <w:rFonts w:cs="Calibri"/>
          <w:sz w:val="22"/>
          <w:szCs w:val="22"/>
          <w:lang w:val="en-US"/>
        </w:rPr>
        <w:t>2</w:t>
      </w:r>
      <w:r w:rsidR="008516FD">
        <w:rPr>
          <w:rFonts w:cs="Calibri"/>
          <w:sz w:val="22"/>
          <w:szCs w:val="22"/>
          <w:lang w:val="en-US"/>
        </w:rPr>
        <w:tab/>
      </w:r>
      <w:r w:rsidRPr="007465DF">
        <w:rPr>
          <w:rFonts w:cs="Calibri"/>
          <w:sz w:val="22"/>
          <w:szCs w:val="22"/>
          <w:lang w:val="en-US"/>
        </w:rPr>
        <w:t xml:space="preserve">Circular and sustainable procurement is a </w:t>
      </w:r>
      <w:proofErr w:type="gramStart"/>
      <w:r w:rsidRPr="007465DF">
        <w:rPr>
          <w:rFonts w:cs="Calibri"/>
          <w:sz w:val="22"/>
          <w:szCs w:val="22"/>
          <w:lang w:val="en-US"/>
        </w:rPr>
        <w:t>powerful tool organizations</w:t>
      </w:r>
      <w:proofErr w:type="gramEnd"/>
      <w:r w:rsidRPr="007465DF">
        <w:rPr>
          <w:rFonts w:cs="Calibri"/>
          <w:sz w:val="22"/>
          <w:szCs w:val="22"/>
          <w:lang w:val="en-US"/>
        </w:rPr>
        <w:t xml:space="preserve"> can use to shape the transition towards a sustainable society. Governments and other public organizations can play an essential role in shaping local circular and sustainable economies by applying circular economy principles and criteria to purchase products and services. </w:t>
      </w:r>
      <w:r w:rsidR="00F70312" w:rsidRPr="007465DF">
        <w:rPr>
          <w:rFonts w:cs="Calibri"/>
          <w:sz w:val="22"/>
          <w:szCs w:val="22"/>
          <w:lang w:val="en-US"/>
        </w:rPr>
        <w:t xml:space="preserve">Circular and sustainable procurement </w:t>
      </w:r>
      <w:r w:rsidRPr="007465DF">
        <w:rPr>
          <w:rFonts w:cs="Calibri"/>
          <w:sz w:val="22"/>
          <w:szCs w:val="22"/>
          <w:lang w:val="en-US"/>
        </w:rPr>
        <w:t>need</w:t>
      </w:r>
      <w:r w:rsidR="00F70312">
        <w:rPr>
          <w:rFonts w:cs="Calibri"/>
          <w:sz w:val="22"/>
          <w:szCs w:val="22"/>
          <w:lang w:val="en-US"/>
        </w:rPr>
        <w:t>s to be more</w:t>
      </w:r>
      <w:r w:rsidRPr="007465DF">
        <w:rPr>
          <w:rFonts w:cs="Calibri"/>
          <w:sz w:val="22"/>
          <w:szCs w:val="22"/>
          <w:lang w:val="en-US"/>
        </w:rPr>
        <w:t xml:space="preserve"> </w:t>
      </w:r>
      <w:r w:rsidR="00F70312">
        <w:rPr>
          <w:rFonts w:cs="Calibri"/>
          <w:sz w:val="22"/>
          <w:szCs w:val="22"/>
          <w:lang w:val="en-US"/>
        </w:rPr>
        <w:t xml:space="preserve">widely </w:t>
      </w:r>
      <w:r w:rsidR="00C31176">
        <w:rPr>
          <w:rFonts w:cs="Calibri"/>
          <w:sz w:val="22"/>
          <w:szCs w:val="22"/>
          <w:lang w:val="en-US"/>
        </w:rPr>
        <w:t>practi</w:t>
      </w:r>
      <w:r w:rsidR="00A84949">
        <w:rPr>
          <w:rFonts w:cs="Calibri"/>
          <w:sz w:val="22"/>
          <w:szCs w:val="22"/>
          <w:lang w:val="en-US"/>
        </w:rPr>
        <w:t>c</w:t>
      </w:r>
      <w:r w:rsidR="00C31176">
        <w:rPr>
          <w:rFonts w:cs="Calibri"/>
          <w:sz w:val="22"/>
          <w:szCs w:val="22"/>
          <w:lang w:val="en-US"/>
        </w:rPr>
        <w:t>ed</w:t>
      </w:r>
      <w:r w:rsidR="00F70312">
        <w:rPr>
          <w:rFonts w:cs="Calibri"/>
          <w:sz w:val="22"/>
          <w:szCs w:val="22"/>
          <w:lang w:val="en-US"/>
        </w:rPr>
        <w:t xml:space="preserve"> </w:t>
      </w:r>
      <w:proofErr w:type="gramStart"/>
      <w:r w:rsidRPr="007465DF">
        <w:rPr>
          <w:rFonts w:cs="Calibri"/>
          <w:sz w:val="22"/>
          <w:szCs w:val="22"/>
          <w:lang w:val="en-US"/>
        </w:rPr>
        <w:t>to move</w:t>
      </w:r>
      <w:proofErr w:type="gramEnd"/>
      <w:r w:rsidRPr="007465DF">
        <w:rPr>
          <w:rFonts w:cs="Calibri"/>
          <w:sz w:val="22"/>
          <w:szCs w:val="22"/>
          <w:lang w:val="en-US"/>
        </w:rPr>
        <w:t xml:space="preserve"> past concepts and initiate action to make the transition and realize the benefits of the circular economy.</w:t>
      </w:r>
    </w:p>
    <w:p w14:paraId="7E74D306" w14:textId="7AB68A0F" w:rsidR="007465DF" w:rsidRPr="007465DF" w:rsidRDefault="007465DF" w:rsidP="007465DF">
      <w:pPr>
        <w:jc w:val="both"/>
        <w:rPr>
          <w:rFonts w:cs="Calibri"/>
          <w:sz w:val="22"/>
          <w:szCs w:val="22"/>
          <w:lang w:val="en-US"/>
        </w:rPr>
      </w:pPr>
      <w:r>
        <w:rPr>
          <w:rFonts w:cs="Calibri"/>
          <w:sz w:val="22"/>
          <w:szCs w:val="22"/>
          <w:lang w:val="en-US"/>
        </w:rPr>
        <w:t>3</w:t>
      </w:r>
      <w:r w:rsidR="008516FD">
        <w:rPr>
          <w:rFonts w:cs="Calibri"/>
          <w:sz w:val="22"/>
          <w:szCs w:val="22"/>
          <w:lang w:val="en-US"/>
        </w:rPr>
        <w:tab/>
      </w:r>
      <w:r w:rsidRPr="007465DF">
        <w:rPr>
          <w:rFonts w:cs="Calibri"/>
          <w:sz w:val="22"/>
          <w:szCs w:val="22"/>
          <w:lang w:val="en-US"/>
        </w:rPr>
        <w:t xml:space="preserve">To support governments and the public sector, the ITU has developed an international standard on </w:t>
      </w:r>
      <w:r w:rsidR="00E063D6" w:rsidRPr="00E063D6">
        <w:rPr>
          <w:rFonts w:cs="Calibri"/>
          <w:i/>
          <w:iCs/>
          <w:sz w:val="22"/>
          <w:szCs w:val="22"/>
          <w:lang w:val="en-US"/>
        </w:rPr>
        <w:t>P</w:t>
      </w:r>
      <w:r w:rsidR="0029338C" w:rsidRPr="00E063D6">
        <w:rPr>
          <w:rFonts w:cs="Calibri"/>
          <w:i/>
          <w:iCs/>
          <w:sz w:val="22"/>
          <w:szCs w:val="22"/>
          <w:lang w:val="en-US"/>
        </w:rPr>
        <w:t>ublic</w:t>
      </w:r>
      <w:r w:rsidRPr="00E063D6">
        <w:rPr>
          <w:rFonts w:cs="Calibri"/>
          <w:i/>
          <w:iCs/>
          <w:sz w:val="22"/>
          <w:szCs w:val="22"/>
          <w:lang w:val="en-US"/>
        </w:rPr>
        <w:t xml:space="preserve"> </w:t>
      </w:r>
      <w:r w:rsidR="00E063D6" w:rsidRPr="00E063D6">
        <w:rPr>
          <w:rFonts w:cs="Calibri"/>
          <w:i/>
          <w:iCs/>
          <w:sz w:val="22"/>
          <w:szCs w:val="22"/>
          <w:lang w:val="en-US"/>
        </w:rPr>
        <w:t>P</w:t>
      </w:r>
      <w:r w:rsidRPr="00E063D6">
        <w:rPr>
          <w:rFonts w:cs="Calibri"/>
          <w:i/>
          <w:iCs/>
          <w:sz w:val="22"/>
          <w:szCs w:val="22"/>
          <w:lang w:val="en-US"/>
        </w:rPr>
        <w:t xml:space="preserve">rocurement of ICT to mitigate the adverse effects of e-waste </w:t>
      </w:r>
      <w:r w:rsidRPr="007465DF">
        <w:rPr>
          <w:rFonts w:cs="Calibri"/>
          <w:sz w:val="22"/>
          <w:szCs w:val="22"/>
          <w:lang w:val="en-US"/>
        </w:rPr>
        <w:t>and a guideline on</w:t>
      </w:r>
      <w:r w:rsidRPr="00E063D6">
        <w:rPr>
          <w:rFonts w:cs="Calibri"/>
          <w:i/>
          <w:iCs/>
          <w:sz w:val="22"/>
          <w:szCs w:val="22"/>
          <w:lang w:val="en-US"/>
        </w:rPr>
        <w:t xml:space="preserve"> Circular and Sustainable Public Procurement of ICT</w:t>
      </w:r>
      <w:r w:rsidRPr="007465DF">
        <w:rPr>
          <w:rFonts w:cs="Calibri"/>
          <w:sz w:val="22"/>
          <w:szCs w:val="22"/>
          <w:lang w:val="en-US"/>
        </w:rPr>
        <w:t xml:space="preserve">. </w:t>
      </w:r>
    </w:p>
    <w:p w14:paraId="7223072E" w14:textId="61C9B224" w:rsidR="008516FD" w:rsidRDefault="007465DF" w:rsidP="007465DF">
      <w:pPr>
        <w:jc w:val="both"/>
        <w:rPr>
          <w:rFonts w:cs="Calibri"/>
          <w:sz w:val="22"/>
          <w:szCs w:val="22"/>
          <w:lang w:val="en-US"/>
        </w:rPr>
      </w:pPr>
      <w:r>
        <w:rPr>
          <w:rFonts w:cs="Calibri"/>
          <w:sz w:val="22"/>
          <w:szCs w:val="22"/>
          <w:lang w:val="en-US"/>
        </w:rPr>
        <w:t>4</w:t>
      </w:r>
      <w:r w:rsidR="008516FD">
        <w:rPr>
          <w:rFonts w:cs="Calibri"/>
          <w:sz w:val="22"/>
          <w:szCs w:val="22"/>
          <w:lang w:val="en-US"/>
        </w:rPr>
        <w:tab/>
        <w:t xml:space="preserve">The standard has been developed by </w:t>
      </w:r>
      <w:hyperlink r:id="rId12" w:history="1">
        <w:r w:rsidR="008516FD" w:rsidRPr="008516FD">
          <w:rPr>
            <w:rStyle w:val="Hyperlink"/>
            <w:rFonts w:cs="Calibri"/>
            <w:sz w:val="22"/>
            <w:szCs w:val="22"/>
            <w:lang w:val="en-US"/>
          </w:rPr>
          <w:t>ITU-T Study Group 5 “EMF, environment, climate action, sustainable digitalization, and circular economy”</w:t>
        </w:r>
      </w:hyperlink>
      <w:r w:rsidR="008516FD">
        <w:rPr>
          <w:rFonts w:cs="Calibri"/>
          <w:sz w:val="22"/>
          <w:szCs w:val="22"/>
          <w:lang w:val="en-US"/>
        </w:rPr>
        <w:t>.</w:t>
      </w:r>
    </w:p>
    <w:p w14:paraId="62D098EB" w14:textId="3130195F" w:rsidR="007465DF" w:rsidRPr="007465DF" w:rsidRDefault="008516FD" w:rsidP="007465DF">
      <w:pPr>
        <w:jc w:val="both"/>
        <w:rPr>
          <w:rFonts w:cs="Calibri"/>
          <w:sz w:val="22"/>
          <w:szCs w:val="22"/>
          <w:lang w:val="en-US"/>
        </w:rPr>
      </w:pPr>
      <w:r>
        <w:rPr>
          <w:rFonts w:cs="Calibri"/>
          <w:sz w:val="22"/>
          <w:szCs w:val="22"/>
          <w:lang w:val="en-US"/>
        </w:rPr>
        <w:t>5</w:t>
      </w:r>
      <w:r>
        <w:rPr>
          <w:rFonts w:cs="Calibri"/>
          <w:sz w:val="22"/>
          <w:szCs w:val="22"/>
          <w:lang w:val="en-US"/>
        </w:rPr>
        <w:tab/>
      </w:r>
      <w:r w:rsidR="007465DF" w:rsidRPr="007465DF">
        <w:rPr>
          <w:rFonts w:cs="Calibri"/>
          <w:sz w:val="22"/>
          <w:szCs w:val="22"/>
          <w:lang w:val="en-US"/>
        </w:rPr>
        <w:t xml:space="preserve">The guide has been developed as part of the green component of the </w:t>
      </w:r>
      <w:hyperlink r:id="rId13" w:history="1">
        <w:proofErr w:type="spellStart"/>
        <w:r w:rsidR="007465DF" w:rsidRPr="0091067E">
          <w:rPr>
            <w:rStyle w:val="Hyperlink"/>
            <w:rFonts w:cs="Calibri"/>
            <w:sz w:val="22"/>
            <w:szCs w:val="22"/>
            <w:lang w:val="en-US"/>
          </w:rPr>
          <w:t>GovStack</w:t>
        </w:r>
        <w:proofErr w:type="spellEnd"/>
      </w:hyperlink>
      <w:r w:rsidR="007465DF" w:rsidRPr="007465DF">
        <w:rPr>
          <w:rFonts w:cs="Calibri"/>
          <w:sz w:val="22"/>
          <w:szCs w:val="22"/>
          <w:lang w:val="en-US"/>
        </w:rPr>
        <w:t xml:space="preserve"> initiative, which aims to accelerate the digital transformation of government services whilst recognizing the potential environmental impacts of this transformation. The development of the guide has been positioned as a project under the </w:t>
      </w:r>
      <w:hyperlink r:id="rId14" w:history="1">
        <w:r w:rsidR="007465DF" w:rsidRPr="00CC7BFD">
          <w:rPr>
            <w:rStyle w:val="Hyperlink"/>
            <w:rFonts w:cs="Calibri"/>
            <w:sz w:val="22"/>
            <w:szCs w:val="22"/>
            <w:lang w:val="en-US"/>
          </w:rPr>
          <w:t>Circular Electronics Partnership</w:t>
        </w:r>
      </w:hyperlink>
      <w:r w:rsidR="007465DF" w:rsidRPr="007465DF">
        <w:rPr>
          <w:rFonts w:cs="Calibri"/>
          <w:sz w:val="22"/>
          <w:szCs w:val="22"/>
          <w:lang w:val="en-US"/>
        </w:rPr>
        <w:t xml:space="preserve">, with the partner organizations, ITU and the Global Electronics Council, taking the lead in this endeavor. </w:t>
      </w:r>
    </w:p>
    <w:p w14:paraId="32CDEDA8" w14:textId="10C36C71" w:rsidR="00217A39" w:rsidRPr="00217A39" w:rsidRDefault="008516FD" w:rsidP="00217A39">
      <w:pPr>
        <w:rPr>
          <w:rFonts w:eastAsia="Calibri"/>
          <w:sz w:val="22"/>
          <w:szCs w:val="22"/>
          <w:lang w:val="en-US"/>
        </w:rPr>
      </w:pPr>
      <w:r>
        <w:rPr>
          <w:rFonts w:cs="Calibri"/>
          <w:sz w:val="22"/>
          <w:szCs w:val="22"/>
          <w:lang w:val="en-US"/>
        </w:rPr>
        <w:t>6</w:t>
      </w:r>
      <w:r>
        <w:rPr>
          <w:rFonts w:cs="Calibri"/>
          <w:sz w:val="22"/>
          <w:szCs w:val="22"/>
          <w:lang w:val="en-US"/>
        </w:rPr>
        <w:tab/>
      </w:r>
      <w:r w:rsidR="007465DF" w:rsidRPr="007465DF">
        <w:rPr>
          <w:rFonts w:cs="Calibri"/>
          <w:sz w:val="22"/>
          <w:szCs w:val="22"/>
          <w:lang w:val="en-US"/>
        </w:rPr>
        <w:t>Th</w:t>
      </w:r>
      <w:r w:rsidR="007465DF">
        <w:rPr>
          <w:rFonts w:cs="Calibri"/>
          <w:sz w:val="22"/>
          <w:szCs w:val="22"/>
          <w:lang w:val="en-US"/>
        </w:rPr>
        <w:t xml:space="preserve">e </w:t>
      </w:r>
      <w:r w:rsidR="00C31176">
        <w:rPr>
          <w:rFonts w:cs="Calibri"/>
          <w:sz w:val="22"/>
          <w:szCs w:val="22"/>
          <w:lang w:val="en-US"/>
        </w:rPr>
        <w:t>workshop aims</w:t>
      </w:r>
      <w:r w:rsidR="007465DF">
        <w:rPr>
          <w:rFonts w:cs="Calibri"/>
          <w:sz w:val="22"/>
          <w:szCs w:val="22"/>
          <w:lang w:val="en-US"/>
        </w:rPr>
        <w:t xml:space="preserve"> to provide </w:t>
      </w:r>
      <w:r w:rsidR="007465DF" w:rsidRPr="007465DF">
        <w:rPr>
          <w:rFonts w:cs="Calibri"/>
          <w:sz w:val="22"/>
          <w:szCs w:val="22"/>
          <w:lang w:val="en-US"/>
        </w:rPr>
        <w:t>knowledge and insights into circular economy concepts and how to incorporate circular and sustainable requirements into public sector ICT procurement policies and projects</w:t>
      </w:r>
      <w:r w:rsidR="007465DF">
        <w:rPr>
          <w:rFonts w:cs="Calibri"/>
          <w:sz w:val="22"/>
          <w:szCs w:val="22"/>
          <w:lang w:val="en-US"/>
        </w:rPr>
        <w:t xml:space="preserve">. </w:t>
      </w:r>
      <w:r w:rsidR="00217A39" w:rsidRPr="00217A39">
        <w:rPr>
          <w:rFonts w:eastAsia="Calibri"/>
          <w:sz w:val="22"/>
          <w:szCs w:val="22"/>
          <w:lang w:val="en-US"/>
        </w:rPr>
        <w:t xml:space="preserve">At the </w:t>
      </w:r>
      <w:r w:rsidR="00A76327">
        <w:rPr>
          <w:rFonts w:eastAsia="Calibri"/>
          <w:sz w:val="22"/>
          <w:szCs w:val="22"/>
          <w:lang w:val="en-US"/>
        </w:rPr>
        <w:t xml:space="preserve">conclusion of </w:t>
      </w:r>
      <w:r w:rsidR="00217A39" w:rsidRPr="00217A39">
        <w:rPr>
          <w:rFonts w:eastAsia="Calibri"/>
          <w:sz w:val="22"/>
          <w:szCs w:val="22"/>
          <w:lang w:val="en-US"/>
        </w:rPr>
        <w:t>the workshop, participants will be able to:</w:t>
      </w:r>
    </w:p>
    <w:p w14:paraId="21232139" w14:textId="77777777" w:rsidR="00217A39" w:rsidRPr="00217A39" w:rsidRDefault="00217A39" w:rsidP="00217A39">
      <w:pPr>
        <w:numPr>
          <w:ilvl w:val="0"/>
          <w:numId w:val="2"/>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Calibri"/>
          <w:sz w:val="22"/>
          <w:szCs w:val="22"/>
          <w:lang w:val="en-US"/>
        </w:rPr>
      </w:pPr>
      <w:r w:rsidRPr="00217A39">
        <w:rPr>
          <w:rFonts w:eastAsia="Calibri"/>
          <w:sz w:val="22"/>
          <w:szCs w:val="22"/>
          <w:lang w:val="en-US"/>
        </w:rPr>
        <w:t>Understand what the circular economy for ICT looks like and how public procurement can be a powerful transition tool for sustainability in the sector</w:t>
      </w:r>
    </w:p>
    <w:p w14:paraId="5BBE3D5B" w14:textId="2FCCACC7" w:rsidR="00217A39" w:rsidRPr="00217A39" w:rsidRDefault="00217A39" w:rsidP="00217A39">
      <w:pPr>
        <w:numPr>
          <w:ilvl w:val="0"/>
          <w:numId w:val="2"/>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Calibri"/>
          <w:sz w:val="22"/>
          <w:szCs w:val="22"/>
          <w:lang w:val="en-US"/>
        </w:rPr>
      </w:pPr>
      <w:r w:rsidRPr="00217A39">
        <w:rPr>
          <w:rFonts w:eastAsia="Calibri"/>
          <w:sz w:val="22"/>
          <w:szCs w:val="22"/>
          <w:lang w:val="en-US"/>
        </w:rPr>
        <w:t xml:space="preserve">Apply the international standard Recommendation ITU-T </w:t>
      </w:r>
      <w:r w:rsidR="008516FD">
        <w:rPr>
          <w:rFonts w:eastAsia="Calibri"/>
          <w:sz w:val="22"/>
          <w:szCs w:val="22"/>
          <w:lang w:val="en-US"/>
        </w:rPr>
        <w:t xml:space="preserve">on </w:t>
      </w:r>
      <w:r w:rsidRPr="008516FD">
        <w:rPr>
          <w:rFonts w:eastAsia="Calibri"/>
          <w:i/>
          <w:iCs/>
          <w:sz w:val="22"/>
          <w:szCs w:val="22"/>
          <w:lang w:val="en-US"/>
        </w:rPr>
        <w:t xml:space="preserve">Public procurement of ICTs to mitigate the adverse effects of e-waste </w:t>
      </w:r>
      <w:r w:rsidRPr="00217A39">
        <w:rPr>
          <w:rFonts w:eastAsia="Calibri"/>
          <w:sz w:val="22"/>
          <w:szCs w:val="22"/>
          <w:lang w:val="en-US"/>
        </w:rPr>
        <w:t>for policy and processes</w:t>
      </w:r>
    </w:p>
    <w:p w14:paraId="2C44A7FF" w14:textId="57C8A15B" w:rsidR="00217A39" w:rsidRPr="00217A39" w:rsidRDefault="00217A39" w:rsidP="00217A39">
      <w:pPr>
        <w:numPr>
          <w:ilvl w:val="0"/>
          <w:numId w:val="2"/>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Calibri"/>
          <w:sz w:val="22"/>
          <w:szCs w:val="22"/>
          <w:lang w:val="en-US"/>
        </w:rPr>
      </w:pPr>
      <w:r w:rsidRPr="00217A39">
        <w:rPr>
          <w:rFonts w:eastAsia="Calibri"/>
          <w:sz w:val="22"/>
          <w:szCs w:val="22"/>
          <w:lang w:val="en-US"/>
        </w:rPr>
        <w:lastRenderedPageBreak/>
        <w:t xml:space="preserve">Identify practical ways </w:t>
      </w:r>
      <w:r w:rsidR="00C31176">
        <w:rPr>
          <w:rFonts w:eastAsia="Calibri"/>
          <w:sz w:val="22"/>
          <w:szCs w:val="22"/>
          <w:lang w:val="en-US"/>
        </w:rPr>
        <w:t>for</w:t>
      </w:r>
      <w:r w:rsidRPr="00217A39">
        <w:rPr>
          <w:rFonts w:eastAsia="Calibri"/>
          <w:sz w:val="22"/>
          <w:szCs w:val="22"/>
          <w:lang w:val="en-US"/>
        </w:rPr>
        <w:t xml:space="preserve"> circular and sustainable public procurement by using the guideline to develop strategies, create the conditions and embed the right processes</w:t>
      </w:r>
    </w:p>
    <w:p w14:paraId="7FE3BD42" w14:textId="59C39F18" w:rsidR="00EB0408" w:rsidRPr="008A6F4D" w:rsidRDefault="00BD0F01" w:rsidP="008516FD">
      <w:pPr>
        <w:tabs>
          <w:tab w:val="clear" w:pos="1191"/>
        </w:tabs>
        <w:spacing w:before="240"/>
        <w:jc w:val="both"/>
        <w:rPr>
          <w:rFonts w:cs="Calibri"/>
          <w:sz w:val="22"/>
          <w:szCs w:val="22"/>
        </w:rPr>
      </w:pPr>
      <w:r>
        <w:rPr>
          <w:rFonts w:cs="Calibri"/>
          <w:sz w:val="22"/>
          <w:szCs w:val="22"/>
        </w:rPr>
        <w:t>6</w:t>
      </w:r>
      <w:r w:rsidR="00EB0408" w:rsidRPr="00C43EB2">
        <w:rPr>
          <w:rFonts w:cs="Calibri"/>
          <w:sz w:val="22"/>
          <w:szCs w:val="22"/>
        </w:rPr>
        <w:tab/>
        <w:t xml:space="preserve">Participation in the </w:t>
      </w:r>
      <w:r w:rsidR="007465DF">
        <w:rPr>
          <w:rFonts w:cs="Calibri"/>
          <w:sz w:val="22"/>
          <w:szCs w:val="22"/>
        </w:rPr>
        <w:t>workshop</w:t>
      </w:r>
      <w:r w:rsidR="00EB0408" w:rsidRPr="00C43EB2">
        <w:rPr>
          <w:rFonts w:cs="Calibri"/>
          <w:sz w:val="22"/>
          <w:szCs w:val="22"/>
        </w:rPr>
        <w:t xml:space="preserve"> is open to ITU Member States, Sector Members, Associates and Academic Institutions</w:t>
      </w:r>
      <w:r w:rsidR="0071466F">
        <w:rPr>
          <w:rFonts w:cs="Calibri"/>
          <w:sz w:val="22"/>
          <w:szCs w:val="22"/>
        </w:rPr>
        <w:t>,</w:t>
      </w:r>
      <w:r w:rsidR="00EB0408" w:rsidRPr="00C43EB2">
        <w:rPr>
          <w:rFonts w:cs="Calibri"/>
          <w:sz w:val="22"/>
          <w:szCs w:val="22"/>
        </w:rPr>
        <w:t xml:space="preserve"> </w:t>
      </w:r>
      <w:r w:rsidR="00C31176">
        <w:rPr>
          <w:rFonts w:cs="Calibri"/>
          <w:sz w:val="22"/>
          <w:szCs w:val="22"/>
        </w:rPr>
        <w:t>and</w:t>
      </w:r>
      <w:r w:rsidR="00EB0408" w:rsidRPr="00C43EB2">
        <w:rPr>
          <w:rFonts w:cs="Calibri"/>
          <w:sz w:val="22"/>
          <w:szCs w:val="22"/>
        </w:rPr>
        <w:t xml:space="preserve"> any individual from a country that is a member of ITU who wishes to contribute to the work. This includes individuals who are also members of international, </w:t>
      </w:r>
      <w:proofErr w:type="gramStart"/>
      <w:r w:rsidR="00EB0408" w:rsidRPr="00C43EB2">
        <w:rPr>
          <w:rFonts w:cs="Calibri"/>
          <w:sz w:val="22"/>
          <w:szCs w:val="22"/>
        </w:rPr>
        <w:t>regional</w:t>
      </w:r>
      <w:proofErr w:type="gramEnd"/>
      <w:r w:rsidR="00EB0408" w:rsidRPr="00C43EB2">
        <w:rPr>
          <w:rFonts w:cs="Calibri"/>
          <w:sz w:val="22"/>
          <w:szCs w:val="22"/>
        </w:rPr>
        <w:t xml:space="preserve"> and national organizations. Participation in </w:t>
      </w:r>
      <w:r w:rsidR="00A34082">
        <w:rPr>
          <w:rFonts w:cs="Calibri"/>
          <w:sz w:val="22"/>
          <w:szCs w:val="22"/>
        </w:rPr>
        <w:t>the</w:t>
      </w:r>
      <w:r w:rsidR="00A34082" w:rsidRPr="00A34082">
        <w:rPr>
          <w:rFonts w:cs="Calibri"/>
          <w:sz w:val="22"/>
          <w:szCs w:val="22"/>
        </w:rPr>
        <w:t xml:space="preserve"> workshop is free of charge and open to all.</w:t>
      </w:r>
    </w:p>
    <w:p w14:paraId="3590A25C" w14:textId="473808AA" w:rsidR="00A27839" w:rsidRDefault="00BD0F01" w:rsidP="0010364E">
      <w:pPr>
        <w:rPr>
          <w:rFonts w:cs="Calibri"/>
          <w:sz w:val="22"/>
          <w:szCs w:val="22"/>
        </w:rPr>
      </w:pPr>
      <w:r>
        <w:rPr>
          <w:rFonts w:cs="Calibri"/>
          <w:sz w:val="22"/>
          <w:szCs w:val="22"/>
        </w:rPr>
        <w:t>7</w:t>
      </w:r>
      <w:r w:rsidR="00A27839" w:rsidRPr="008A6F4D">
        <w:rPr>
          <w:rFonts w:cs="Calibri"/>
          <w:sz w:val="22"/>
          <w:szCs w:val="22"/>
        </w:rPr>
        <w:tab/>
        <w:t>All relevant information pertaining to the event (</w:t>
      </w:r>
      <w:r w:rsidR="0071466F">
        <w:rPr>
          <w:rFonts w:cs="Calibri"/>
          <w:sz w:val="22"/>
          <w:szCs w:val="22"/>
        </w:rPr>
        <w:t xml:space="preserve">i.e., </w:t>
      </w:r>
      <w:r w:rsidR="00A27839" w:rsidRPr="008A6F4D">
        <w:rPr>
          <w:rFonts w:cs="Calibri"/>
          <w:sz w:val="22"/>
          <w:szCs w:val="22"/>
        </w:rPr>
        <w:t xml:space="preserve">draft programme, </w:t>
      </w:r>
      <w:r w:rsidR="0071466F">
        <w:rPr>
          <w:rFonts w:cs="Calibri"/>
          <w:sz w:val="22"/>
          <w:szCs w:val="22"/>
        </w:rPr>
        <w:t xml:space="preserve">list of </w:t>
      </w:r>
      <w:r w:rsidR="00A27839" w:rsidRPr="008A6F4D">
        <w:rPr>
          <w:rFonts w:cs="Calibri"/>
          <w:sz w:val="22"/>
          <w:szCs w:val="22"/>
        </w:rPr>
        <w:t xml:space="preserve">speakers, registration link, </w:t>
      </w:r>
      <w:r w:rsidR="00A27839" w:rsidRPr="004C3C0B">
        <w:rPr>
          <w:rFonts w:cs="Calibri"/>
          <w:sz w:val="22"/>
          <w:szCs w:val="22"/>
        </w:rPr>
        <w:t>remote connection details</w:t>
      </w:r>
      <w:r w:rsidR="00A27839" w:rsidRPr="008A6F4D">
        <w:rPr>
          <w:rFonts w:cs="Calibri"/>
          <w:sz w:val="22"/>
          <w:szCs w:val="22"/>
        </w:rPr>
        <w:t xml:space="preserve">) will be made available on the </w:t>
      </w:r>
      <w:r w:rsidR="00A27839" w:rsidRPr="00654577">
        <w:rPr>
          <w:rFonts w:cs="Calibri"/>
          <w:sz w:val="22"/>
          <w:szCs w:val="22"/>
        </w:rPr>
        <w:t>event</w:t>
      </w:r>
      <w:r w:rsidR="00654577">
        <w:rPr>
          <w:rFonts w:cs="Calibri"/>
          <w:sz w:val="22"/>
          <w:szCs w:val="22"/>
        </w:rPr>
        <w:t xml:space="preserve"> website here</w:t>
      </w:r>
      <w:r w:rsidR="003132DD">
        <w:rPr>
          <w:rFonts w:cs="Calibri"/>
          <w:sz w:val="22"/>
          <w:szCs w:val="22"/>
        </w:rPr>
        <w:t xml:space="preserve">: </w:t>
      </w:r>
      <w:hyperlink r:id="rId15" w:history="1">
        <w:r w:rsidR="0010364E" w:rsidRPr="00763267">
          <w:rPr>
            <w:rStyle w:val="Hyperlink"/>
            <w:lang w:val="en-US"/>
          </w:rPr>
          <w:t>https://www.itu.int/en/ITU-T/Workshops-and-Seminars/2023/0214/Pages/default.aspx</w:t>
        </w:r>
      </w:hyperlink>
      <w:r w:rsidR="0010364E">
        <w:rPr>
          <w:lang w:val="en-US"/>
        </w:rPr>
        <w:t xml:space="preserve">. </w:t>
      </w:r>
      <w:r w:rsidR="00A27839" w:rsidRPr="008A6F4D">
        <w:rPr>
          <w:rFonts w:cs="Calibri"/>
          <w:sz w:val="22"/>
          <w:szCs w:val="22"/>
        </w:rPr>
        <w:t xml:space="preserve">The website will be updated regularly as new or modified information becomes available. Participants are </w:t>
      </w:r>
      <w:r w:rsidR="00A27839" w:rsidRPr="003A20E9">
        <w:rPr>
          <w:rFonts w:cs="Calibri"/>
          <w:sz w:val="22"/>
          <w:szCs w:val="22"/>
        </w:rPr>
        <w:t>encouraged to check the website periodically for the latest updates.</w:t>
      </w:r>
    </w:p>
    <w:p w14:paraId="4BB134B4" w14:textId="216C36F0" w:rsidR="004C277A" w:rsidRPr="006C65B3" w:rsidRDefault="004C277A" w:rsidP="0010364E">
      <w:pPr>
        <w:rPr>
          <w:rFonts w:cs="Calibri"/>
          <w:sz w:val="22"/>
          <w:szCs w:val="22"/>
        </w:rPr>
      </w:pPr>
      <w:r>
        <w:rPr>
          <w:rFonts w:cs="Calibri"/>
          <w:sz w:val="22"/>
          <w:szCs w:val="22"/>
        </w:rPr>
        <w:t>Yours faithfully,</w:t>
      </w:r>
    </w:p>
    <w:p w14:paraId="08B16750" w14:textId="4F8463B6" w:rsidR="00A27839" w:rsidRPr="008A6F4D" w:rsidRDefault="00482B9A" w:rsidP="00DC16F2">
      <w:pPr>
        <w:spacing w:before="960"/>
        <w:jc w:val="both"/>
        <w:rPr>
          <w:rFonts w:cs="Calibri"/>
          <w:sz w:val="22"/>
          <w:szCs w:val="22"/>
        </w:rPr>
      </w:pPr>
      <w:r>
        <w:rPr>
          <w:rFonts w:cs="Calibri"/>
          <w:noProof/>
          <w:sz w:val="22"/>
          <w:szCs w:val="22"/>
        </w:rPr>
        <w:drawing>
          <wp:anchor distT="0" distB="0" distL="114300" distR="114300" simplePos="0" relativeHeight="251659264" behindDoc="1" locked="0" layoutInCell="1" allowOverlap="1" wp14:anchorId="714C202E" wp14:editId="60ED9CDB">
            <wp:simplePos x="0" y="0"/>
            <wp:positionH relativeFrom="column">
              <wp:posOffset>440</wp:posOffset>
            </wp:positionH>
            <wp:positionV relativeFrom="paragraph">
              <wp:posOffset>181610</wp:posOffset>
            </wp:positionV>
            <wp:extent cx="603250" cy="25482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603250" cy="254821"/>
                    </a:xfrm>
                    <a:prstGeom prst="rect">
                      <a:avLst/>
                    </a:prstGeom>
                  </pic:spPr>
                </pic:pic>
              </a:graphicData>
            </a:graphic>
            <wp14:sizeRelH relativeFrom="margin">
              <wp14:pctWidth>0</wp14:pctWidth>
            </wp14:sizeRelH>
            <wp14:sizeRelV relativeFrom="margin">
              <wp14:pctHeight>0</wp14:pctHeight>
            </wp14:sizeRelV>
          </wp:anchor>
        </w:drawing>
      </w:r>
      <w:r w:rsidR="00A27839" w:rsidRPr="008A6F4D">
        <w:rPr>
          <w:rFonts w:cs="Calibri"/>
          <w:sz w:val="22"/>
          <w:szCs w:val="22"/>
        </w:rPr>
        <w:t>Chaesub Lee</w:t>
      </w:r>
      <w:r w:rsidR="00A27839" w:rsidRPr="008A6F4D">
        <w:rPr>
          <w:rFonts w:cs="Calibri"/>
          <w:sz w:val="22"/>
          <w:szCs w:val="22"/>
        </w:rPr>
        <w:br/>
        <w:t>Director of the Telecommunication</w:t>
      </w:r>
      <w:r w:rsidR="00A27839" w:rsidRPr="008A6F4D">
        <w:rPr>
          <w:rFonts w:cs="Calibri"/>
          <w:sz w:val="22"/>
          <w:szCs w:val="22"/>
        </w:rPr>
        <w:br/>
        <w:t>Standardization Bureau</w:t>
      </w:r>
    </w:p>
    <w:p w14:paraId="04B2F906" w14:textId="72F75177" w:rsidR="006377FC" w:rsidRPr="008A6F4D" w:rsidRDefault="006377FC" w:rsidP="00DC16F2">
      <w:pPr>
        <w:jc w:val="both"/>
        <w:rPr>
          <w:rFonts w:cs="Calibri"/>
          <w:sz w:val="22"/>
          <w:szCs w:val="22"/>
        </w:rPr>
      </w:pPr>
    </w:p>
    <w:sectPr w:rsidR="006377FC" w:rsidRPr="008A6F4D" w:rsidSect="00A27839">
      <w:headerReference w:type="default" r:id="rId17"/>
      <w:footerReference w:type="first" r:id="rId18"/>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35F4" w14:textId="77777777" w:rsidR="002A5214" w:rsidRDefault="002A5214">
      <w:pPr>
        <w:spacing w:before="0"/>
      </w:pPr>
      <w:r>
        <w:separator/>
      </w:r>
    </w:p>
  </w:endnote>
  <w:endnote w:type="continuationSeparator" w:id="0">
    <w:p w14:paraId="47549842" w14:textId="77777777" w:rsidR="002A5214" w:rsidRDefault="002A5214">
      <w:pPr>
        <w:spacing w:before="0"/>
      </w:pPr>
      <w:r>
        <w:continuationSeparator/>
      </w:r>
    </w:p>
  </w:endnote>
  <w:endnote w:type="continuationNotice" w:id="1">
    <w:p w14:paraId="3195D3C9" w14:textId="77777777" w:rsidR="002A5214" w:rsidRDefault="002A52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444" w14:textId="77777777" w:rsidR="00FA46A0" w:rsidRPr="00854BCC" w:rsidRDefault="00CE3398"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A4B4" w14:textId="77777777" w:rsidR="002A5214" w:rsidRDefault="002A5214">
      <w:pPr>
        <w:spacing w:before="0"/>
      </w:pPr>
      <w:r>
        <w:separator/>
      </w:r>
    </w:p>
  </w:footnote>
  <w:footnote w:type="continuationSeparator" w:id="0">
    <w:p w14:paraId="49602BD8" w14:textId="77777777" w:rsidR="002A5214" w:rsidRDefault="002A5214">
      <w:pPr>
        <w:spacing w:before="0"/>
      </w:pPr>
      <w:r>
        <w:continuationSeparator/>
      </w:r>
    </w:p>
  </w:footnote>
  <w:footnote w:type="continuationNotice" w:id="1">
    <w:p w14:paraId="63BD505C" w14:textId="77777777" w:rsidR="002A5214" w:rsidRDefault="002A521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366F" w14:textId="76C2685C" w:rsidR="00FA46A0" w:rsidRDefault="00CE3398">
    <w:pPr>
      <w:pStyle w:val="Header"/>
    </w:pPr>
    <w:r>
      <w:t xml:space="preserve">- </w:t>
    </w:r>
    <w:r>
      <w:fldChar w:fldCharType="begin"/>
    </w:r>
    <w:r>
      <w:instrText xml:space="preserve"> PAGE   \* MERGEFORMAT </w:instrText>
    </w:r>
    <w:r>
      <w:fldChar w:fldCharType="separate"/>
    </w:r>
    <w:r w:rsidR="0071466F">
      <w:rPr>
        <w:noProof/>
      </w:rPr>
      <w:t>2</w:t>
    </w:r>
    <w:r>
      <w:rPr>
        <w:noProof/>
      </w:rPr>
      <w:fldChar w:fldCharType="end"/>
    </w:r>
    <w:r>
      <w:rPr>
        <w:noProof/>
      </w:rPr>
      <w:t xml:space="preserve"> -</w:t>
    </w:r>
    <w:r>
      <w:rPr>
        <w:noProof/>
      </w:rPr>
      <w:br/>
      <w:t xml:space="preserve">TSB Circular </w:t>
    </w:r>
    <w:r w:rsidR="00C227FD">
      <w:rPr>
        <w:noProof/>
      </w:rPr>
      <w:t>062</w:t>
    </w:r>
  </w:p>
  <w:p w14:paraId="6E5310CB" w14:textId="77777777" w:rsidR="00FA46A0" w:rsidRDefault="0048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981E97"/>
    <w:multiLevelType w:val="hybridMultilevel"/>
    <w:tmpl w:val="3DB4AE0A"/>
    <w:lvl w:ilvl="0" w:tplc="97FAE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023969">
    <w:abstractNumId w:val="0"/>
  </w:num>
  <w:num w:numId="2" w16cid:durableId="165159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81064"/>
    <w:rsid w:val="00092867"/>
    <w:rsid w:val="0010364E"/>
    <w:rsid w:val="0011584E"/>
    <w:rsid w:val="00136E73"/>
    <w:rsid w:val="001415AC"/>
    <w:rsid w:val="00183D40"/>
    <w:rsid w:val="001A0FE6"/>
    <w:rsid w:val="001C7F55"/>
    <w:rsid w:val="001F6A30"/>
    <w:rsid w:val="00217A39"/>
    <w:rsid w:val="00226C92"/>
    <w:rsid w:val="002527F0"/>
    <w:rsid w:val="002569A8"/>
    <w:rsid w:val="0029338C"/>
    <w:rsid w:val="002A076D"/>
    <w:rsid w:val="002A5214"/>
    <w:rsid w:val="003132DD"/>
    <w:rsid w:val="003312CC"/>
    <w:rsid w:val="00344E1C"/>
    <w:rsid w:val="003A20E9"/>
    <w:rsid w:val="003D0AC6"/>
    <w:rsid w:val="004003B2"/>
    <w:rsid w:val="004102C5"/>
    <w:rsid w:val="00426031"/>
    <w:rsid w:val="00432197"/>
    <w:rsid w:val="004528F2"/>
    <w:rsid w:val="00482B9A"/>
    <w:rsid w:val="004C277A"/>
    <w:rsid w:val="004C3C0B"/>
    <w:rsid w:val="005850D9"/>
    <w:rsid w:val="00611889"/>
    <w:rsid w:val="006377FC"/>
    <w:rsid w:val="00654577"/>
    <w:rsid w:val="006764F9"/>
    <w:rsid w:val="00697100"/>
    <w:rsid w:val="006C65B3"/>
    <w:rsid w:val="006E4624"/>
    <w:rsid w:val="006F4D41"/>
    <w:rsid w:val="00702A50"/>
    <w:rsid w:val="0071466F"/>
    <w:rsid w:val="007316DD"/>
    <w:rsid w:val="007465DF"/>
    <w:rsid w:val="007F3846"/>
    <w:rsid w:val="008062F0"/>
    <w:rsid w:val="0081325A"/>
    <w:rsid w:val="00822242"/>
    <w:rsid w:val="00826359"/>
    <w:rsid w:val="008516FD"/>
    <w:rsid w:val="008A6F4D"/>
    <w:rsid w:val="008D005D"/>
    <w:rsid w:val="0091067E"/>
    <w:rsid w:val="00916950"/>
    <w:rsid w:val="00982881"/>
    <w:rsid w:val="00991C6A"/>
    <w:rsid w:val="00A2119E"/>
    <w:rsid w:val="00A27839"/>
    <w:rsid w:val="00A34082"/>
    <w:rsid w:val="00A76327"/>
    <w:rsid w:val="00A83E73"/>
    <w:rsid w:val="00A84949"/>
    <w:rsid w:val="00AE5CFF"/>
    <w:rsid w:val="00AF3756"/>
    <w:rsid w:val="00B05439"/>
    <w:rsid w:val="00B23A24"/>
    <w:rsid w:val="00B341C1"/>
    <w:rsid w:val="00B35316"/>
    <w:rsid w:val="00B35435"/>
    <w:rsid w:val="00B44098"/>
    <w:rsid w:val="00B863EE"/>
    <w:rsid w:val="00BD0F01"/>
    <w:rsid w:val="00BE082D"/>
    <w:rsid w:val="00C131EE"/>
    <w:rsid w:val="00C227FD"/>
    <w:rsid w:val="00C31176"/>
    <w:rsid w:val="00C43EB2"/>
    <w:rsid w:val="00CC7BFD"/>
    <w:rsid w:val="00CE3398"/>
    <w:rsid w:val="00D01E3E"/>
    <w:rsid w:val="00D1059B"/>
    <w:rsid w:val="00D9411D"/>
    <w:rsid w:val="00DC16F2"/>
    <w:rsid w:val="00DD386E"/>
    <w:rsid w:val="00E063D6"/>
    <w:rsid w:val="00E82B9C"/>
    <w:rsid w:val="00EB0408"/>
    <w:rsid w:val="00EB2858"/>
    <w:rsid w:val="00EF1E7C"/>
    <w:rsid w:val="00F32C84"/>
    <w:rsid w:val="00F346E9"/>
    <w:rsid w:val="00F70312"/>
    <w:rsid w:val="00FC45A3"/>
    <w:rsid w:val="00FC47AB"/>
    <w:rsid w:val="00FC61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34C8"/>
  <w15:docId w15:val="{7162C953-8693-41BE-8222-99D6B3B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3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A278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styleId="Footer">
    <w:name w:val="footer"/>
    <w:basedOn w:val="Normal"/>
    <w:link w:val="FooterChar"/>
    <w:rsid w:val="00A27839"/>
    <w:pPr>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rsid w:val="00A27839"/>
    <w:rPr>
      <w:color w:val="0000FF"/>
      <w:u w:val="single"/>
    </w:rPr>
  </w:style>
  <w:style w:type="paragraph" w:styleId="ListParagraph">
    <w:name w:val="List Paragraph"/>
    <w:basedOn w:val="Normal"/>
    <w:uiPriority w:val="34"/>
    <w:qFormat/>
    <w:rsid w:val="00EB0408"/>
    <w:pPr>
      <w:ind w:firstLineChars="200" w:firstLine="420"/>
    </w:pPr>
  </w:style>
  <w:style w:type="character" w:customStyle="1" w:styleId="UnresolvedMention1">
    <w:name w:val="Unresolved Mention1"/>
    <w:basedOn w:val="DefaultParagraphFont"/>
    <w:uiPriority w:val="99"/>
    <w:semiHidden/>
    <w:unhideWhenUsed/>
    <w:rsid w:val="00C43EB2"/>
    <w:rPr>
      <w:color w:val="605E5C"/>
      <w:shd w:val="clear" w:color="auto" w:fill="E1DFDD"/>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character" w:styleId="UnresolvedMention">
    <w:name w:val="Unresolved Mention"/>
    <w:basedOn w:val="DefaultParagraphFont"/>
    <w:uiPriority w:val="99"/>
    <w:semiHidden/>
    <w:unhideWhenUsed/>
    <w:rsid w:val="00A3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1015576402">
      <w:bodyDiv w:val="1"/>
      <w:marLeft w:val="0"/>
      <w:marRight w:val="0"/>
      <w:marTop w:val="0"/>
      <w:marBottom w:val="0"/>
      <w:divBdr>
        <w:top w:val="none" w:sz="0" w:space="0" w:color="auto"/>
        <w:left w:val="none" w:sz="0" w:space="0" w:color="auto"/>
        <w:bottom w:val="none" w:sz="0" w:space="0" w:color="auto"/>
        <w:right w:val="none" w:sz="0" w:space="0" w:color="auto"/>
      </w:divBdr>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tack.glob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studygroups/2022-2024/05/Pages/defaul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yperlink" Target="https://www.itu.int/en/ITU-T/Workshops-and-Seminars/2023/0214/Pages/default.aspx"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p2030.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31C7D-8853-AC42-AA09-0D0B74A0F835}">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5" ma:contentTypeDescription="Create a new document." ma:contentTypeScope="" ma:versionID="e736715d20ba77032c81a1c8dc61a466">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5f9d047324df5addc71ae2703891792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SharedWithUsers xmlns="b4ecfbc6-16ba-4348-96d4-7b09f2f75cd9">
      <UserInfo>
        <DisplayName>Ubeda, Reyna</DisplayName>
        <AccountId>19</AccountId>
        <AccountType/>
      </UserInfo>
    </SharedWithUsers>
  </documentManagement>
</p:properties>
</file>

<file path=customXml/itemProps1.xml><?xml version="1.0" encoding="utf-8"?>
<ds:datastoreItem xmlns:ds="http://schemas.openxmlformats.org/officeDocument/2006/customXml" ds:itemID="{99716B6E-DF08-4D46-8E63-BA72D2A08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944BF-4897-4C43-AA15-4829178954DF}">
  <ds:schemaRefs>
    <ds:schemaRef ds:uri="http://schemas.microsoft.com/sharepoint/v3/contenttype/forms"/>
  </ds:schemaRefs>
</ds:datastoreItem>
</file>

<file path=customXml/itemProps3.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Zihao Qi</dc:creator>
  <cp:lastModifiedBy>Braud, Olivia</cp:lastModifiedBy>
  <cp:revision>5</cp:revision>
  <cp:lastPrinted>2022-12-20T09:40:00Z</cp:lastPrinted>
  <dcterms:created xsi:type="dcterms:W3CDTF">2022-12-20T09:13:00Z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0x01010016CECE09D1232E468002275F25FCAE42</vt:lpwstr>
  </property>
  <property fmtid="{D5CDD505-2E9C-101B-9397-08002B2CF9AE}" pid="3" name="MediaServiceImageTags">
    <vt:lpwstr/>
  </property>
  <property fmtid="{D5CDD505-2E9C-101B-9397-08002B2CF9AE}" pid="4" name="grammarly_documentId">
    <vt:lpwstr>documentId_3863</vt:lpwstr>
  </property>
  <property fmtid="{D5CDD505-2E9C-101B-9397-08002B2CF9AE}" pid="5" name="grammarly_documentContext">
    <vt:lpwstr>{"goals":[],"domain":"general","emotions":[],"dialect":"british"}</vt:lpwstr>
  </property>
</Properties>
</file>