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jc w:val="center"/>
        <w:tblLayout w:type="fixed"/>
        <w:tblCellMar>
          <w:left w:w="0" w:type="dxa"/>
          <w:right w:w="0" w:type="dxa"/>
        </w:tblCellMar>
        <w:tblLook w:val="0000" w:firstRow="0" w:lastRow="0" w:firstColumn="0" w:lastColumn="0" w:noHBand="0" w:noVBand="0"/>
      </w:tblPr>
      <w:tblGrid>
        <w:gridCol w:w="8"/>
        <w:gridCol w:w="1410"/>
        <w:gridCol w:w="283"/>
        <w:gridCol w:w="284"/>
        <w:gridCol w:w="2900"/>
        <w:gridCol w:w="2912"/>
        <w:gridCol w:w="2551"/>
      </w:tblGrid>
      <w:tr w:rsidR="00036F4F" w:rsidRPr="00CE1814" w14:paraId="22CC9A17" w14:textId="77777777" w:rsidTr="00AA1566">
        <w:trPr>
          <w:cantSplit/>
          <w:trHeight w:val="1134"/>
          <w:jc w:val="center"/>
        </w:trPr>
        <w:tc>
          <w:tcPr>
            <w:tcW w:w="1418" w:type="dxa"/>
            <w:gridSpan w:val="2"/>
            <w:vAlign w:val="center"/>
          </w:tcPr>
          <w:p w14:paraId="0C1222BB" w14:textId="5FB9BFC0" w:rsidR="00036F4F" w:rsidRPr="00CE1814" w:rsidRDefault="00036F4F" w:rsidP="00D14F31">
            <w:pPr>
              <w:tabs>
                <w:tab w:val="right" w:pos="8732"/>
              </w:tabs>
              <w:spacing w:before="0"/>
              <w:rPr>
                <w:b/>
                <w:bCs/>
                <w:iCs/>
                <w:color w:val="FFFFFF"/>
                <w:sz w:val="30"/>
                <w:szCs w:val="30"/>
              </w:rPr>
            </w:pPr>
            <w:r w:rsidRPr="00CE1814">
              <w:rPr>
                <w:noProof/>
                <w:lang w:val="en-US"/>
              </w:rPr>
              <w:drawing>
                <wp:inline distT="0" distB="0" distL="0" distR="0" wp14:anchorId="49D75FB2" wp14:editId="75510E8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4"/>
            <w:vAlign w:val="center"/>
          </w:tcPr>
          <w:p w14:paraId="2ECB0998" w14:textId="77777777" w:rsidR="00036F4F" w:rsidRPr="00CE1814" w:rsidRDefault="00036F4F" w:rsidP="00D14F31">
            <w:pPr>
              <w:spacing w:before="0"/>
              <w:rPr>
                <w:rFonts w:cs="Times New Roman Bold"/>
                <w:b/>
                <w:bCs/>
                <w:iCs/>
                <w:smallCaps/>
                <w:sz w:val="34"/>
                <w:szCs w:val="34"/>
              </w:rPr>
            </w:pPr>
            <w:r w:rsidRPr="00CE1814">
              <w:rPr>
                <w:rFonts w:cs="Times New Roman Bold"/>
                <w:b/>
                <w:bCs/>
                <w:iCs/>
                <w:smallCaps/>
                <w:sz w:val="34"/>
                <w:szCs w:val="34"/>
              </w:rPr>
              <w:t>Union internationale des télécommunications</w:t>
            </w:r>
          </w:p>
          <w:p w14:paraId="3E3BE5C2" w14:textId="77777777" w:rsidR="00036F4F" w:rsidRPr="00CE1814" w:rsidRDefault="00036F4F" w:rsidP="00D14F31">
            <w:pPr>
              <w:tabs>
                <w:tab w:val="right" w:pos="8732"/>
              </w:tabs>
              <w:spacing w:before="0"/>
              <w:rPr>
                <w:b/>
                <w:bCs/>
                <w:iCs/>
                <w:color w:val="FFFFFF"/>
                <w:sz w:val="30"/>
                <w:szCs w:val="30"/>
              </w:rPr>
            </w:pPr>
            <w:r w:rsidRPr="00CE1814">
              <w:rPr>
                <w:rFonts w:cs="Times New Roman Bold"/>
                <w:b/>
                <w:bCs/>
                <w:iCs/>
                <w:smallCaps/>
                <w:sz w:val="28"/>
                <w:szCs w:val="28"/>
              </w:rPr>
              <w:t>B</w:t>
            </w:r>
            <w:r w:rsidRPr="00CE1814">
              <w:rPr>
                <w:b/>
                <w:bCs/>
                <w:iCs/>
                <w:smallCaps/>
                <w:sz w:val="28"/>
                <w:szCs w:val="28"/>
              </w:rPr>
              <w:t>ureau de la Normalisation des Télécommunications</w:t>
            </w:r>
          </w:p>
        </w:tc>
        <w:tc>
          <w:tcPr>
            <w:tcW w:w="2551" w:type="dxa"/>
            <w:vAlign w:val="center"/>
          </w:tcPr>
          <w:p w14:paraId="1AEA1FA4" w14:textId="77777777" w:rsidR="00036F4F" w:rsidRPr="00CE1814" w:rsidRDefault="00036F4F" w:rsidP="00D14F31">
            <w:pPr>
              <w:spacing w:before="0"/>
              <w:jc w:val="right"/>
              <w:rPr>
                <w:color w:val="FFFFFF"/>
                <w:sz w:val="26"/>
                <w:szCs w:val="26"/>
              </w:rPr>
            </w:pPr>
          </w:p>
        </w:tc>
      </w:tr>
      <w:tr w:rsidR="00036F4F" w:rsidRPr="00AA1566" w14:paraId="7810AF17" w14:textId="77777777" w:rsidTr="00AA1566">
        <w:trPr>
          <w:gridBefore w:val="1"/>
          <w:wBefore w:w="8" w:type="dxa"/>
          <w:cantSplit/>
          <w:trHeight w:val="429"/>
          <w:jc w:val="center"/>
        </w:trPr>
        <w:tc>
          <w:tcPr>
            <w:tcW w:w="1977" w:type="dxa"/>
            <w:gridSpan w:val="3"/>
          </w:tcPr>
          <w:p w14:paraId="1E403116" w14:textId="77777777" w:rsidR="00036F4F" w:rsidRPr="00AA1566" w:rsidRDefault="00036F4F" w:rsidP="00A5280F">
            <w:pPr>
              <w:tabs>
                <w:tab w:val="left" w:pos="4111"/>
              </w:tabs>
              <w:spacing w:before="10"/>
              <w:ind w:left="57"/>
              <w:rPr>
                <w:sz w:val="22"/>
                <w:szCs w:val="22"/>
              </w:rPr>
            </w:pPr>
          </w:p>
        </w:tc>
        <w:tc>
          <w:tcPr>
            <w:tcW w:w="2900" w:type="dxa"/>
          </w:tcPr>
          <w:p w14:paraId="1FA7CC78" w14:textId="77777777" w:rsidR="00036F4F" w:rsidRPr="00AA1566" w:rsidRDefault="00036F4F" w:rsidP="00A5280F">
            <w:pPr>
              <w:tabs>
                <w:tab w:val="left" w:pos="4111"/>
              </w:tabs>
              <w:spacing w:before="10"/>
              <w:ind w:left="57"/>
              <w:rPr>
                <w:b/>
                <w:sz w:val="22"/>
                <w:szCs w:val="22"/>
              </w:rPr>
            </w:pPr>
          </w:p>
        </w:tc>
        <w:tc>
          <w:tcPr>
            <w:tcW w:w="5463" w:type="dxa"/>
            <w:gridSpan w:val="2"/>
          </w:tcPr>
          <w:p w14:paraId="035BE945" w14:textId="20F625BB" w:rsidR="00036F4F" w:rsidRPr="00AA1566" w:rsidRDefault="00036F4F" w:rsidP="00AA1566">
            <w:pPr>
              <w:tabs>
                <w:tab w:val="clear" w:pos="794"/>
                <w:tab w:val="clear" w:pos="1191"/>
                <w:tab w:val="clear" w:pos="1588"/>
                <w:tab w:val="clear" w:pos="1985"/>
                <w:tab w:val="left" w:pos="284"/>
              </w:tabs>
              <w:spacing w:before="0"/>
              <w:ind w:left="284" w:hanging="227"/>
              <w:rPr>
                <w:sz w:val="22"/>
                <w:szCs w:val="22"/>
              </w:rPr>
            </w:pPr>
            <w:r w:rsidRPr="00AA1566">
              <w:rPr>
                <w:sz w:val="22"/>
                <w:szCs w:val="22"/>
              </w:rPr>
              <w:t>Genève, le</w:t>
            </w:r>
            <w:r w:rsidR="00735A0B" w:rsidRPr="00AA1566">
              <w:rPr>
                <w:sz w:val="22"/>
                <w:szCs w:val="22"/>
              </w:rPr>
              <w:t xml:space="preserve"> 28 mars 2023</w:t>
            </w:r>
          </w:p>
        </w:tc>
      </w:tr>
      <w:tr w:rsidR="00735A0B" w:rsidRPr="00AA1566" w14:paraId="1F9C6B46" w14:textId="77777777" w:rsidTr="00AA1566">
        <w:trPr>
          <w:gridBefore w:val="1"/>
          <w:wBefore w:w="8" w:type="dxa"/>
          <w:cantSplit/>
          <w:trHeight w:val="340"/>
          <w:jc w:val="center"/>
        </w:trPr>
        <w:tc>
          <w:tcPr>
            <w:tcW w:w="1693" w:type="dxa"/>
            <w:gridSpan w:val="2"/>
          </w:tcPr>
          <w:p w14:paraId="069684AC" w14:textId="4031E577" w:rsidR="00735A0B" w:rsidRPr="00AA1566" w:rsidRDefault="00735A0B" w:rsidP="00735A0B">
            <w:pPr>
              <w:tabs>
                <w:tab w:val="left" w:pos="4111"/>
              </w:tabs>
              <w:spacing w:before="10"/>
              <w:ind w:left="57"/>
              <w:rPr>
                <w:b/>
                <w:bCs/>
                <w:sz w:val="22"/>
                <w:szCs w:val="22"/>
              </w:rPr>
            </w:pPr>
            <w:proofErr w:type="gramStart"/>
            <w:r w:rsidRPr="00AA1566">
              <w:rPr>
                <w:b/>
                <w:bCs/>
                <w:sz w:val="22"/>
                <w:szCs w:val="22"/>
              </w:rPr>
              <w:t>Réf.:</w:t>
            </w:r>
            <w:proofErr w:type="gramEnd"/>
          </w:p>
        </w:tc>
        <w:tc>
          <w:tcPr>
            <w:tcW w:w="3184" w:type="dxa"/>
            <w:gridSpan w:val="2"/>
          </w:tcPr>
          <w:p w14:paraId="576C6019" w14:textId="55D4750B" w:rsidR="00735A0B" w:rsidRPr="00AA1566" w:rsidRDefault="00735A0B" w:rsidP="00A5280F">
            <w:pPr>
              <w:tabs>
                <w:tab w:val="left" w:pos="4111"/>
              </w:tabs>
              <w:spacing w:before="10"/>
              <w:ind w:left="57"/>
              <w:rPr>
                <w:b/>
                <w:sz w:val="22"/>
                <w:szCs w:val="22"/>
              </w:rPr>
            </w:pPr>
            <w:r w:rsidRPr="00AA1566">
              <w:rPr>
                <w:b/>
                <w:sz w:val="22"/>
                <w:szCs w:val="22"/>
              </w:rPr>
              <w:t>Circulaire TSB 7</w:t>
            </w:r>
            <w:r w:rsidR="006F7E96" w:rsidRPr="00AA1566">
              <w:rPr>
                <w:b/>
                <w:sz w:val="22"/>
                <w:szCs w:val="22"/>
              </w:rPr>
              <w:t>9</w:t>
            </w:r>
          </w:p>
          <w:p w14:paraId="73AF7FF6" w14:textId="7EDE6BCD" w:rsidR="00735A0B" w:rsidRPr="00AA1566" w:rsidRDefault="00735A0B" w:rsidP="006F7E96">
            <w:pPr>
              <w:tabs>
                <w:tab w:val="clear" w:pos="794"/>
                <w:tab w:val="clear" w:pos="1191"/>
                <w:tab w:val="clear" w:pos="1588"/>
                <w:tab w:val="clear" w:pos="1985"/>
                <w:tab w:val="left" w:pos="496"/>
              </w:tabs>
              <w:spacing w:before="0"/>
              <w:ind w:left="496" w:hanging="439"/>
              <w:rPr>
                <w:sz w:val="22"/>
                <w:szCs w:val="22"/>
              </w:rPr>
            </w:pPr>
            <w:r w:rsidRPr="00AA1566">
              <w:rPr>
                <w:sz w:val="22"/>
                <w:szCs w:val="22"/>
              </w:rPr>
              <w:t>CE 17/XY</w:t>
            </w:r>
          </w:p>
        </w:tc>
        <w:tc>
          <w:tcPr>
            <w:tcW w:w="5463" w:type="dxa"/>
            <w:gridSpan w:val="2"/>
            <w:vMerge w:val="restart"/>
          </w:tcPr>
          <w:p w14:paraId="1461E92D" w14:textId="77777777" w:rsidR="00735A0B" w:rsidRDefault="00735A0B" w:rsidP="00735A0B">
            <w:pPr>
              <w:tabs>
                <w:tab w:val="clear" w:pos="794"/>
                <w:tab w:val="clear" w:pos="1191"/>
                <w:tab w:val="clear" w:pos="1588"/>
                <w:tab w:val="clear" w:pos="1985"/>
                <w:tab w:val="left" w:pos="496"/>
              </w:tabs>
              <w:spacing w:before="0"/>
              <w:ind w:left="496" w:hanging="439"/>
              <w:rPr>
                <w:sz w:val="22"/>
                <w:szCs w:val="22"/>
              </w:rPr>
            </w:pPr>
            <w:bookmarkStart w:id="0" w:name="Addressee_F"/>
            <w:bookmarkEnd w:id="0"/>
            <w:r w:rsidRPr="00AA1566">
              <w:rPr>
                <w:sz w:val="22"/>
                <w:szCs w:val="22"/>
              </w:rPr>
              <w:t>–</w:t>
            </w:r>
            <w:r w:rsidRPr="00AA1566">
              <w:rPr>
                <w:sz w:val="22"/>
                <w:szCs w:val="22"/>
              </w:rPr>
              <w:tab/>
              <w:t>Aux Administrations des États Membres de l'Union</w:t>
            </w:r>
          </w:p>
          <w:p w14:paraId="0B3B1301" w14:textId="75B58818" w:rsidR="00AA1566" w:rsidRPr="00AA1566" w:rsidRDefault="00AA1566" w:rsidP="00AA1566">
            <w:pPr>
              <w:tabs>
                <w:tab w:val="left" w:pos="4111"/>
              </w:tabs>
              <w:spacing w:before="0"/>
              <w:ind w:left="496" w:hanging="439"/>
              <w:rPr>
                <w:sz w:val="22"/>
                <w:szCs w:val="22"/>
              </w:rPr>
            </w:pPr>
            <w:proofErr w:type="gramStart"/>
            <w:r w:rsidRPr="00AA1566">
              <w:rPr>
                <w:b/>
                <w:sz w:val="22"/>
                <w:szCs w:val="22"/>
              </w:rPr>
              <w:t>Copie</w:t>
            </w:r>
            <w:r w:rsidRPr="00AA1566">
              <w:rPr>
                <w:b/>
                <w:bCs/>
                <w:sz w:val="22"/>
                <w:szCs w:val="22"/>
              </w:rPr>
              <w:t>:</w:t>
            </w:r>
            <w:proofErr w:type="gramEnd"/>
          </w:p>
          <w:p w14:paraId="7454D4EB" w14:textId="77777777" w:rsidR="00AA1566" w:rsidRPr="00AA1566" w:rsidRDefault="00AA1566" w:rsidP="00AA1566">
            <w:pPr>
              <w:tabs>
                <w:tab w:val="clear" w:pos="794"/>
                <w:tab w:val="left" w:pos="496"/>
                <w:tab w:val="left" w:pos="4111"/>
              </w:tabs>
              <w:spacing w:before="0"/>
              <w:ind w:left="496" w:hanging="439"/>
              <w:rPr>
                <w:sz w:val="22"/>
                <w:szCs w:val="22"/>
              </w:rPr>
            </w:pPr>
            <w:r w:rsidRPr="00AA1566">
              <w:rPr>
                <w:sz w:val="22"/>
                <w:szCs w:val="22"/>
              </w:rPr>
              <w:t>–</w:t>
            </w:r>
            <w:r w:rsidRPr="00AA1566">
              <w:rPr>
                <w:sz w:val="22"/>
                <w:szCs w:val="22"/>
              </w:rPr>
              <w:tab/>
              <w:t>Aux Membres du Secteur UIT-</w:t>
            </w:r>
            <w:proofErr w:type="gramStart"/>
            <w:r w:rsidRPr="00AA1566">
              <w:rPr>
                <w:sz w:val="22"/>
                <w:szCs w:val="22"/>
              </w:rPr>
              <w:t>T;</w:t>
            </w:r>
            <w:proofErr w:type="gramEnd"/>
          </w:p>
          <w:p w14:paraId="7579271D" w14:textId="77777777" w:rsidR="00AA1566" w:rsidRPr="00AA1566" w:rsidRDefault="00AA1566" w:rsidP="00AA1566">
            <w:pPr>
              <w:tabs>
                <w:tab w:val="clear" w:pos="794"/>
                <w:tab w:val="left" w:pos="496"/>
                <w:tab w:val="left" w:pos="4111"/>
              </w:tabs>
              <w:spacing w:before="0"/>
              <w:ind w:left="496" w:hanging="439"/>
              <w:rPr>
                <w:sz w:val="22"/>
                <w:szCs w:val="22"/>
              </w:rPr>
            </w:pPr>
            <w:r w:rsidRPr="00AA1566">
              <w:rPr>
                <w:sz w:val="22"/>
                <w:szCs w:val="22"/>
              </w:rPr>
              <w:t>–</w:t>
            </w:r>
            <w:r w:rsidRPr="00AA1566">
              <w:rPr>
                <w:sz w:val="22"/>
                <w:szCs w:val="22"/>
              </w:rPr>
              <w:tab/>
              <w:t xml:space="preserve">Aux Associés de l'UIT-T participant aux travaux de la Commission d'études </w:t>
            </w:r>
            <w:proofErr w:type="gramStart"/>
            <w:r w:rsidRPr="00AA1566">
              <w:rPr>
                <w:sz w:val="22"/>
                <w:szCs w:val="22"/>
              </w:rPr>
              <w:t>17;</w:t>
            </w:r>
            <w:proofErr w:type="gramEnd"/>
          </w:p>
          <w:p w14:paraId="43DE8B88" w14:textId="77777777" w:rsidR="00AA1566" w:rsidRPr="00AA1566" w:rsidRDefault="00AA1566" w:rsidP="00AA1566">
            <w:pPr>
              <w:tabs>
                <w:tab w:val="clear" w:pos="794"/>
                <w:tab w:val="left" w:pos="496"/>
                <w:tab w:val="left" w:pos="4111"/>
              </w:tabs>
              <w:spacing w:before="0"/>
              <w:ind w:left="496" w:hanging="439"/>
              <w:rPr>
                <w:sz w:val="22"/>
                <w:szCs w:val="22"/>
              </w:rPr>
            </w:pPr>
            <w:r w:rsidRPr="00AA1566">
              <w:rPr>
                <w:sz w:val="22"/>
                <w:szCs w:val="22"/>
              </w:rPr>
              <w:t>–</w:t>
            </w:r>
            <w:r w:rsidRPr="00AA1566">
              <w:rPr>
                <w:sz w:val="22"/>
                <w:szCs w:val="22"/>
              </w:rPr>
              <w:tab/>
              <w:t xml:space="preserve">Aux établissements universitaires participant aux travaux de </w:t>
            </w:r>
            <w:proofErr w:type="gramStart"/>
            <w:r w:rsidRPr="00AA1566">
              <w:rPr>
                <w:sz w:val="22"/>
                <w:szCs w:val="22"/>
              </w:rPr>
              <w:t>l'UIT;</w:t>
            </w:r>
            <w:proofErr w:type="gramEnd"/>
          </w:p>
          <w:p w14:paraId="4B9BADF5" w14:textId="77777777" w:rsidR="00AA1566" w:rsidRPr="00AA1566" w:rsidRDefault="00AA1566" w:rsidP="00AA1566">
            <w:pPr>
              <w:tabs>
                <w:tab w:val="clear" w:pos="794"/>
                <w:tab w:val="left" w:pos="496"/>
                <w:tab w:val="left" w:pos="4111"/>
              </w:tabs>
              <w:spacing w:before="0"/>
              <w:ind w:left="496" w:hanging="439"/>
              <w:rPr>
                <w:sz w:val="22"/>
                <w:szCs w:val="22"/>
              </w:rPr>
            </w:pPr>
            <w:r w:rsidRPr="00AA1566">
              <w:rPr>
                <w:sz w:val="22"/>
                <w:szCs w:val="22"/>
              </w:rPr>
              <w:t>–</w:t>
            </w:r>
            <w:r w:rsidRPr="00AA1566">
              <w:rPr>
                <w:sz w:val="22"/>
                <w:szCs w:val="22"/>
              </w:rPr>
              <w:tab/>
              <w:t xml:space="preserve">Aux Président et Vice-Présidents de la Commission d'études </w:t>
            </w:r>
            <w:proofErr w:type="gramStart"/>
            <w:r w:rsidRPr="00AA1566">
              <w:rPr>
                <w:sz w:val="22"/>
                <w:szCs w:val="22"/>
              </w:rPr>
              <w:t>17;</w:t>
            </w:r>
            <w:proofErr w:type="gramEnd"/>
          </w:p>
          <w:p w14:paraId="2E6D69C5" w14:textId="77777777" w:rsidR="00AA1566" w:rsidRPr="00AA1566" w:rsidRDefault="00AA1566" w:rsidP="00AA1566">
            <w:pPr>
              <w:tabs>
                <w:tab w:val="clear" w:pos="794"/>
                <w:tab w:val="left" w:pos="496"/>
                <w:tab w:val="left" w:pos="4111"/>
              </w:tabs>
              <w:spacing w:before="0"/>
              <w:ind w:left="496" w:hanging="439"/>
              <w:rPr>
                <w:sz w:val="22"/>
                <w:szCs w:val="22"/>
              </w:rPr>
            </w:pPr>
            <w:r w:rsidRPr="00AA1566">
              <w:rPr>
                <w:sz w:val="22"/>
                <w:szCs w:val="22"/>
              </w:rPr>
              <w:t>–</w:t>
            </w:r>
            <w:r w:rsidRPr="00AA1566">
              <w:rPr>
                <w:sz w:val="22"/>
                <w:szCs w:val="22"/>
              </w:rPr>
              <w:tab/>
              <w:t xml:space="preserve">Au Directeur du Bureau de développement des </w:t>
            </w:r>
            <w:proofErr w:type="gramStart"/>
            <w:r w:rsidRPr="00AA1566">
              <w:rPr>
                <w:sz w:val="22"/>
                <w:szCs w:val="22"/>
              </w:rPr>
              <w:t>télécommunications;</w:t>
            </w:r>
            <w:proofErr w:type="gramEnd"/>
          </w:p>
          <w:p w14:paraId="08CF9BE6" w14:textId="367F7545" w:rsidR="00AA1566" w:rsidRPr="00AA1566" w:rsidRDefault="00AA1566" w:rsidP="00AA1566">
            <w:pPr>
              <w:tabs>
                <w:tab w:val="clear" w:pos="794"/>
                <w:tab w:val="clear" w:pos="1191"/>
                <w:tab w:val="clear" w:pos="1588"/>
                <w:tab w:val="clear" w:pos="1985"/>
                <w:tab w:val="left" w:pos="496"/>
              </w:tabs>
              <w:spacing w:before="0"/>
              <w:ind w:left="496" w:hanging="439"/>
              <w:rPr>
                <w:sz w:val="22"/>
                <w:szCs w:val="22"/>
              </w:rPr>
            </w:pPr>
            <w:r w:rsidRPr="00AA1566">
              <w:rPr>
                <w:sz w:val="22"/>
                <w:szCs w:val="22"/>
              </w:rPr>
              <w:t>–</w:t>
            </w:r>
            <w:r w:rsidRPr="00AA1566">
              <w:rPr>
                <w:sz w:val="22"/>
                <w:szCs w:val="22"/>
              </w:rPr>
              <w:tab/>
              <w:t>Au Directeur du Bureau des radiocommunications</w:t>
            </w:r>
          </w:p>
        </w:tc>
      </w:tr>
      <w:tr w:rsidR="00AA1566" w:rsidRPr="00AA1566" w14:paraId="3197AD48" w14:textId="77777777" w:rsidTr="00AA1566">
        <w:trPr>
          <w:gridBefore w:val="1"/>
          <w:wBefore w:w="8" w:type="dxa"/>
          <w:cantSplit/>
          <w:trHeight w:val="340"/>
          <w:jc w:val="center"/>
        </w:trPr>
        <w:tc>
          <w:tcPr>
            <w:tcW w:w="1693" w:type="dxa"/>
            <w:gridSpan w:val="2"/>
          </w:tcPr>
          <w:p w14:paraId="1B47D9E5" w14:textId="18DC88AB" w:rsidR="00AA1566" w:rsidRPr="00AA1566" w:rsidRDefault="00AA1566" w:rsidP="00AA1566">
            <w:pPr>
              <w:tabs>
                <w:tab w:val="left" w:pos="4111"/>
              </w:tabs>
              <w:spacing w:before="10"/>
              <w:ind w:left="57"/>
              <w:rPr>
                <w:b/>
                <w:bCs/>
                <w:sz w:val="22"/>
                <w:szCs w:val="22"/>
              </w:rPr>
            </w:pPr>
            <w:proofErr w:type="gramStart"/>
            <w:r w:rsidRPr="00AA1566">
              <w:rPr>
                <w:b/>
                <w:bCs/>
                <w:sz w:val="22"/>
                <w:szCs w:val="22"/>
              </w:rPr>
              <w:t>Tél.:</w:t>
            </w:r>
            <w:proofErr w:type="gramEnd"/>
          </w:p>
        </w:tc>
        <w:tc>
          <w:tcPr>
            <w:tcW w:w="3184" w:type="dxa"/>
            <w:gridSpan w:val="2"/>
          </w:tcPr>
          <w:p w14:paraId="2E7EE488" w14:textId="7DB91C3D" w:rsidR="00AA1566" w:rsidRPr="00AA1566" w:rsidRDefault="00AA1566" w:rsidP="00AA1566">
            <w:pPr>
              <w:tabs>
                <w:tab w:val="left" w:pos="4111"/>
              </w:tabs>
              <w:spacing w:before="10"/>
              <w:ind w:left="57"/>
              <w:rPr>
                <w:b/>
                <w:sz w:val="22"/>
                <w:szCs w:val="22"/>
              </w:rPr>
            </w:pPr>
            <w:r w:rsidRPr="00AA1566">
              <w:rPr>
                <w:sz w:val="22"/>
                <w:szCs w:val="22"/>
              </w:rPr>
              <w:t>+41 22 730 6206</w:t>
            </w:r>
          </w:p>
        </w:tc>
        <w:tc>
          <w:tcPr>
            <w:tcW w:w="5463" w:type="dxa"/>
            <w:gridSpan w:val="2"/>
            <w:vMerge/>
          </w:tcPr>
          <w:p w14:paraId="5512140A" w14:textId="77777777" w:rsidR="00AA1566" w:rsidRPr="00AA1566" w:rsidRDefault="00AA1566" w:rsidP="00AA1566">
            <w:pPr>
              <w:tabs>
                <w:tab w:val="clear" w:pos="794"/>
                <w:tab w:val="clear" w:pos="1191"/>
                <w:tab w:val="clear" w:pos="1588"/>
                <w:tab w:val="clear" w:pos="1985"/>
                <w:tab w:val="left" w:pos="496"/>
              </w:tabs>
              <w:spacing w:before="0"/>
              <w:ind w:left="496" w:hanging="439"/>
              <w:rPr>
                <w:sz w:val="22"/>
                <w:szCs w:val="22"/>
              </w:rPr>
            </w:pPr>
          </w:p>
        </w:tc>
      </w:tr>
      <w:tr w:rsidR="00AA1566" w:rsidRPr="00AA1566" w14:paraId="4F676B89" w14:textId="77777777" w:rsidTr="00AA1566">
        <w:trPr>
          <w:gridBefore w:val="1"/>
          <w:wBefore w:w="8" w:type="dxa"/>
          <w:cantSplit/>
          <w:jc w:val="center"/>
        </w:trPr>
        <w:tc>
          <w:tcPr>
            <w:tcW w:w="1693" w:type="dxa"/>
            <w:gridSpan w:val="2"/>
          </w:tcPr>
          <w:p w14:paraId="12BE5DCC" w14:textId="40BA7AFE" w:rsidR="00AA1566" w:rsidRDefault="00AA1566" w:rsidP="00AA1566">
            <w:pPr>
              <w:tabs>
                <w:tab w:val="left" w:pos="4111"/>
              </w:tabs>
              <w:spacing w:before="10"/>
              <w:ind w:left="57"/>
              <w:rPr>
                <w:b/>
                <w:bCs/>
                <w:sz w:val="22"/>
                <w:szCs w:val="22"/>
              </w:rPr>
            </w:pPr>
            <w:proofErr w:type="gramStart"/>
            <w:r w:rsidRPr="00AA1566">
              <w:rPr>
                <w:b/>
                <w:bCs/>
                <w:sz w:val="22"/>
                <w:szCs w:val="22"/>
              </w:rPr>
              <w:t>Télécopie:</w:t>
            </w:r>
            <w:proofErr w:type="gramEnd"/>
          </w:p>
          <w:p w14:paraId="4E298240" w14:textId="26869888" w:rsidR="00AA1566" w:rsidRDefault="00AA1566" w:rsidP="00AA1566">
            <w:pPr>
              <w:tabs>
                <w:tab w:val="left" w:pos="4111"/>
              </w:tabs>
              <w:spacing w:before="10"/>
              <w:rPr>
                <w:b/>
                <w:bCs/>
                <w:sz w:val="22"/>
                <w:szCs w:val="22"/>
              </w:rPr>
            </w:pPr>
            <w:r>
              <w:rPr>
                <w:b/>
                <w:bCs/>
                <w:sz w:val="22"/>
                <w:szCs w:val="22"/>
              </w:rPr>
              <w:t xml:space="preserve"> Courriel :</w:t>
            </w:r>
          </w:p>
          <w:p w14:paraId="1AD3AB6D" w14:textId="77777777" w:rsidR="00AA1566" w:rsidRDefault="00AA1566" w:rsidP="00AA1566">
            <w:pPr>
              <w:tabs>
                <w:tab w:val="left" w:pos="4111"/>
              </w:tabs>
              <w:spacing w:before="10"/>
              <w:ind w:left="57"/>
              <w:rPr>
                <w:b/>
                <w:bCs/>
                <w:sz w:val="22"/>
                <w:szCs w:val="22"/>
              </w:rPr>
            </w:pPr>
          </w:p>
          <w:p w14:paraId="4ECC100E" w14:textId="36A95FF9" w:rsidR="00AA1566" w:rsidRPr="00AA1566" w:rsidRDefault="00AA1566" w:rsidP="00AA1566">
            <w:pPr>
              <w:tabs>
                <w:tab w:val="left" w:pos="4111"/>
              </w:tabs>
              <w:spacing w:before="10"/>
              <w:ind w:left="57"/>
              <w:rPr>
                <w:b/>
                <w:bCs/>
                <w:sz w:val="22"/>
                <w:szCs w:val="22"/>
              </w:rPr>
            </w:pPr>
          </w:p>
        </w:tc>
        <w:tc>
          <w:tcPr>
            <w:tcW w:w="3184" w:type="dxa"/>
            <w:gridSpan w:val="2"/>
          </w:tcPr>
          <w:p w14:paraId="08FBC95B" w14:textId="77777777" w:rsidR="00AA1566" w:rsidRDefault="00AA1566" w:rsidP="00AA1566">
            <w:pPr>
              <w:tabs>
                <w:tab w:val="left" w:pos="4111"/>
              </w:tabs>
              <w:spacing w:before="0"/>
              <w:ind w:left="57"/>
              <w:rPr>
                <w:sz w:val="22"/>
                <w:szCs w:val="22"/>
              </w:rPr>
            </w:pPr>
            <w:r w:rsidRPr="00AA1566">
              <w:rPr>
                <w:sz w:val="22"/>
                <w:szCs w:val="22"/>
              </w:rPr>
              <w:t>+41 22 730 5853</w:t>
            </w:r>
          </w:p>
          <w:p w14:paraId="0590C8B3" w14:textId="3E686AF8" w:rsidR="00AA1566" w:rsidRPr="00AA1566" w:rsidRDefault="00AA1566" w:rsidP="00AA1566">
            <w:pPr>
              <w:tabs>
                <w:tab w:val="left" w:pos="4111"/>
              </w:tabs>
              <w:spacing w:before="0"/>
              <w:ind w:left="57"/>
              <w:rPr>
                <w:sz w:val="22"/>
                <w:szCs w:val="22"/>
              </w:rPr>
            </w:pPr>
            <w:hyperlink r:id="rId9" w:history="1">
              <w:r w:rsidRPr="00AA1566">
                <w:rPr>
                  <w:rStyle w:val="Hyperlink"/>
                  <w:sz w:val="22"/>
                  <w:szCs w:val="22"/>
                </w:rPr>
                <w:t>tsbsg17@itu.int</w:t>
              </w:r>
            </w:hyperlink>
          </w:p>
        </w:tc>
        <w:tc>
          <w:tcPr>
            <w:tcW w:w="5463" w:type="dxa"/>
            <w:gridSpan w:val="2"/>
            <w:vMerge/>
          </w:tcPr>
          <w:p w14:paraId="1E7025D0" w14:textId="4360F2CC" w:rsidR="00AA1566" w:rsidRPr="00AA1566" w:rsidRDefault="00AA1566" w:rsidP="00AA1566">
            <w:pPr>
              <w:tabs>
                <w:tab w:val="left" w:pos="496"/>
                <w:tab w:val="left" w:pos="4111"/>
              </w:tabs>
              <w:spacing w:before="0"/>
              <w:ind w:left="496" w:hanging="439"/>
              <w:rPr>
                <w:b/>
                <w:sz w:val="22"/>
                <w:szCs w:val="22"/>
              </w:rPr>
            </w:pPr>
          </w:p>
        </w:tc>
      </w:tr>
      <w:tr w:rsidR="00AA1566" w:rsidRPr="00AA1566" w14:paraId="748B6EDA" w14:textId="77777777" w:rsidTr="00AA1566">
        <w:trPr>
          <w:gridBefore w:val="1"/>
          <w:wBefore w:w="8" w:type="dxa"/>
          <w:cantSplit/>
          <w:trHeight w:val="680"/>
          <w:jc w:val="center"/>
        </w:trPr>
        <w:tc>
          <w:tcPr>
            <w:tcW w:w="1693" w:type="dxa"/>
            <w:gridSpan w:val="2"/>
          </w:tcPr>
          <w:p w14:paraId="4C5E6896" w14:textId="77777777" w:rsidR="00AA1566" w:rsidRPr="00AA1566" w:rsidRDefault="00AA1566" w:rsidP="00AA1566">
            <w:pPr>
              <w:tabs>
                <w:tab w:val="left" w:pos="4111"/>
              </w:tabs>
              <w:spacing w:before="0"/>
              <w:ind w:left="57"/>
              <w:rPr>
                <w:b/>
                <w:bCs/>
                <w:sz w:val="22"/>
                <w:szCs w:val="22"/>
              </w:rPr>
            </w:pPr>
            <w:proofErr w:type="gramStart"/>
            <w:r w:rsidRPr="00AA1566">
              <w:rPr>
                <w:b/>
                <w:bCs/>
                <w:sz w:val="22"/>
                <w:szCs w:val="22"/>
              </w:rPr>
              <w:t>Objet:</w:t>
            </w:r>
            <w:proofErr w:type="gramEnd"/>
          </w:p>
        </w:tc>
        <w:tc>
          <w:tcPr>
            <w:tcW w:w="8647" w:type="dxa"/>
            <w:gridSpan w:val="4"/>
          </w:tcPr>
          <w:p w14:paraId="5CDF1091" w14:textId="67B97170" w:rsidR="00AA1566" w:rsidRPr="00AA1566" w:rsidRDefault="00AA1566" w:rsidP="00AA1566">
            <w:pPr>
              <w:tabs>
                <w:tab w:val="left" w:pos="4111"/>
              </w:tabs>
              <w:spacing w:before="60"/>
              <w:ind w:left="57"/>
              <w:rPr>
                <w:b/>
                <w:bCs/>
                <w:sz w:val="22"/>
                <w:szCs w:val="22"/>
              </w:rPr>
            </w:pPr>
            <w:r w:rsidRPr="00AA1566">
              <w:rPr>
                <w:b/>
                <w:bCs/>
                <w:sz w:val="22"/>
                <w:szCs w:val="22"/>
              </w:rPr>
              <w:t>Consultation des États Membres au sujet des textes déterminés des projets de nouvelle Recommandation UIT-T X.1333 Cor.1, X.1353 (X.ztd-iot), X.1471 (</w:t>
            </w:r>
            <w:proofErr w:type="gramStart"/>
            <w:r w:rsidRPr="00AA1566">
              <w:rPr>
                <w:b/>
                <w:bCs/>
                <w:sz w:val="22"/>
                <w:szCs w:val="22"/>
              </w:rPr>
              <w:t>X.websec</w:t>
            </w:r>
            <w:proofErr w:type="gramEnd"/>
            <w:r w:rsidRPr="00AA1566">
              <w:rPr>
                <w:b/>
                <w:bCs/>
                <w:sz w:val="22"/>
                <w:szCs w:val="22"/>
              </w:rPr>
              <w:noBreakHyphen/>
              <w:t>7), X.1645 (X.nssa-cc), X.1771 (X.rdda) et X.1817 (X.5Gsec-message), qu'il est proposé d'approuver à la réunion de la Commission d'études 17 de l'UIT-T (Goyang, Corée, 28 août – 8 septembre 2023)</w:t>
            </w:r>
          </w:p>
        </w:tc>
      </w:tr>
    </w:tbl>
    <w:p w14:paraId="24289BC8" w14:textId="77777777" w:rsidR="00517A03" w:rsidRPr="00AA1566" w:rsidRDefault="00517A03" w:rsidP="00AA1566">
      <w:pPr>
        <w:rPr>
          <w:sz w:val="22"/>
          <w:szCs w:val="22"/>
        </w:rPr>
      </w:pPr>
      <w:bookmarkStart w:id="1" w:name="StartTyping_F"/>
      <w:bookmarkEnd w:id="1"/>
      <w:r w:rsidRPr="00AA1566">
        <w:rPr>
          <w:sz w:val="22"/>
          <w:szCs w:val="22"/>
        </w:rPr>
        <w:t>Madame, Monsieur,</w:t>
      </w:r>
    </w:p>
    <w:p w14:paraId="1ECCF745" w14:textId="298B1BC5" w:rsidR="006F7E96" w:rsidRPr="00AA1566" w:rsidRDefault="006F7E96" w:rsidP="00AA1566">
      <w:pPr>
        <w:spacing w:before="60"/>
        <w:rPr>
          <w:bCs/>
          <w:sz w:val="22"/>
          <w:szCs w:val="22"/>
        </w:rPr>
      </w:pPr>
      <w:r w:rsidRPr="00AA1566">
        <w:rPr>
          <w:bCs/>
          <w:sz w:val="22"/>
          <w:szCs w:val="22"/>
        </w:rPr>
        <w:t>1</w:t>
      </w:r>
      <w:r w:rsidRPr="00AA1566">
        <w:rPr>
          <w:bCs/>
          <w:sz w:val="22"/>
          <w:szCs w:val="22"/>
        </w:rPr>
        <w:tab/>
        <w:t>La Commission d'études 17 de l'UIT-T (Sécurité) a l'intention d'appliquer la procédure d'approbation traditionnelle énoncée dans la section 9 de la Résolution 1 (Rév. Genève, 2022) de l'AMNT, en vue de l'approbatio</w:t>
      </w:r>
      <w:r w:rsidR="00851B1F" w:rsidRPr="00AA1566">
        <w:rPr>
          <w:bCs/>
          <w:sz w:val="22"/>
          <w:szCs w:val="22"/>
        </w:rPr>
        <w:t>n des projets de Recommandation</w:t>
      </w:r>
      <w:r w:rsidRPr="00AA1566">
        <w:rPr>
          <w:bCs/>
          <w:sz w:val="22"/>
          <w:szCs w:val="22"/>
        </w:rPr>
        <w:t xml:space="preserve"> mentionnés ci-dessus à sa prochaine réunion, qui se tiendra en Corée du 28 août au 8 septembre 2023. L'ordre du jour ainsi que tous les renseignements pertinents concernant la réunion de la Commission d'études 17 de l'UIT-T seront disponibles dans la Lettre collective </w:t>
      </w:r>
      <w:hyperlink r:id="rId10" w:history="1">
        <w:r w:rsidRPr="00AA1566">
          <w:rPr>
            <w:rStyle w:val="Hyperlink"/>
            <w:bCs/>
            <w:sz w:val="22"/>
            <w:szCs w:val="22"/>
          </w:rPr>
          <w:t>5/17</w:t>
        </w:r>
      </w:hyperlink>
      <w:r w:rsidRPr="00AA1566">
        <w:rPr>
          <w:bCs/>
          <w:sz w:val="22"/>
          <w:szCs w:val="22"/>
        </w:rPr>
        <w:t>.</w:t>
      </w:r>
    </w:p>
    <w:p w14:paraId="3836CB16" w14:textId="77777777" w:rsidR="006F7E96" w:rsidRPr="00AA1566" w:rsidRDefault="006F7E96" w:rsidP="00AA1566">
      <w:pPr>
        <w:spacing w:before="60"/>
        <w:rPr>
          <w:bCs/>
          <w:sz w:val="22"/>
          <w:szCs w:val="22"/>
        </w:rPr>
      </w:pPr>
      <w:r w:rsidRPr="00AA1566">
        <w:rPr>
          <w:bCs/>
          <w:sz w:val="22"/>
          <w:szCs w:val="22"/>
        </w:rPr>
        <w:t>2</w:t>
      </w:r>
      <w:r w:rsidRPr="00AA1566">
        <w:rPr>
          <w:bCs/>
          <w:sz w:val="22"/>
          <w:szCs w:val="22"/>
        </w:rPr>
        <w:tab/>
        <w:t>Vous trouverez dans l'</w:t>
      </w:r>
      <w:r w:rsidRPr="00AA1566">
        <w:rPr>
          <w:b/>
          <w:bCs/>
          <w:sz w:val="22"/>
          <w:szCs w:val="22"/>
        </w:rPr>
        <w:t>Annexe 1</w:t>
      </w:r>
      <w:r w:rsidRPr="00AA1566">
        <w:rPr>
          <w:bCs/>
          <w:sz w:val="22"/>
          <w:szCs w:val="22"/>
        </w:rPr>
        <w:t xml:space="preserve"> le titre, le résumé et la localisation des projets de Recommandation UIT</w:t>
      </w:r>
      <w:r w:rsidRPr="00AA1566">
        <w:rPr>
          <w:bCs/>
          <w:sz w:val="22"/>
          <w:szCs w:val="22"/>
        </w:rPr>
        <w:noBreakHyphen/>
        <w:t>T qu'il est proposé d'approuver.</w:t>
      </w:r>
    </w:p>
    <w:p w14:paraId="2919ED99" w14:textId="74F26128" w:rsidR="006F7E96" w:rsidRPr="00AA1566" w:rsidRDefault="006F7E96" w:rsidP="00AA1566">
      <w:pPr>
        <w:spacing w:before="60"/>
        <w:rPr>
          <w:bCs/>
          <w:sz w:val="22"/>
          <w:szCs w:val="22"/>
        </w:rPr>
      </w:pPr>
      <w:r w:rsidRPr="00AA1566">
        <w:rPr>
          <w:bCs/>
          <w:sz w:val="22"/>
          <w:szCs w:val="22"/>
        </w:rPr>
        <w:t>NOTE 1 DU TSB – À l'exception du projet de nouvelle Recom</w:t>
      </w:r>
      <w:r w:rsidR="00851B1F" w:rsidRPr="00AA1566">
        <w:rPr>
          <w:bCs/>
          <w:sz w:val="22"/>
          <w:szCs w:val="22"/>
        </w:rPr>
        <w:t>mandation UIT-T X.1817 (X.5Gsec</w:t>
      </w:r>
      <w:r w:rsidR="00851B1F" w:rsidRPr="00AA1566">
        <w:rPr>
          <w:bCs/>
          <w:sz w:val="22"/>
          <w:szCs w:val="22"/>
        </w:rPr>
        <w:noBreakHyphen/>
      </w:r>
      <w:r w:rsidRPr="00AA1566">
        <w:rPr>
          <w:bCs/>
          <w:sz w:val="22"/>
          <w:szCs w:val="22"/>
        </w:rPr>
        <w:t>message), aucune justification UIT-T A.5 n'a été soumise pour les autres textes déterminés.</w:t>
      </w:r>
    </w:p>
    <w:p w14:paraId="62BCE1EB" w14:textId="3C7AB516" w:rsidR="006F7E96" w:rsidRPr="00AA1566" w:rsidRDefault="006F7E96" w:rsidP="00AA1566">
      <w:pPr>
        <w:spacing w:before="60"/>
        <w:rPr>
          <w:bCs/>
          <w:sz w:val="22"/>
          <w:szCs w:val="22"/>
        </w:rPr>
      </w:pPr>
      <w:r w:rsidRPr="00AA1566">
        <w:rPr>
          <w:bCs/>
          <w:sz w:val="22"/>
          <w:szCs w:val="22"/>
        </w:rPr>
        <w:t xml:space="preserve">NOTE 2 DU TSB – À la date de la présente Circulaire, le TSB n'avait reçu aucune déclaration concernant les droits de propriété intellectuelle relative à ces textes déterminés. Pour obtenir des renseignements actualisés, les membres sont invités à consulter la base de données relative aux droits de propriété intellectuelle à l'adresse </w:t>
      </w:r>
      <w:hyperlink r:id="rId11" w:history="1">
        <w:r w:rsidR="007565E4" w:rsidRPr="00AA1566">
          <w:rPr>
            <w:rStyle w:val="Hyperlink"/>
            <w:bCs/>
            <w:sz w:val="22"/>
            <w:szCs w:val="22"/>
          </w:rPr>
          <w:t>www.itu.int/ipr/</w:t>
        </w:r>
      </w:hyperlink>
      <w:r w:rsidRPr="00AA1566">
        <w:rPr>
          <w:bCs/>
          <w:sz w:val="22"/>
          <w:szCs w:val="22"/>
        </w:rPr>
        <w:t>.</w:t>
      </w:r>
    </w:p>
    <w:p w14:paraId="0333DE53" w14:textId="3455FA35" w:rsidR="006F7E96" w:rsidRPr="00AA1566" w:rsidRDefault="006F7E96" w:rsidP="00AA1566">
      <w:pPr>
        <w:spacing w:before="60"/>
        <w:rPr>
          <w:bCs/>
          <w:sz w:val="22"/>
          <w:szCs w:val="22"/>
        </w:rPr>
      </w:pPr>
      <w:r w:rsidRPr="00AA1566">
        <w:rPr>
          <w:bCs/>
          <w:sz w:val="22"/>
          <w:szCs w:val="22"/>
        </w:rPr>
        <w:t>3</w:t>
      </w:r>
      <w:r w:rsidRPr="00AA1566">
        <w:rPr>
          <w:bCs/>
          <w:sz w:val="22"/>
          <w:szCs w:val="22"/>
        </w:rPr>
        <w:tab/>
        <w:t>La présente Circulaire a pour objet d'engager le processus de consultation formelle des États Membres de l'UIT, qui devront indiquer si ces textes peuvent être examinés en vue de leur approbation à la prochaine réunion, conformément au paragraphe 9.4 de la Résolution 1. Les États Membres sont priés de remplir le formulaire de l'</w:t>
      </w:r>
      <w:r w:rsidRPr="00AA1566">
        <w:rPr>
          <w:b/>
          <w:bCs/>
          <w:sz w:val="22"/>
          <w:szCs w:val="22"/>
        </w:rPr>
        <w:t>Annexe 2</w:t>
      </w:r>
      <w:r w:rsidRPr="00AA1566">
        <w:rPr>
          <w:bCs/>
          <w:sz w:val="22"/>
          <w:szCs w:val="22"/>
        </w:rPr>
        <w:t xml:space="preserve"> et de le renvoyer d'ici au </w:t>
      </w:r>
      <w:r w:rsidRPr="00AA1566">
        <w:rPr>
          <w:b/>
          <w:bCs/>
          <w:sz w:val="22"/>
          <w:szCs w:val="22"/>
        </w:rPr>
        <w:t>16</w:t>
      </w:r>
      <w:r w:rsidR="007565E4" w:rsidRPr="00AA1566">
        <w:rPr>
          <w:b/>
          <w:bCs/>
          <w:sz w:val="22"/>
          <w:szCs w:val="22"/>
        </w:rPr>
        <w:t> </w:t>
      </w:r>
      <w:r w:rsidRPr="00AA1566">
        <w:rPr>
          <w:b/>
          <w:bCs/>
          <w:sz w:val="22"/>
          <w:szCs w:val="22"/>
        </w:rPr>
        <w:t>août 2023</w:t>
      </w:r>
      <w:r w:rsidRPr="00AA1566">
        <w:rPr>
          <w:bCs/>
          <w:sz w:val="22"/>
          <w:szCs w:val="22"/>
        </w:rPr>
        <w:t xml:space="preserve"> à 23 h 59 (UTC).</w:t>
      </w:r>
    </w:p>
    <w:p w14:paraId="32262172" w14:textId="617631A2" w:rsidR="006F7E96" w:rsidRPr="00AA1566" w:rsidRDefault="006F7E96" w:rsidP="00AA1566">
      <w:pPr>
        <w:spacing w:before="60"/>
        <w:rPr>
          <w:bCs/>
          <w:sz w:val="22"/>
          <w:szCs w:val="22"/>
        </w:rPr>
      </w:pPr>
      <w:r w:rsidRPr="00AA1566">
        <w:rPr>
          <w:bCs/>
          <w:sz w:val="22"/>
          <w:szCs w:val="22"/>
        </w:rPr>
        <w:t>4</w:t>
      </w:r>
      <w:r w:rsidRPr="00AA1566">
        <w:rPr>
          <w:bCs/>
          <w:sz w:val="22"/>
          <w:szCs w:val="22"/>
        </w:rPr>
        <w:tab/>
        <w:t>Si au moins 70% des réponses des États Membres sont en faveur de l'examen, aux fins d'approbation, de ces textes, une séance plénière sera consacrée à l'application de la procédure d'approbation. Les États Membres qui n'autorisent pas la commission d'études à procéder ainsi doivent informer le Directeur du TSB des motifs de cette décision et lui faire part des éventuelles modifications qui permettraient la poursuite des travaux.</w:t>
      </w:r>
    </w:p>
    <w:p w14:paraId="518C56A9" w14:textId="134803C0" w:rsidR="007565E4" w:rsidRPr="00AA1566" w:rsidRDefault="007565E4" w:rsidP="00AA1566">
      <w:pPr>
        <w:spacing w:before="60"/>
        <w:rPr>
          <w:sz w:val="22"/>
          <w:szCs w:val="22"/>
        </w:rPr>
      </w:pPr>
      <w:r w:rsidRPr="00AA1566">
        <w:rPr>
          <w:sz w:val="22"/>
          <w:szCs w:val="22"/>
        </w:rPr>
        <w:t>Veuillez agréer, Madame, Monsieur, l'assurance de ma considération distinguée.</w:t>
      </w:r>
    </w:p>
    <w:p w14:paraId="6D950262" w14:textId="0E5B08E5" w:rsidR="007565E4" w:rsidRPr="00AA1566" w:rsidRDefault="00BA1070" w:rsidP="00AA1566">
      <w:pPr>
        <w:keepNext/>
        <w:keepLines/>
        <w:spacing w:before="760"/>
        <w:ind w:right="-284"/>
        <w:rPr>
          <w:sz w:val="22"/>
          <w:szCs w:val="22"/>
        </w:rPr>
      </w:pPr>
      <w:r>
        <w:rPr>
          <w:noProof/>
          <w:sz w:val="22"/>
          <w:szCs w:val="22"/>
        </w:rPr>
        <w:drawing>
          <wp:anchor distT="0" distB="0" distL="114300" distR="114300" simplePos="0" relativeHeight="251658240" behindDoc="1" locked="0" layoutInCell="1" allowOverlap="1" wp14:anchorId="04E6D41D" wp14:editId="5AD637D3">
            <wp:simplePos x="0" y="0"/>
            <wp:positionH relativeFrom="column">
              <wp:posOffset>22860</wp:posOffset>
            </wp:positionH>
            <wp:positionV relativeFrom="paragraph">
              <wp:posOffset>74295</wp:posOffset>
            </wp:positionV>
            <wp:extent cx="546099" cy="409575"/>
            <wp:effectExtent l="0" t="0" r="6985"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46099" cy="409575"/>
                    </a:xfrm>
                    <a:prstGeom prst="rect">
                      <a:avLst/>
                    </a:prstGeom>
                  </pic:spPr>
                </pic:pic>
              </a:graphicData>
            </a:graphic>
            <wp14:sizeRelH relativeFrom="margin">
              <wp14:pctWidth>0</wp14:pctWidth>
            </wp14:sizeRelH>
            <wp14:sizeRelV relativeFrom="margin">
              <wp14:pctHeight>0</wp14:pctHeight>
            </wp14:sizeRelV>
          </wp:anchor>
        </w:drawing>
      </w:r>
      <w:r w:rsidR="007565E4" w:rsidRPr="00AA1566">
        <w:rPr>
          <w:sz w:val="22"/>
          <w:szCs w:val="22"/>
        </w:rPr>
        <w:t>Seizo Onoe</w:t>
      </w:r>
      <w:r w:rsidR="007565E4" w:rsidRPr="00AA1566">
        <w:rPr>
          <w:sz w:val="22"/>
          <w:szCs w:val="22"/>
        </w:rPr>
        <w:br/>
        <w:t xml:space="preserve">Directeur du Bureau de la normalisation </w:t>
      </w:r>
      <w:r w:rsidR="007565E4" w:rsidRPr="00AA1566">
        <w:rPr>
          <w:sz w:val="22"/>
          <w:szCs w:val="22"/>
        </w:rPr>
        <w:br/>
        <w:t>des télécommunications</w:t>
      </w:r>
    </w:p>
    <w:p w14:paraId="06472E5D" w14:textId="2DD535B3" w:rsidR="006F7E96" w:rsidRPr="00AA1566" w:rsidRDefault="006F7E96" w:rsidP="00AA1566">
      <w:pPr>
        <w:rPr>
          <w:bCs/>
          <w:sz w:val="22"/>
          <w:szCs w:val="22"/>
        </w:rPr>
      </w:pPr>
      <w:proofErr w:type="gramStart"/>
      <w:r w:rsidRPr="00AA1566">
        <w:rPr>
          <w:b/>
          <w:sz w:val="22"/>
          <w:szCs w:val="22"/>
        </w:rPr>
        <w:t>Annexes</w:t>
      </w:r>
      <w:r w:rsidRPr="00AA1566">
        <w:rPr>
          <w:sz w:val="22"/>
          <w:szCs w:val="22"/>
        </w:rPr>
        <w:t>:</w:t>
      </w:r>
      <w:proofErr w:type="gramEnd"/>
      <w:r w:rsidRPr="00AA1566">
        <w:rPr>
          <w:bCs/>
          <w:sz w:val="22"/>
          <w:szCs w:val="22"/>
        </w:rPr>
        <w:t xml:space="preserve"> 2</w:t>
      </w:r>
    </w:p>
    <w:p w14:paraId="64E866C1" w14:textId="5E60B447" w:rsidR="006F7E96" w:rsidRPr="00CE1814" w:rsidRDefault="006F7E96" w:rsidP="006F7E96">
      <w:pPr>
        <w:pStyle w:val="Annextitle0"/>
        <w:rPr>
          <w:lang w:val="fr-FR"/>
        </w:rPr>
      </w:pPr>
      <w:r w:rsidRPr="00CE1814">
        <w:rPr>
          <w:lang w:val="fr-FR"/>
        </w:rPr>
        <w:lastRenderedPageBreak/>
        <w:t>Annexe 1</w:t>
      </w:r>
      <w:r w:rsidR="00851B1F">
        <w:rPr>
          <w:lang w:val="fr-FR"/>
        </w:rPr>
        <w:br/>
      </w:r>
      <w:r w:rsidR="00851B1F">
        <w:rPr>
          <w:lang w:val="fr-FR"/>
        </w:rPr>
        <w:br/>
      </w:r>
      <w:r w:rsidRPr="00CE1814">
        <w:rPr>
          <w:lang w:val="fr-FR"/>
        </w:rPr>
        <w:t>Résumé et localisation des textes déterminés des projets de nouvelle Recommandation UIT-T X.1333 Cor.1, X.1353 (X.ztd-iot), X.1471 (</w:t>
      </w:r>
      <w:proofErr w:type="gramStart"/>
      <w:r w:rsidRPr="00CE1814">
        <w:rPr>
          <w:lang w:val="fr-FR"/>
        </w:rPr>
        <w:t>X.websec</w:t>
      </w:r>
      <w:proofErr w:type="gramEnd"/>
      <w:r w:rsidRPr="00CE1814">
        <w:rPr>
          <w:lang w:val="fr-FR"/>
        </w:rPr>
        <w:t>-7), X.1645 (X.nssa-cc), X.1771 (X.rdda) et X.1817 (X.5Gsec-message)</w:t>
      </w:r>
    </w:p>
    <w:p w14:paraId="42BADA2C" w14:textId="62F88CDC" w:rsidR="006F7E96" w:rsidRPr="00CE1814" w:rsidRDefault="006F7E96" w:rsidP="00851B1F">
      <w:pPr>
        <w:pStyle w:val="Heading1"/>
      </w:pPr>
      <w:r w:rsidRPr="00CE1814">
        <w:t>1</w:t>
      </w:r>
      <w:r w:rsidRPr="00CE1814">
        <w:tab/>
        <w:t>Projet de Corrigendum 1 à la Recommandation UIT-T X</w:t>
      </w:r>
      <w:r w:rsidRPr="00CE1814">
        <w:rPr>
          <w:szCs w:val="24"/>
        </w:rPr>
        <w:t xml:space="preserve"> X.1333 [</w:t>
      </w:r>
      <w:hyperlink r:id="rId13" w:history="1">
        <w:r w:rsidRPr="00CE1814">
          <w:rPr>
            <w:rStyle w:val="Hyperlink"/>
            <w:bCs/>
            <w:szCs w:val="24"/>
          </w:rPr>
          <w:t>R34</w:t>
        </w:r>
      </w:hyperlink>
      <w:r w:rsidRPr="00CE1814">
        <w:rPr>
          <w:szCs w:val="24"/>
        </w:rPr>
        <w:t>]</w:t>
      </w:r>
    </w:p>
    <w:p w14:paraId="15509E95" w14:textId="77777777" w:rsidR="006F7E96" w:rsidRPr="00CE1814" w:rsidRDefault="006F7E96" w:rsidP="006F7E96">
      <w:r w:rsidRPr="00CE1814">
        <w:t>Lignes directrices sur la sécurité pour l'utilisation d'outils d'accès à distance dans les systèmes de contrôle connectés à l'Internet</w:t>
      </w:r>
    </w:p>
    <w:p w14:paraId="50E07060" w14:textId="5BA6B0A8" w:rsidR="006F7E96" w:rsidRPr="00CE1814" w:rsidRDefault="006F7E96" w:rsidP="00851B1F">
      <w:pPr>
        <w:pStyle w:val="Heading1"/>
        <w:spacing w:before="360"/>
      </w:pPr>
      <w:r w:rsidRPr="00CE1814">
        <w:t>2</w:t>
      </w:r>
      <w:r w:rsidRPr="00CE1814">
        <w:tab/>
        <w:t xml:space="preserve">Projet de nouvelle Recommandation UIT-T </w:t>
      </w:r>
      <w:r w:rsidRPr="00CE1814">
        <w:rPr>
          <w:szCs w:val="24"/>
        </w:rPr>
        <w:t>X.1353 (X.ztd-iot) [</w:t>
      </w:r>
      <w:hyperlink r:id="rId14" w:history="1">
        <w:r w:rsidRPr="00CE1814">
          <w:rPr>
            <w:rStyle w:val="Hyperlink"/>
            <w:szCs w:val="24"/>
          </w:rPr>
          <w:t>R35</w:t>
        </w:r>
      </w:hyperlink>
      <w:r w:rsidRPr="00CE1814">
        <w:rPr>
          <w:szCs w:val="24"/>
        </w:rPr>
        <w:t>]</w:t>
      </w:r>
    </w:p>
    <w:p w14:paraId="4D440032" w14:textId="77777777" w:rsidR="006F7E96" w:rsidRPr="00CE1814" w:rsidRDefault="006F7E96" w:rsidP="006F7E96">
      <w:r w:rsidRPr="00CE1814">
        <w:t>Méthode de sécurité applicable au déploiement sans intervention dans l'IoT massif fondé sur la chaîne de blocs</w:t>
      </w:r>
    </w:p>
    <w:p w14:paraId="44C85887" w14:textId="77777777" w:rsidR="006F7E96" w:rsidRPr="00CE1814" w:rsidRDefault="006F7E96" w:rsidP="006F7E96">
      <w:pPr>
        <w:pStyle w:val="headingb"/>
      </w:pPr>
      <w:r w:rsidRPr="00CE1814">
        <w:t>Résumé</w:t>
      </w:r>
    </w:p>
    <w:p w14:paraId="54F90F21" w14:textId="7440CCDA" w:rsidR="006F7E96" w:rsidRPr="00CE1814" w:rsidRDefault="006F7E96" w:rsidP="006F7E96">
      <w:r w:rsidRPr="00CE1814">
        <w:t>L'Internet des objets massif (mIoT en anglais) est une application importante des futurs réseaux de communication. Compte tenu de la diversité des cas d'utilisation envisagés dans l'IoT massif, les fabricants peinent à préinstaller leurs dispositifs IoT manufacturés avec des informations propres à un opérateur mobile et/ou à un service spécifique (identités et clés, par exemple), puisqu'il arrive qu'ils ne sachent pas où ceux-ci seront déployés et activés à terme. L'approche actuelle repose sur la configuration manuelle des dispositifs par les consommateurs. Si elle est acceptable pour les applications IoT à petite échelle, une telle approche ne peut convenir pour les dispositifs de l'IoT massif, étant donné son caractère chronophage, peu rentable et laborieux. La fourniture automatique de justificatifs d'identité "sans intervention", c'est-à-dire ne nécessitant aucune action de la part de l'utilisateur, s'impose donc pour l'IoT massif.</w:t>
      </w:r>
    </w:p>
    <w:p w14:paraId="71C647E4" w14:textId="77777777" w:rsidR="006F7E96" w:rsidRPr="00CE1814" w:rsidRDefault="006F7E96" w:rsidP="006F7E96">
      <w:r w:rsidRPr="00CE1814">
        <w:t>Cette Recommandation définit une méthode de sécurité applicable à la conception d'un système de gestion des identités décentralisé destiné à permettre le déploiement sans intervention du futur IoT massif. Le déploiement sans intervention permettra aux dispositifs IoT de trouver automatiquement leur opérateur de réseau mobile et leur fournisseur de services, d'obtenir automatiquement auprès de ces derniers leurs justificatifs d'identité et de se connecter automatiquement au réseau et au service. Cette approche facilitera grandement le futur déploiement des dispositifs de l'IoT massif pour les processus verticaux. Cette Recommandation aborde l'architecture de sécurité, les considérations liées à la sécurité et les procédures de sécurité connexes (telles que les attestations relatives aux dispositifs, l'authentification et la fourniture de justificatifs d'identité) qui sont nécessaires pour mettre en place une telle plate-forme de déploiement sans intervention de l'IoT massif.</w:t>
      </w:r>
    </w:p>
    <w:p w14:paraId="5EC0ED0A" w14:textId="74F4DB43" w:rsidR="006F7E96" w:rsidRPr="00CE1814" w:rsidRDefault="006F7E96" w:rsidP="00851B1F">
      <w:pPr>
        <w:pStyle w:val="Heading1"/>
        <w:spacing w:before="360"/>
      </w:pPr>
      <w:r w:rsidRPr="00CE1814">
        <w:t>3</w:t>
      </w:r>
      <w:r w:rsidRPr="00CE1814">
        <w:tab/>
        <w:t xml:space="preserve">Projet de nouvelle Recommandation UIT-T </w:t>
      </w:r>
      <w:r w:rsidRPr="00CE1814">
        <w:rPr>
          <w:szCs w:val="24"/>
        </w:rPr>
        <w:t>X.1471 (X.websec-7) [</w:t>
      </w:r>
      <w:hyperlink r:id="rId15" w:history="1">
        <w:r w:rsidRPr="00CE1814">
          <w:rPr>
            <w:rStyle w:val="Hyperlink"/>
            <w:szCs w:val="24"/>
          </w:rPr>
          <w:t>R36</w:t>
        </w:r>
      </w:hyperlink>
      <w:r w:rsidRPr="00CE1814">
        <w:rPr>
          <w:szCs w:val="24"/>
        </w:rPr>
        <w:t>]</w:t>
      </w:r>
    </w:p>
    <w:p w14:paraId="2A52722C" w14:textId="77777777" w:rsidR="006F7E96" w:rsidRPr="00CE1814" w:rsidRDefault="006F7E96" w:rsidP="006F7E96">
      <w:pPr>
        <w:keepNext/>
        <w:keepLines/>
        <w:rPr>
          <w:szCs w:val="24"/>
        </w:rPr>
      </w:pPr>
      <w:r w:rsidRPr="00CE1814">
        <w:rPr>
          <w:szCs w:val="24"/>
        </w:rPr>
        <w:t>Contrôle de référence pour les services d'analyse en ligne</w:t>
      </w:r>
    </w:p>
    <w:p w14:paraId="37F2DE26" w14:textId="77777777" w:rsidR="006F7E96" w:rsidRPr="00CE1814" w:rsidRDefault="006F7E96" w:rsidP="006F7E96">
      <w:pPr>
        <w:pStyle w:val="headingb"/>
      </w:pPr>
      <w:r w:rsidRPr="00CE1814">
        <w:t>Résumé</w:t>
      </w:r>
    </w:p>
    <w:p w14:paraId="7B411B50" w14:textId="59AFF7A2" w:rsidR="006F7E96" w:rsidRPr="00CE1814" w:rsidRDefault="006F7E96" w:rsidP="006F7E96">
      <w:pPr>
        <w:rPr>
          <w:szCs w:val="24"/>
        </w:rPr>
      </w:pPr>
      <w:r w:rsidRPr="00CE1814">
        <w:rPr>
          <w:szCs w:val="24"/>
        </w:rPr>
        <w:t>Le service d'analyse des mégadonnées repose sur des données non définies et non structurées, notamment en ce qui concerne le comportement des utilisateurs, les achats, les paiements, la localisation et la consommation de différents contenus Internet. Il peut fournir de nouveaux scénarios qui n'avaient pas été découverts auparavant et prédit les états futurs.</w:t>
      </w:r>
      <w:r w:rsidR="00851B1F">
        <w:rPr>
          <w:szCs w:val="24"/>
        </w:rPr>
        <w:t xml:space="preserve"> </w:t>
      </w:r>
      <w:r w:rsidRPr="00CE1814">
        <w:rPr>
          <w:szCs w:val="24"/>
        </w:rPr>
        <w:t>Toutefois,</w:t>
      </w:r>
      <w:r w:rsidR="00851B1F">
        <w:rPr>
          <w:szCs w:val="24"/>
        </w:rPr>
        <w:t xml:space="preserve"> </w:t>
      </w:r>
      <w:r w:rsidRPr="00CE1814">
        <w:rPr>
          <w:szCs w:val="24"/>
        </w:rPr>
        <w:t>certaines données non autorisées peuvent être utilisées à des fins malveillantes dans le processus d'analyse.</w:t>
      </w:r>
    </w:p>
    <w:p w14:paraId="0BC1BF28" w14:textId="34330604" w:rsidR="006F7E96" w:rsidRPr="00CE1814" w:rsidRDefault="006F7E96" w:rsidP="006F7E96">
      <w:pPr>
        <w:rPr>
          <w:szCs w:val="24"/>
        </w:rPr>
      </w:pPr>
      <w:r w:rsidRPr="00CE1814">
        <w:rPr>
          <w:szCs w:val="24"/>
        </w:rPr>
        <w:lastRenderedPageBreak/>
        <w:t>Cette Recommandation décrit un contrôle de référence pour l'analyse des mégadonnées et les activités visant à détecter une utilisation non autorisée des données. Elle contient une analyse des menaces et des problèmes de sécurité dans le domaine de l'analyse des mégadonnées, ainsi qu'une description des considérations relatives à la sécurité susceptibles d'atténuer ces menaces et de résoudre les problèmes de sécurité au moyen de mécanismes de contrôle d'accès. Une méthode de contrôle de référence fondée sur le contrôle d'accès est fournie afin de déterminer lesquelles de ces capacités de sécurité sont nécessaires pour atténuer les menaces de sécurité et résoudre les problèmes de sécurité en matière d'analyse des mégadonnées.</w:t>
      </w:r>
    </w:p>
    <w:p w14:paraId="22CF1502" w14:textId="3378A30E" w:rsidR="006F7E96" w:rsidRPr="00CE1814" w:rsidRDefault="007565E4" w:rsidP="00851B1F">
      <w:pPr>
        <w:pStyle w:val="Heading1"/>
        <w:spacing w:before="360"/>
        <w:rPr>
          <w:szCs w:val="24"/>
        </w:rPr>
      </w:pPr>
      <w:bookmarkStart w:id="2" w:name="lt_pId097"/>
      <w:r w:rsidRPr="00CE1814">
        <w:t>4</w:t>
      </w:r>
      <w:r w:rsidRPr="00CE1814">
        <w:tab/>
      </w:r>
      <w:r w:rsidR="006F7E96" w:rsidRPr="00CE1814">
        <w:t>Projet</w:t>
      </w:r>
      <w:r w:rsidR="006F7E96" w:rsidRPr="00CE1814">
        <w:rPr>
          <w:szCs w:val="24"/>
        </w:rPr>
        <w:t xml:space="preserve"> de nouvelle Recommandation UIT-T X.1645 (X.nssa-cc) [</w:t>
      </w:r>
      <w:hyperlink r:id="rId16" w:history="1">
        <w:r w:rsidR="006F7E96" w:rsidRPr="00CE1814">
          <w:rPr>
            <w:rStyle w:val="Hyperlink"/>
            <w:szCs w:val="24"/>
          </w:rPr>
          <w:t>R38</w:t>
        </w:r>
      </w:hyperlink>
      <w:r w:rsidR="006F7E96" w:rsidRPr="00CE1814">
        <w:rPr>
          <w:szCs w:val="24"/>
        </w:rPr>
        <w:t>]</w:t>
      </w:r>
      <w:bookmarkEnd w:id="2"/>
    </w:p>
    <w:p w14:paraId="36142667" w14:textId="4BFF1CC1" w:rsidR="001A45C5" w:rsidRPr="00CE1814" w:rsidRDefault="001A45C5" w:rsidP="001A45C5">
      <w:r w:rsidRPr="00CE1814">
        <w:t>Exigences relatives à une plate-forme d'appréciation des conditions de sécurité pour l'informatique en nuage</w:t>
      </w:r>
    </w:p>
    <w:p w14:paraId="436C8572" w14:textId="77777777" w:rsidR="006F7E96" w:rsidRPr="00CE1814" w:rsidRDefault="006F7E96" w:rsidP="001A45C5">
      <w:pPr>
        <w:pStyle w:val="headingb"/>
      </w:pPr>
      <w:r w:rsidRPr="00CE1814">
        <w:t>Résumé</w:t>
      </w:r>
    </w:p>
    <w:p w14:paraId="354834B7" w14:textId="507E5ABE" w:rsidR="006F7E96" w:rsidRPr="00CE1814" w:rsidRDefault="006F7E96" w:rsidP="006F7E96">
      <w:pPr>
        <w:keepNext/>
        <w:keepLines/>
        <w:rPr>
          <w:rFonts w:eastAsia="SimSun"/>
          <w:szCs w:val="24"/>
        </w:rPr>
      </w:pPr>
      <w:bookmarkStart w:id="3" w:name="lt_pId099"/>
      <w:r w:rsidRPr="00CE1814">
        <w:rPr>
          <w:rFonts w:eastAsia="SimSun"/>
          <w:szCs w:val="24"/>
        </w:rPr>
        <w:t>L'appréciation des conditions de sécurité du réseau (NSSA) découle du concept d'"appréciation de la situation"</w:t>
      </w:r>
      <w:bookmarkStart w:id="4" w:name="lt_pId100"/>
      <w:bookmarkEnd w:id="3"/>
      <w:r w:rsidRPr="00CE1814">
        <w:rPr>
          <w:rFonts w:eastAsia="SimSun"/>
          <w:szCs w:val="24"/>
        </w:rPr>
        <w:t xml:space="preserve">. Elle comprend généralement quatre processus: l'acquisition des données, l'analyse des conditions de sécurité, l'évaluation des conditions de sécurité et la projection de la tendance relative aux conditions de sécurité. </w:t>
      </w:r>
      <w:bookmarkStart w:id="5" w:name="lt_pId101"/>
      <w:bookmarkEnd w:id="4"/>
      <w:r w:rsidRPr="00CE1814">
        <w:rPr>
          <w:rFonts w:eastAsia="SimSun"/>
          <w:szCs w:val="24"/>
        </w:rPr>
        <w:t>Elle présente en outre les capacités suivantes:</w:t>
      </w:r>
      <w:bookmarkEnd w:id="5"/>
      <w:r w:rsidRPr="00CE1814">
        <w:rPr>
          <w:rFonts w:eastAsia="SimSun"/>
          <w:szCs w:val="24"/>
        </w:rPr>
        <w:t xml:space="preserve"> </w:t>
      </w:r>
      <w:bookmarkStart w:id="6" w:name="lt_pId102"/>
      <w:r w:rsidRPr="00CE1814">
        <w:rPr>
          <w:rFonts w:eastAsia="SimSun"/>
          <w:szCs w:val="24"/>
        </w:rPr>
        <w:t>1) la capacité de détection et de surveillance continue de diverses menaces d'attaque, de comportements anormaux et de leur champ d'influence;</w:t>
      </w:r>
      <w:bookmarkEnd w:id="6"/>
      <w:r w:rsidRPr="00CE1814">
        <w:rPr>
          <w:rFonts w:eastAsia="SimSun"/>
          <w:szCs w:val="24"/>
        </w:rPr>
        <w:t xml:space="preserve"> </w:t>
      </w:r>
      <w:bookmarkStart w:id="7" w:name="lt_pId103"/>
      <w:r w:rsidRPr="00CE1814">
        <w:rPr>
          <w:rFonts w:eastAsia="SimSun"/>
          <w:szCs w:val="24"/>
        </w:rPr>
        <w:t xml:space="preserve">2) la capacité d'exploration des données, d'analyse des données et de traçabilité des comportements anormaux; </w:t>
      </w:r>
      <w:bookmarkStart w:id="8" w:name="lt_pId104"/>
      <w:bookmarkEnd w:id="7"/>
      <w:r w:rsidRPr="00CE1814">
        <w:rPr>
          <w:rFonts w:eastAsia="SimSun"/>
          <w:szCs w:val="24"/>
        </w:rPr>
        <w:t xml:space="preserve">3) la capacité de prédiction de la sécurité et d'alerte avancée; </w:t>
      </w:r>
      <w:r w:rsidR="00FD7764" w:rsidRPr="00CE1814">
        <w:rPr>
          <w:rFonts w:eastAsia="SimSun"/>
          <w:szCs w:val="24"/>
        </w:rPr>
        <w:t xml:space="preserve">4) </w:t>
      </w:r>
      <w:r w:rsidRPr="00CE1814">
        <w:rPr>
          <w:rFonts w:eastAsia="SimSun"/>
          <w:szCs w:val="24"/>
        </w:rPr>
        <w:t xml:space="preserve">la capacité de visualisation </w:t>
      </w:r>
      <w:bookmarkStart w:id="9" w:name="lt_pId105"/>
      <w:bookmarkEnd w:id="8"/>
      <w:r w:rsidRPr="00CE1814">
        <w:rPr>
          <w:rFonts w:eastAsia="SimSun"/>
          <w:szCs w:val="24"/>
        </w:rPr>
        <w:t>des conditions de sécurité.</w:t>
      </w:r>
      <w:bookmarkEnd w:id="9"/>
    </w:p>
    <w:p w14:paraId="2E1B2334" w14:textId="1A6C1A5F" w:rsidR="006F7E96" w:rsidRPr="00CE1814" w:rsidRDefault="006F7E96" w:rsidP="006F7E96">
      <w:pPr>
        <w:rPr>
          <w:rFonts w:eastAsia="SimSun"/>
          <w:szCs w:val="24"/>
        </w:rPr>
      </w:pPr>
      <w:bookmarkStart w:id="10" w:name="lt_pId106"/>
      <w:r w:rsidRPr="00CE1814">
        <w:rPr>
          <w:rFonts w:eastAsia="SimSun"/>
          <w:szCs w:val="24"/>
        </w:rPr>
        <w:t>Pour les fournisseurs de services d'informatique en nuage, la plate-forme NSSA joue un rôle important en ce qu'elle permet d'améliorer la protection de la sécurité de l'informatique en nuage, la capacité de détecter les atteintes à la sécurité ou des comportements anormaux et la capacité de prise de décisions en matière de sécurité et d'intervention en cas d'urgence. Elle peut même contribuer à améliorer le mécanisme d'alerte avancée pour l'informatique en nuage.</w:t>
      </w:r>
      <w:bookmarkEnd w:id="10"/>
    </w:p>
    <w:p w14:paraId="622249BF" w14:textId="670F3E03" w:rsidR="006F7E96" w:rsidRPr="00CE1814" w:rsidRDefault="006F7E96" w:rsidP="006F7E96">
      <w:pPr>
        <w:rPr>
          <w:rFonts w:cstheme="minorHAnsi"/>
          <w:szCs w:val="24"/>
        </w:rPr>
      </w:pPr>
      <w:bookmarkStart w:id="11" w:name="lt_pId107"/>
      <w:r w:rsidRPr="00CE1814">
        <w:rPr>
          <w:rFonts w:eastAsia="SimSun"/>
          <w:szCs w:val="24"/>
        </w:rPr>
        <w:t>Cette Recommandation présente d'abord le concept d'appréciation des conditions de sécurité du réseau (NSSA) et son développement, analyse les avantages liés à la NSSA lorsqu'il s'agit de faire face aux problèmes de sécurité en matière d'informatique en nuage, puis décrit les exigences relatives à une plate-forme NSSA pour l'informatique en nuage.</w:t>
      </w:r>
      <w:bookmarkEnd w:id="11"/>
    </w:p>
    <w:p w14:paraId="587405A4" w14:textId="6A648908" w:rsidR="006F7E96" w:rsidRPr="00CE1814" w:rsidRDefault="00FD7764" w:rsidP="00851B1F">
      <w:pPr>
        <w:pStyle w:val="Heading1"/>
        <w:spacing w:before="360"/>
        <w:rPr>
          <w:szCs w:val="24"/>
        </w:rPr>
      </w:pPr>
      <w:bookmarkStart w:id="12" w:name="lt_pId108"/>
      <w:r w:rsidRPr="00CE1814">
        <w:rPr>
          <w:szCs w:val="24"/>
        </w:rPr>
        <w:t>5</w:t>
      </w:r>
      <w:r w:rsidRPr="00CE1814">
        <w:rPr>
          <w:szCs w:val="24"/>
        </w:rPr>
        <w:tab/>
      </w:r>
      <w:r w:rsidR="006F7E96" w:rsidRPr="00CE1814">
        <w:rPr>
          <w:szCs w:val="24"/>
        </w:rPr>
        <w:t>Projet de nouvelle Recommandation UIT-T X.1771 (X.rdda) [</w:t>
      </w:r>
      <w:hyperlink r:id="rId17" w:history="1">
        <w:r w:rsidR="006F7E96" w:rsidRPr="00CE1814">
          <w:rPr>
            <w:rStyle w:val="Hyperlink"/>
            <w:szCs w:val="24"/>
          </w:rPr>
          <w:t>R37</w:t>
        </w:r>
      </w:hyperlink>
      <w:r w:rsidR="006F7E96" w:rsidRPr="00CE1814">
        <w:rPr>
          <w:szCs w:val="24"/>
        </w:rPr>
        <w:t>]</w:t>
      </w:r>
      <w:bookmarkEnd w:id="12"/>
    </w:p>
    <w:p w14:paraId="76095BF0" w14:textId="2DE9F0FE" w:rsidR="006F7E96" w:rsidRPr="00CE1814" w:rsidRDefault="006F7E96" w:rsidP="006F7E96">
      <w:pPr>
        <w:keepNext/>
        <w:keepLines/>
        <w:rPr>
          <w:szCs w:val="24"/>
        </w:rPr>
      </w:pPr>
      <w:bookmarkStart w:id="13" w:name="lt_pId109"/>
      <w:r w:rsidRPr="00CE1814">
        <w:rPr>
          <w:szCs w:val="24"/>
        </w:rPr>
        <w:t>Exigences relatives à l'assurance de la désidentification des données</w:t>
      </w:r>
      <w:bookmarkEnd w:id="13"/>
    </w:p>
    <w:p w14:paraId="6018ED96" w14:textId="77777777" w:rsidR="006F7E96" w:rsidRPr="00CE1814" w:rsidRDefault="006F7E96" w:rsidP="00FD7764">
      <w:pPr>
        <w:pStyle w:val="headingb"/>
      </w:pPr>
      <w:r w:rsidRPr="00CE1814">
        <w:t>Résumé</w:t>
      </w:r>
    </w:p>
    <w:p w14:paraId="375F86CF" w14:textId="231AAC29" w:rsidR="006F7E96" w:rsidRPr="00CE1814" w:rsidRDefault="006F7E96" w:rsidP="00FD7764">
      <w:pPr>
        <w:rPr>
          <w:rFonts w:eastAsia="MS Mincho"/>
          <w:szCs w:val="24"/>
        </w:rPr>
      </w:pPr>
      <w:bookmarkStart w:id="14" w:name="lt_pId111"/>
      <w:r w:rsidRPr="00CE1814">
        <w:rPr>
          <w:rFonts w:eastAsia="MS Mincho"/>
          <w:szCs w:val="24"/>
        </w:rPr>
        <w:t xml:space="preserve">Les </w:t>
      </w:r>
      <w:r w:rsidRPr="00CE1814">
        <w:rPr>
          <w:rFonts w:eastAsia="SimSun"/>
          <w:szCs w:val="24"/>
        </w:rPr>
        <w:t>données</w:t>
      </w:r>
      <w:r w:rsidRPr="00CE1814">
        <w:rPr>
          <w:rFonts w:eastAsia="MS Mincho"/>
          <w:szCs w:val="24"/>
        </w:rPr>
        <w:t xml:space="preserve"> désidentifiées comportent un risque, celui de la réidentification des individus. </w:t>
      </w:r>
      <w:bookmarkStart w:id="15" w:name="lt_pId112"/>
      <w:bookmarkEnd w:id="14"/>
      <w:r w:rsidRPr="00CE1814">
        <w:rPr>
          <w:rFonts w:eastAsia="MS Mincho"/>
          <w:szCs w:val="24"/>
        </w:rPr>
        <w:t xml:space="preserve">Il est donc important d'évaluer le risque que les données désidentifiées soient utilisées pour identifier des individus par des méthodes de réidentification. </w:t>
      </w:r>
      <w:bookmarkStart w:id="16" w:name="lt_pId113"/>
      <w:bookmarkEnd w:id="15"/>
      <w:r w:rsidRPr="00CE1814">
        <w:rPr>
          <w:rFonts w:eastAsia="MS Mincho"/>
          <w:szCs w:val="24"/>
        </w:rPr>
        <w:t>Les méthodes de désidentification, qui peuvent être utilisées pour évaluer le risque de réidentification, peuvent être choisies en conséquence compte tenu des considérations suivantes:</w:t>
      </w:r>
      <w:bookmarkStart w:id="17" w:name="lt_pId114"/>
      <w:bookmarkEnd w:id="16"/>
    </w:p>
    <w:p w14:paraId="66C37B94" w14:textId="7929EE7C" w:rsidR="006F7E96" w:rsidRPr="00CE1814" w:rsidRDefault="00FD7764" w:rsidP="00FD7764">
      <w:pPr>
        <w:pStyle w:val="enumlev1"/>
        <w:rPr>
          <w:rFonts w:eastAsia="SimSun"/>
          <w:lang w:eastAsia="ko-KR"/>
        </w:rPr>
      </w:pPr>
      <w:bookmarkStart w:id="18" w:name="lt_pId116"/>
      <w:bookmarkEnd w:id="17"/>
      <w:r w:rsidRPr="00CE1814">
        <w:rPr>
          <w:rFonts w:eastAsia="SimSun"/>
          <w:lang w:eastAsia="ko-KR"/>
        </w:rPr>
        <w:t>–</w:t>
      </w:r>
      <w:r w:rsidRPr="00CE1814">
        <w:rPr>
          <w:rFonts w:eastAsia="SimSun"/>
          <w:lang w:eastAsia="ko-KR"/>
        </w:rPr>
        <w:tab/>
      </w:r>
      <w:r w:rsidR="006F7E96" w:rsidRPr="00CE1814">
        <w:rPr>
          <w:rFonts w:eastAsia="SimSun"/>
          <w:lang w:eastAsia="ko-KR"/>
        </w:rPr>
        <w:t xml:space="preserve">Évaluation des risques liés aux données: composition des données, distribution des données, </w:t>
      </w:r>
      <w:r w:rsidR="006F7E96" w:rsidRPr="00CE1814">
        <w:rPr>
          <w:rFonts w:eastAsia="SimSun"/>
        </w:rPr>
        <w:t>possession</w:t>
      </w:r>
      <w:r w:rsidR="006F7E96" w:rsidRPr="00CE1814">
        <w:rPr>
          <w:rFonts w:eastAsia="SimSun"/>
          <w:lang w:eastAsia="ko-KR"/>
        </w:rPr>
        <w:t xml:space="preserve"> d'autres données.</w:t>
      </w:r>
    </w:p>
    <w:p w14:paraId="7468C86F" w14:textId="4B69C95D" w:rsidR="006F7E96" w:rsidRPr="00CE1814" w:rsidRDefault="00FD7764" w:rsidP="00FD7764">
      <w:pPr>
        <w:pStyle w:val="enumlev1"/>
        <w:rPr>
          <w:rFonts w:eastAsia="SimSun"/>
          <w:lang w:eastAsia="ko-KR"/>
        </w:rPr>
      </w:pPr>
      <w:r w:rsidRPr="00CE1814">
        <w:rPr>
          <w:rFonts w:eastAsia="SimSun"/>
          <w:lang w:eastAsia="ko-KR"/>
        </w:rPr>
        <w:t>–</w:t>
      </w:r>
      <w:r w:rsidRPr="00CE1814">
        <w:rPr>
          <w:rFonts w:eastAsia="SimSun"/>
          <w:lang w:eastAsia="ko-KR"/>
        </w:rPr>
        <w:tab/>
      </w:r>
      <w:r w:rsidR="006F7E96" w:rsidRPr="00CE1814">
        <w:rPr>
          <w:rFonts w:eastAsia="SimSun"/>
          <w:lang w:eastAsia="ko-KR"/>
        </w:rPr>
        <w:t xml:space="preserve">Évaluation des risques liés à l'environnement d'utilisation des données: </w:t>
      </w:r>
      <w:bookmarkStart w:id="19" w:name="lt_pId117"/>
      <w:bookmarkEnd w:id="18"/>
      <w:r w:rsidR="006F7E96" w:rsidRPr="00CE1814">
        <w:rPr>
          <w:rFonts w:eastAsia="SimSun"/>
          <w:lang w:eastAsia="ko-KR"/>
        </w:rPr>
        <w:t>niveau de confiance du destinataire des données, incidences durant la réidentification, réidentification par inadvertance.</w:t>
      </w:r>
      <w:bookmarkEnd w:id="19"/>
    </w:p>
    <w:p w14:paraId="72DE4B33" w14:textId="345ECA34" w:rsidR="006F7E96" w:rsidRPr="00CE1814" w:rsidRDefault="00FD7764" w:rsidP="00FD7764">
      <w:pPr>
        <w:pStyle w:val="enumlev1"/>
        <w:rPr>
          <w:rFonts w:eastAsia="SimSun"/>
          <w:lang w:eastAsia="ko-KR"/>
        </w:rPr>
      </w:pPr>
      <w:bookmarkStart w:id="20" w:name="lt_pId118"/>
      <w:r w:rsidRPr="00CE1814">
        <w:rPr>
          <w:rFonts w:eastAsia="SimSun"/>
          <w:lang w:eastAsia="ko-KR"/>
        </w:rPr>
        <w:lastRenderedPageBreak/>
        <w:t>–</w:t>
      </w:r>
      <w:r w:rsidRPr="00CE1814">
        <w:rPr>
          <w:rFonts w:eastAsia="SimSun"/>
          <w:lang w:eastAsia="ko-KR"/>
        </w:rPr>
        <w:tab/>
      </w:r>
      <w:r w:rsidR="006F7E96" w:rsidRPr="00CE1814">
        <w:rPr>
          <w:rFonts w:eastAsia="SimSun"/>
          <w:lang w:eastAsia="ko-KR"/>
        </w:rPr>
        <w:t xml:space="preserve">Utilisation et gestion des données de désidentification: </w:t>
      </w:r>
      <w:bookmarkStart w:id="21" w:name="lt_pId119"/>
      <w:bookmarkEnd w:id="20"/>
      <w:r w:rsidR="006F7E96" w:rsidRPr="00CE1814">
        <w:rPr>
          <w:rFonts w:eastAsia="SimSun"/>
          <w:lang w:eastAsia="ko-KR"/>
        </w:rPr>
        <w:t>mesures de sécurité pour les données de désidentification, contrôle des possibilités de réidentification, respect des contrats de fourniture ou de consignation des données de désidentification.</w:t>
      </w:r>
      <w:bookmarkEnd w:id="21"/>
    </w:p>
    <w:p w14:paraId="54F7CD8D" w14:textId="7952B28D" w:rsidR="006F7E96" w:rsidRPr="00CE1814" w:rsidRDefault="006F7E96" w:rsidP="00FD7764">
      <w:pPr>
        <w:rPr>
          <w:rFonts w:eastAsia="MS Mincho"/>
          <w:szCs w:val="24"/>
        </w:rPr>
      </w:pPr>
      <w:bookmarkStart w:id="22" w:name="lt_pId120"/>
      <w:r w:rsidRPr="00CE1814">
        <w:rPr>
          <w:rFonts w:eastAsia="MS Mincho"/>
          <w:szCs w:val="24"/>
        </w:rPr>
        <w:t>Cette Recommandation définit l'assurance de la désidentification des données. Elle fournit également un ensemble d'exigences relatives à la gestion de l'assurance de la désidentification des données, y compris l'évaluation des risques liés aux données, l'évaluation des risques liés à l'environnement d'utilisation des données et l'utilisation et la gestion des données désidentifiées.</w:t>
      </w:r>
      <w:bookmarkEnd w:id="22"/>
    </w:p>
    <w:p w14:paraId="419574F6" w14:textId="63E8FB5B" w:rsidR="006F7E96" w:rsidRPr="00CE1814" w:rsidRDefault="00FD7764" w:rsidP="00851B1F">
      <w:pPr>
        <w:pStyle w:val="Heading1"/>
        <w:spacing w:before="360"/>
        <w:rPr>
          <w:szCs w:val="24"/>
        </w:rPr>
      </w:pPr>
      <w:bookmarkStart w:id="23" w:name="lt_pId122"/>
      <w:r w:rsidRPr="00CE1814">
        <w:rPr>
          <w:szCs w:val="24"/>
        </w:rPr>
        <w:t>6</w:t>
      </w:r>
      <w:r w:rsidRPr="00CE1814">
        <w:rPr>
          <w:szCs w:val="24"/>
        </w:rPr>
        <w:tab/>
      </w:r>
      <w:r w:rsidR="006F7E96" w:rsidRPr="00CE1814">
        <w:rPr>
          <w:szCs w:val="24"/>
        </w:rPr>
        <w:t>Projet de nouvelle Recommandation UIT-T X.1817 (X.5Gsec-message) [</w:t>
      </w:r>
      <w:hyperlink r:id="rId18" w:history="1">
        <w:r w:rsidR="006F7E96" w:rsidRPr="00CE1814">
          <w:rPr>
            <w:rStyle w:val="Hyperlink"/>
            <w:szCs w:val="24"/>
          </w:rPr>
          <w:t>R33</w:t>
        </w:r>
      </w:hyperlink>
      <w:r w:rsidR="006F7E96" w:rsidRPr="00CE1814">
        <w:rPr>
          <w:szCs w:val="24"/>
        </w:rPr>
        <w:t>]</w:t>
      </w:r>
      <w:bookmarkEnd w:id="23"/>
    </w:p>
    <w:p w14:paraId="1DB4D9EF" w14:textId="2BFE9BD6" w:rsidR="006F7E96" w:rsidRPr="00CE1814" w:rsidRDefault="006F7E96" w:rsidP="006F7E96">
      <w:pPr>
        <w:rPr>
          <w:szCs w:val="24"/>
        </w:rPr>
      </w:pPr>
      <w:bookmarkStart w:id="24" w:name="lt_pId123"/>
      <w:r w:rsidRPr="00CE1814">
        <w:rPr>
          <w:szCs w:val="24"/>
        </w:rPr>
        <w:t>Exigences de sécurité relatives au service de messagerie de la 5G</w:t>
      </w:r>
      <w:bookmarkEnd w:id="24"/>
    </w:p>
    <w:p w14:paraId="3E197420" w14:textId="77777777" w:rsidR="006F7E96" w:rsidRPr="00CE1814" w:rsidRDefault="006F7E96" w:rsidP="00FD7764">
      <w:pPr>
        <w:pStyle w:val="headingb"/>
      </w:pPr>
      <w:r w:rsidRPr="00CE1814">
        <w:t>Résumé</w:t>
      </w:r>
    </w:p>
    <w:p w14:paraId="7188C258" w14:textId="629D039E" w:rsidR="006F7E96" w:rsidRPr="00CE1814" w:rsidRDefault="006F7E96" w:rsidP="00FD7764">
      <w:pPr>
        <w:rPr>
          <w:rFonts w:eastAsia="MS Mincho"/>
          <w:szCs w:val="24"/>
        </w:rPr>
      </w:pPr>
      <w:bookmarkStart w:id="25" w:name="lt_pId125"/>
      <w:r w:rsidRPr="00CE1814">
        <w:rPr>
          <w:rFonts w:eastAsia="MS Mincho"/>
          <w:szCs w:val="24"/>
        </w:rPr>
        <w:t>Cette Recommandation fournit les exigences de sécurité relatives</w:t>
      </w:r>
      <w:r w:rsidR="00320D4A">
        <w:rPr>
          <w:rFonts w:eastAsia="MS Mincho"/>
          <w:szCs w:val="24"/>
        </w:rPr>
        <w:t xml:space="preserve"> au service de messagerie de la </w:t>
      </w:r>
      <w:r w:rsidRPr="00CE1814">
        <w:rPr>
          <w:rFonts w:eastAsia="MS Mincho"/>
          <w:szCs w:val="24"/>
        </w:rPr>
        <w:t>5G, y compris les exigences relatives à la sécurité de l'utilisation, les exigences relatives à la sécurité de la gestion et les exigences relatives à la sécurité du contrôle pour le service de messagerie de la</w:t>
      </w:r>
      <w:r w:rsidR="00FD7764" w:rsidRPr="00CE1814">
        <w:rPr>
          <w:rFonts w:eastAsia="MS Mincho"/>
          <w:szCs w:val="24"/>
        </w:rPr>
        <w:t> </w:t>
      </w:r>
      <w:r w:rsidRPr="00CE1814">
        <w:rPr>
          <w:rFonts w:eastAsia="MS Mincho"/>
          <w:szCs w:val="24"/>
        </w:rPr>
        <w:t>5G.</w:t>
      </w:r>
      <w:bookmarkEnd w:id="25"/>
    </w:p>
    <w:p w14:paraId="2D9F4AC5" w14:textId="77777777" w:rsidR="006F7E96" w:rsidRPr="00CE1814" w:rsidRDefault="006F7E96" w:rsidP="006F7E96">
      <w:pPr>
        <w:rPr>
          <w:szCs w:val="24"/>
        </w:rPr>
      </w:pPr>
      <w:r w:rsidRPr="00CE1814">
        <w:rPr>
          <w:szCs w:val="24"/>
        </w:rPr>
        <w:br w:type="page"/>
      </w:r>
    </w:p>
    <w:p w14:paraId="53043F88" w14:textId="53662E79" w:rsidR="006F7E96" w:rsidRPr="00CE1814" w:rsidRDefault="006F7E96" w:rsidP="006F7E96">
      <w:pPr>
        <w:pStyle w:val="Annextitle0"/>
        <w:rPr>
          <w:lang w:val="fr-FR"/>
        </w:rPr>
      </w:pPr>
      <w:r w:rsidRPr="00CE1814">
        <w:rPr>
          <w:lang w:val="fr-FR"/>
        </w:rPr>
        <w:lastRenderedPageBreak/>
        <w:t>Annexe 2</w:t>
      </w:r>
      <w:r w:rsidR="00851B1F">
        <w:rPr>
          <w:lang w:val="fr-FR"/>
        </w:rPr>
        <w:br/>
      </w:r>
      <w:r w:rsidR="00851B1F">
        <w:rPr>
          <w:lang w:val="fr-FR"/>
        </w:rPr>
        <w:br/>
      </w:r>
      <w:r w:rsidRPr="00CE1814">
        <w:rPr>
          <w:lang w:val="fr-FR"/>
        </w:rPr>
        <w:t>Objet: Réponse des États Membres à la Circulaire TSB 79:</w:t>
      </w:r>
      <w:r w:rsidRPr="00CE1814">
        <w:rPr>
          <w:lang w:val="fr-FR"/>
        </w:rPr>
        <w:br/>
        <w:t>Consultation au sujet des textes déterminés des projets de nouvelle Recommandation UIT-T X.1333 Cor.1, X.1353 (X.ztd-iot), X.1471 (X.websec-7), X.1645 (X.nssa-cc), X.1771 (X.rdda) et X.1817 (X.5Gsec-message)</w:t>
      </w:r>
    </w:p>
    <w:tbl>
      <w:tblPr>
        <w:tblW w:w="9639" w:type="dxa"/>
        <w:tblLayout w:type="fixed"/>
        <w:tblLook w:val="04A0" w:firstRow="1" w:lastRow="0" w:firstColumn="1" w:lastColumn="0" w:noHBand="0" w:noVBand="1"/>
      </w:tblPr>
      <w:tblGrid>
        <w:gridCol w:w="1276"/>
        <w:gridCol w:w="4111"/>
        <w:gridCol w:w="1276"/>
        <w:gridCol w:w="2976"/>
      </w:tblGrid>
      <w:tr w:rsidR="006F7E96" w:rsidRPr="00CE1814" w14:paraId="4D3430D7" w14:textId="77777777" w:rsidTr="00E30653">
        <w:tc>
          <w:tcPr>
            <w:tcW w:w="1276" w:type="dxa"/>
            <w:shd w:val="clear" w:color="auto" w:fill="auto"/>
          </w:tcPr>
          <w:p w14:paraId="650627AF" w14:textId="77777777" w:rsidR="006F7E96" w:rsidRPr="00CE1814" w:rsidRDefault="006F7E96" w:rsidP="00E30653">
            <w:pPr>
              <w:jc w:val="right"/>
            </w:pPr>
            <w:r w:rsidRPr="00CE1814">
              <w:rPr>
                <w:b/>
                <w:bCs/>
              </w:rPr>
              <w:t>Au</w:t>
            </w:r>
            <w:r w:rsidRPr="00CE1814">
              <w:t>:</w:t>
            </w:r>
          </w:p>
        </w:tc>
        <w:tc>
          <w:tcPr>
            <w:tcW w:w="4111" w:type="dxa"/>
            <w:tcBorders>
              <w:right w:val="single" w:sz="8" w:space="0" w:color="auto"/>
            </w:tcBorders>
            <w:shd w:val="clear" w:color="auto" w:fill="auto"/>
          </w:tcPr>
          <w:p w14:paraId="382D5844" w14:textId="77777777" w:rsidR="006F7E96" w:rsidRPr="00CE1814" w:rsidRDefault="006F7E96" w:rsidP="00E30653">
            <w:pPr>
              <w:rPr>
                <w:bCs/>
              </w:rPr>
            </w:pPr>
            <w:r w:rsidRPr="00CE1814">
              <w:rPr>
                <w:bCs/>
              </w:rPr>
              <w:t>Directeur du Bureau de la normalisation des télécommunications</w:t>
            </w:r>
          </w:p>
          <w:p w14:paraId="3E9FED90" w14:textId="77777777" w:rsidR="006F7E96" w:rsidRPr="00CE1814" w:rsidRDefault="006F7E96" w:rsidP="00E30653">
            <w:pPr>
              <w:spacing w:before="0"/>
              <w:rPr>
                <w:bCs/>
              </w:rPr>
            </w:pPr>
            <w:r w:rsidRPr="00CE1814">
              <w:rPr>
                <w:bCs/>
              </w:rPr>
              <w:t xml:space="preserve">Union internationale des </w:t>
            </w:r>
            <w:r w:rsidRPr="00CE1814">
              <w:rPr>
                <w:bCs/>
              </w:rPr>
              <w:br/>
              <w:t>télécommunications</w:t>
            </w:r>
          </w:p>
          <w:p w14:paraId="18698462" w14:textId="77777777" w:rsidR="006F7E96" w:rsidRPr="00CE1814" w:rsidRDefault="006F7E96" w:rsidP="00E30653">
            <w:pPr>
              <w:spacing w:before="0"/>
              <w:rPr>
                <w:bCs/>
              </w:rPr>
            </w:pPr>
            <w:r w:rsidRPr="00CE1814">
              <w:rPr>
                <w:bCs/>
              </w:rPr>
              <w:t>Place des Nations</w:t>
            </w:r>
          </w:p>
          <w:p w14:paraId="230859A1" w14:textId="77777777" w:rsidR="006F7E96" w:rsidRPr="00CE1814" w:rsidRDefault="006F7E96" w:rsidP="00E30653">
            <w:pPr>
              <w:spacing w:before="0" w:after="120"/>
            </w:pPr>
            <w:r w:rsidRPr="00CE1814">
              <w:rPr>
                <w:bCs/>
              </w:rPr>
              <w:t>CH-1211 Genève 20, Suisse</w:t>
            </w:r>
          </w:p>
        </w:tc>
        <w:tc>
          <w:tcPr>
            <w:tcW w:w="1276" w:type="dxa"/>
            <w:tcBorders>
              <w:left w:val="single" w:sz="8" w:space="0" w:color="auto"/>
            </w:tcBorders>
            <w:shd w:val="clear" w:color="auto" w:fill="auto"/>
          </w:tcPr>
          <w:p w14:paraId="1263278B" w14:textId="77777777" w:rsidR="006F7E96" w:rsidRPr="00CE1814" w:rsidRDefault="006F7E96" w:rsidP="00E30653">
            <w:pPr>
              <w:jc w:val="right"/>
            </w:pPr>
            <w:r w:rsidRPr="00CE1814">
              <w:rPr>
                <w:b/>
                <w:bCs/>
              </w:rPr>
              <w:t>De</w:t>
            </w:r>
            <w:r w:rsidRPr="00CE1814">
              <w:rPr>
                <w:bCs/>
              </w:rPr>
              <w:t>:</w:t>
            </w:r>
          </w:p>
        </w:tc>
        <w:tc>
          <w:tcPr>
            <w:tcW w:w="2976" w:type="dxa"/>
            <w:shd w:val="clear" w:color="auto" w:fill="auto"/>
          </w:tcPr>
          <w:p w14:paraId="00F0BFDD" w14:textId="77777777" w:rsidR="006F7E96" w:rsidRPr="00CE1814" w:rsidRDefault="006F7E96" w:rsidP="00E30653">
            <w:pPr>
              <w:rPr>
                <w:bCs/>
                <w:highlight w:val="green"/>
              </w:rPr>
            </w:pPr>
            <w:r w:rsidRPr="00CE1814">
              <w:rPr>
                <w:bCs/>
                <w:highlight w:val="green"/>
              </w:rPr>
              <w:t>[Nom]</w:t>
            </w:r>
          </w:p>
          <w:p w14:paraId="2EFD35E3" w14:textId="77777777" w:rsidR="006F7E96" w:rsidRPr="00CE1814" w:rsidRDefault="006F7E96" w:rsidP="00E30653">
            <w:pPr>
              <w:spacing w:before="0"/>
              <w:rPr>
                <w:bCs/>
                <w:highlight w:val="green"/>
              </w:rPr>
            </w:pPr>
            <w:r w:rsidRPr="00CE1814">
              <w:rPr>
                <w:bCs/>
                <w:highlight w:val="green"/>
              </w:rPr>
              <w:t>[Rôle/titre officiel]</w:t>
            </w:r>
          </w:p>
          <w:p w14:paraId="43090C93" w14:textId="77777777" w:rsidR="006F7E96" w:rsidRPr="00CE1814" w:rsidRDefault="006F7E96" w:rsidP="00E30653">
            <w:pPr>
              <w:spacing w:before="0"/>
            </w:pPr>
            <w:r w:rsidRPr="00CE1814">
              <w:rPr>
                <w:bCs/>
                <w:highlight w:val="green"/>
              </w:rPr>
              <w:t>[Adresse]</w:t>
            </w:r>
          </w:p>
        </w:tc>
      </w:tr>
      <w:tr w:rsidR="006F7E96" w:rsidRPr="00CE1814" w14:paraId="406982C7" w14:textId="77777777" w:rsidTr="00E30653">
        <w:trPr>
          <w:trHeight w:val="770"/>
        </w:trPr>
        <w:tc>
          <w:tcPr>
            <w:tcW w:w="1276" w:type="dxa"/>
            <w:shd w:val="clear" w:color="auto" w:fill="auto"/>
          </w:tcPr>
          <w:p w14:paraId="66428A8F" w14:textId="77777777" w:rsidR="006F7E96" w:rsidRPr="00CE1814" w:rsidRDefault="006F7E96" w:rsidP="00E30653">
            <w:pPr>
              <w:jc w:val="right"/>
            </w:pPr>
            <w:r w:rsidRPr="00CE1814">
              <w:rPr>
                <w:b/>
                <w:bCs/>
              </w:rPr>
              <w:t>Télécopie</w:t>
            </w:r>
            <w:r w:rsidRPr="00CE1814">
              <w:rPr>
                <w:bCs/>
              </w:rPr>
              <w:t>:</w:t>
            </w:r>
            <w:r w:rsidRPr="00CE1814">
              <w:rPr>
                <w:bCs/>
              </w:rPr>
              <w:br/>
            </w:r>
            <w:r w:rsidRPr="00CE1814">
              <w:rPr>
                <w:b/>
                <w:bCs/>
              </w:rPr>
              <w:t>Courriel</w:t>
            </w:r>
            <w:r w:rsidRPr="00CE1814">
              <w:rPr>
                <w:bCs/>
              </w:rPr>
              <w:t>:</w:t>
            </w:r>
          </w:p>
        </w:tc>
        <w:tc>
          <w:tcPr>
            <w:tcW w:w="4111" w:type="dxa"/>
            <w:tcBorders>
              <w:right w:val="single" w:sz="8" w:space="0" w:color="auto"/>
            </w:tcBorders>
            <w:shd w:val="clear" w:color="auto" w:fill="auto"/>
          </w:tcPr>
          <w:p w14:paraId="21CA83B7" w14:textId="77777777" w:rsidR="006F7E96" w:rsidRPr="00CE1814" w:rsidRDefault="006F7E96" w:rsidP="00E30653">
            <w:r w:rsidRPr="00CE1814">
              <w:rPr>
                <w:bCs/>
              </w:rPr>
              <w:t>+41 22 730 5853</w:t>
            </w:r>
            <w:r w:rsidRPr="00CE1814">
              <w:rPr>
                <w:bCs/>
              </w:rPr>
              <w:br/>
            </w:r>
            <w:hyperlink r:id="rId19" w:history="1">
              <w:r w:rsidRPr="00CE1814">
                <w:rPr>
                  <w:rStyle w:val="Hyperlink"/>
                  <w:bCs/>
                </w:rPr>
                <w:t>tsbdir@itu.int</w:t>
              </w:r>
            </w:hyperlink>
            <w:r w:rsidRPr="00CE1814">
              <w:rPr>
                <w:bCs/>
              </w:rPr>
              <w:t xml:space="preserve"> </w:t>
            </w:r>
          </w:p>
        </w:tc>
        <w:tc>
          <w:tcPr>
            <w:tcW w:w="1276" w:type="dxa"/>
            <w:tcBorders>
              <w:left w:val="single" w:sz="8" w:space="0" w:color="auto"/>
            </w:tcBorders>
            <w:shd w:val="clear" w:color="auto" w:fill="auto"/>
          </w:tcPr>
          <w:p w14:paraId="712BCF4E" w14:textId="77777777" w:rsidR="006F7E96" w:rsidRPr="00CE1814" w:rsidRDefault="006F7E96" w:rsidP="00E30653">
            <w:pPr>
              <w:jc w:val="right"/>
            </w:pPr>
            <w:r w:rsidRPr="00CE1814">
              <w:rPr>
                <w:b/>
                <w:bCs/>
              </w:rPr>
              <w:t>Télécopie</w:t>
            </w:r>
            <w:r w:rsidRPr="00CE1814">
              <w:t>:</w:t>
            </w:r>
            <w:r w:rsidRPr="00CE1814">
              <w:rPr>
                <w:b/>
                <w:bCs/>
              </w:rPr>
              <w:br/>
              <w:t>Courriel</w:t>
            </w:r>
            <w:r w:rsidRPr="00CE1814">
              <w:rPr>
                <w:bCs/>
              </w:rPr>
              <w:t>:</w:t>
            </w:r>
          </w:p>
        </w:tc>
        <w:tc>
          <w:tcPr>
            <w:tcW w:w="2976" w:type="dxa"/>
            <w:shd w:val="clear" w:color="auto" w:fill="auto"/>
          </w:tcPr>
          <w:p w14:paraId="38BCDCA5" w14:textId="77777777" w:rsidR="006F7E96" w:rsidRPr="00CE1814" w:rsidRDefault="006F7E96" w:rsidP="00E30653"/>
        </w:tc>
      </w:tr>
      <w:tr w:rsidR="006F7E96" w:rsidRPr="00CE1814" w14:paraId="6AC8956B" w14:textId="77777777" w:rsidTr="00E30653">
        <w:trPr>
          <w:trHeight w:val="543"/>
        </w:trPr>
        <w:tc>
          <w:tcPr>
            <w:tcW w:w="1276" w:type="dxa"/>
            <w:shd w:val="clear" w:color="auto" w:fill="auto"/>
          </w:tcPr>
          <w:p w14:paraId="2ACAE828" w14:textId="77777777" w:rsidR="006F7E96" w:rsidRPr="00CE1814" w:rsidRDefault="006F7E96" w:rsidP="00E30653">
            <w:pPr>
              <w:jc w:val="right"/>
              <w:rPr>
                <w:b/>
                <w:bCs/>
              </w:rPr>
            </w:pPr>
          </w:p>
        </w:tc>
        <w:tc>
          <w:tcPr>
            <w:tcW w:w="4111" w:type="dxa"/>
            <w:tcBorders>
              <w:right w:val="single" w:sz="8" w:space="0" w:color="auto"/>
            </w:tcBorders>
            <w:shd w:val="clear" w:color="auto" w:fill="auto"/>
          </w:tcPr>
          <w:p w14:paraId="45391488" w14:textId="77777777" w:rsidR="006F7E96" w:rsidRPr="00CE1814" w:rsidRDefault="006F7E96" w:rsidP="00E30653">
            <w:pPr>
              <w:rPr>
                <w:bCs/>
              </w:rPr>
            </w:pPr>
          </w:p>
        </w:tc>
        <w:tc>
          <w:tcPr>
            <w:tcW w:w="1276" w:type="dxa"/>
            <w:tcBorders>
              <w:left w:val="single" w:sz="8" w:space="0" w:color="auto"/>
            </w:tcBorders>
            <w:shd w:val="clear" w:color="auto" w:fill="auto"/>
          </w:tcPr>
          <w:p w14:paraId="39D5829E" w14:textId="77777777" w:rsidR="006F7E96" w:rsidRPr="00CE1814" w:rsidRDefault="006F7E96" w:rsidP="00E30653">
            <w:pPr>
              <w:jc w:val="right"/>
              <w:rPr>
                <w:b/>
                <w:bCs/>
              </w:rPr>
            </w:pPr>
            <w:r w:rsidRPr="00CE1814">
              <w:rPr>
                <w:b/>
                <w:bCs/>
              </w:rPr>
              <w:t>Date:</w:t>
            </w:r>
          </w:p>
        </w:tc>
        <w:tc>
          <w:tcPr>
            <w:tcW w:w="2976" w:type="dxa"/>
            <w:shd w:val="clear" w:color="auto" w:fill="auto"/>
          </w:tcPr>
          <w:p w14:paraId="4F00BFBD" w14:textId="77777777" w:rsidR="006F7E96" w:rsidRPr="00CE1814" w:rsidRDefault="006F7E96" w:rsidP="00E30653">
            <w:r w:rsidRPr="00CE1814">
              <w:rPr>
                <w:highlight w:val="green"/>
              </w:rPr>
              <w:t>[Lieu,] [Date]</w:t>
            </w:r>
          </w:p>
        </w:tc>
      </w:tr>
    </w:tbl>
    <w:p w14:paraId="2C1908F5" w14:textId="77777777" w:rsidR="006F7E96" w:rsidRPr="00CE1814" w:rsidRDefault="006F7E96" w:rsidP="006F7E96">
      <w:pPr>
        <w:spacing w:before="240"/>
      </w:pPr>
      <w:r w:rsidRPr="00CE1814">
        <w:t>Madame, Monsieur,</w:t>
      </w:r>
    </w:p>
    <w:p w14:paraId="577965CF" w14:textId="5279D397" w:rsidR="006F7E96" w:rsidRPr="00CE1814" w:rsidRDefault="006F7E96" w:rsidP="006F7E96">
      <w:pPr>
        <w:spacing w:after="240"/>
      </w:pPr>
      <w:r w:rsidRPr="00CE1814">
        <w:t>Dans le cadre de la consultation des États Membres au sujet des projets de textes déterminés dont il est question dans la Circulaire TSB 79, je souhaite vous faire connaître par la présente le point de vue de mon Administration, qui figure dans le tableau ci-après.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17"/>
      </w:tblGrid>
      <w:tr w:rsidR="006F7E96" w:rsidRPr="00CE1814" w14:paraId="6645C450" w14:textId="77777777" w:rsidTr="00FD7764">
        <w:trPr>
          <w:tblHeader/>
        </w:trPr>
        <w:tc>
          <w:tcPr>
            <w:tcW w:w="2122" w:type="dxa"/>
            <w:shd w:val="clear" w:color="auto" w:fill="auto"/>
            <w:vAlign w:val="center"/>
          </w:tcPr>
          <w:p w14:paraId="6743A8FD" w14:textId="77777777" w:rsidR="006F7E96" w:rsidRPr="00CE1814" w:rsidRDefault="006F7E96" w:rsidP="00E30653">
            <w:pPr>
              <w:rPr>
                <w:b/>
                <w:bCs/>
              </w:rPr>
            </w:pPr>
          </w:p>
        </w:tc>
        <w:tc>
          <w:tcPr>
            <w:tcW w:w="7517" w:type="dxa"/>
            <w:shd w:val="clear" w:color="auto" w:fill="auto"/>
            <w:vAlign w:val="center"/>
          </w:tcPr>
          <w:p w14:paraId="29B6D63E" w14:textId="77777777" w:rsidR="006F7E96" w:rsidRPr="00CE1814" w:rsidRDefault="006F7E96" w:rsidP="00E30653">
            <w:pPr>
              <w:pStyle w:val="TableHead"/>
            </w:pPr>
            <w:r w:rsidRPr="00CE1814">
              <w:t>Cochez l'une des deux cases pour chaque texte</w:t>
            </w:r>
          </w:p>
        </w:tc>
      </w:tr>
      <w:tr w:rsidR="006F7E96" w:rsidRPr="00CE1814" w14:paraId="6E52039E" w14:textId="77777777" w:rsidTr="00FD7764">
        <w:trPr>
          <w:trHeight w:val="748"/>
        </w:trPr>
        <w:tc>
          <w:tcPr>
            <w:tcW w:w="2122" w:type="dxa"/>
            <w:vMerge w:val="restart"/>
            <w:shd w:val="clear" w:color="auto" w:fill="auto"/>
            <w:vAlign w:val="center"/>
          </w:tcPr>
          <w:p w14:paraId="1D892F52" w14:textId="77777777" w:rsidR="006F7E96" w:rsidRPr="00CE1814" w:rsidRDefault="006F7E96" w:rsidP="00E30653">
            <w:pPr>
              <w:pStyle w:val="TableHead"/>
            </w:pPr>
            <w:r w:rsidRPr="00CE1814">
              <w:t>Projet de Corrigendum 1 à la Recommandation UIT-T X.1333</w:t>
            </w:r>
          </w:p>
        </w:tc>
        <w:tc>
          <w:tcPr>
            <w:tcW w:w="7517" w:type="dxa"/>
            <w:shd w:val="clear" w:color="auto" w:fill="auto"/>
            <w:vAlign w:val="center"/>
          </w:tcPr>
          <w:p w14:paraId="32E912BD" w14:textId="77777777" w:rsidR="006F7E96" w:rsidRPr="00CE1814" w:rsidRDefault="006F7E96" w:rsidP="00E306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CE1814">
              <w:fldChar w:fldCharType="begin">
                <w:ffData>
                  <w:name w:val="Check1"/>
                  <w:enabled/>
                  <w:calcOnExit w:val="0"/>
                  <w:checkBox>
                    <w:sizeAuto/>
                    <w:default w:val="0"/>
                  </w:checkBox>
                </w:ffData>
              </w:fldChar>
            </w:r>
            <w:r w:rsidRPr="00CE1814">
              <w:instrText xml:space="preserve"> FORMCHECKBOX </w:instrText>
            </w:r>
            <w:r w:rsidR="00BA1070">
              <w:fldChar w:fldCharType="separate"/>
            </w:r>
            <w:r w:rsidRPr="00CE1814">
              <w:fldChar w:fldCharType="end"/>
            </w:r>
            <w:r w:rsidRPr="00CE1814">
              <w:tab/>
            </w:r>
            <w:r w:rsidRPr="00CE1814">
              <w:rPr>
                <w:b/>
                <w:bCs/>
              </w:rPr>
              <w:t>autorise</w:t>
            </w:r>
            <w:r w:rsidRPr="00CE1814">
              <w:t xml:space="preserve"> la Commission d'études 17 à procéder à l'examen de ce document en vue de son approbation (dans ce cas, sélectionnez l'une des deux options ⃝):</w:t>
            </w:r>
          </w:p>
          <w:p w14:paraId="3280AE1C" w14:textId="77777777" w:rsidR="006F7E96" w:rsidRPr="00CE1814" w:rsidRDefault="006F7E96" w:rsidP="00E306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E1814">
              <w:tab/>
              <w:t>⃝</w:t>
            </w:r>
            <w:r w:rsidRPr="00CE1814">
              <w:tab/>
              <w:t>Pas de commentaire ou de proposition de modification</w:t>
            </w:r>
          </w:p>
          <w:p w14:paraId="0DA42CA9" w14:textId="1513851A" w:rsidR="006F7E96" w:rsidRPr="00CE1814" w:rsidRDefault="006F7E96" w:rsidP="00320D4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440" w:hanging="699"/>
            </w:pPr>
            <w:r w:rsidRPr="00CE1814">
              <w:t>⃝</w:t>
            </w:r>
            <w:r w:rsidRPr="00CE1814">
              <w:tab/>
              <w:t>Des commentaires ou propositions</w:t>
            </w:r>
            <w:r w:rsidR="00320D4A">
              <w:t xml:space="preserve"> de modification sont joints à </w:t>
            </w:r>
            <w:r w:rsidRPr="00CE1814">
              <w:t>la présente</w:t>
            </w:r>
          </w:p>
        </w:tc>
      </w:tr>
      <w:tr w:rsidR="006F7E96" w:rsidRPr="00CE1814" w14:paraId="02CDA3FD" w14:textId="77777777" w:rsidTr="00FD7764">
        <w:trPr>
          <w:trHeight w:val="748"/>
        </w:trPr>
        <w:tc>
          <w:tcPr>
            <w:tcW w:w="2122" w:type="dxa"/>
            <w:vMerge/>
            <w:shd w:val="clear" w:color="auto" w:fill="auto"/>
            <w:vAlign w:val="center"/>
          </w:tcPr>
          <w:p w14:paraId="5B61B564" w14:textId="77777777" w:rsidR="006F7E96" w:rsidRPr="00CE1814" w:rsidRDefault="006F7E96" w:rsidP="00E30653">
            <w:pPr>
              <w:rPr>
                <w:b/>
              </w:rPr>
            </w:pPr>
          </w:p>
        </w:tc>
        <w:tc>
          <w:tcPr>
            <w:tcW w:w="7517" w:type="dxa"/>
            <w:shd w:val="clear" w:color="auto" w:fill="auto"/>
            <w:vAlign w:val="center"/>
          </w:tcPr>
          <w:p w14:paraId="4E7893DF" w14:textId="77777777" w:rsidR="006F7E96" w:rsidRPr="00CE1814" w:rsidRDefault="006F7E96" w:rsidP="00E306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CE1814">
              <w:fldChar w:fldCharType="begin">
                <w:ffData>
                  <w:name w:val="Check1"/>
                  <w:enabled/>
                  <w:calcOnExit w:val="0"/>
                  <w:checkBox>
                    <w:sizeAuto/>
                    <w:default w:val="0"/>
                  </w:checkBox>
                </w:ffData>
              </w:fldChar>
            </w:r>
            <w:r w:rsidRPr="00CE1814">
              <w:instrText xml:space="preserve"> FORMCHECKBOX </w:instrText>
            </w:r>
            <w:r w:rsidR="00BA1070">
              <w:fldChar w:fldCharType="separate"/>
            </w:r>
            <w:r w:rsidRPr="00CE1814">
              <w:fldChar w:fldCharType="end"/>
            </w:r>
            <w:r w:rsidRPr="00CE1814">
              <w:tab/>
            </w:r>
            <w:r w:rsidRPr="00CE1814">
              <w:rPr>
                <w:b/>
                <w:bCs/>
              </w:rPr>
              <w:t>n'autorise pas</w:t>
            </w:r>
            <w:r w:rsidRPr="00CE1814">
              <w:t xml:space="preserve"> la Commission d'études 17 à procéder à l'examen de ce texte en vue de son approbation (les motifs de cette décision et une description des éventuelles modifications qui permettraient la poursuite des travaux sont joints à la présente)</w:t>
            </w:r>
          </w:p>
        </w:tc>
      </w:tr>
      <w:tr w:rsidR="006F7E96" w:rsidRPr="00CE1814" w14:paraId="34A3B115" w14:textId="77777777" w:rsidTr="00FD7764">
        <w:trPr>
          <w:trHeight w:val="557"/>
        </w:trPr>
        <w:tc>
          <w:tcPr>
            <w:tcW w:w="2122" w:type="dxa"/>
            <w:vMerge w:val="restart"/>
            <w:shd w:val="clear" w:color="auto" w:fill="auto"/>
            <w:vAlign w:val="center"/>
          </w:tcPr>
          <w:p w14:paraId="2618C973" w14:textId="77777777" w:rsidR="006F7E96" w:rsidRPr="00CE1814" w:rsidRDefault="006F7E96" w:rsidP="00E30653">
            <w:pPr>
              <w:pStyle w:val="TableHead"/>
              <w:keepNext w:val="0"/>
            </w:pPr>
            <w:r w:rsidRPr="00CE1814">
              <w:t>Projet de nouvelle Recommandation UIT</w:t>
            </w:r>
            <w:r w:rsidRPr="00CE1814">
              <w:rPr>
                <w:szCs w:val="22"/>
              </w:rPr>
              <w:t xml:space="preserve">-T </w:t>
            </w:r>
            <w:r w:rsidRPr="00CE1814">
              <w:rPr>
                <w:bCs/>
                <w:szCs w:val="24"/>
              </w:rPr>
              <w:t>X.1353</w:t>
            </w:r>
            <w:r w:rsidRPr="00CE1814">
              <w:rPr>
                <w:bCs/>
                <w:szCs w:val="24"/>
              </w:rPr>
              <w:br/>
              <w:t>(X.ztd-iot)</w:t>
            </w:r>
          </w:p>
        </w:tc>
        <w:tc>
          <w:tcPr>
            <w:tcW w:w="7517" w:type="dxa"/>
            <w:shd w:val="clear" w:color="auto" w:fill="auto"/>
            <w:vAlign w:val="center"/>
          </w:tcPr>
          <w:p w14:paraId="1FF4FE86" w14:textId="77777777" w:rsidR="006F7E96" w:rsidRPr="00CE1814" w:rsidRDefault="006F7E96" w:rsidP="00E306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CE1814">
              <w:fldChar w:fldCharType="begin">
                <w:ffData>
                  <w:name w:val="Check1"/>
                  <w:enabled/>
                  <w:calcOnExit w:val="0"/>
                  <w:checkBox>
                    <w:sizeAuto/>
                    <w:default w:val="0"/>
                  </w:checkBox>
                </w:ffData>
              </w:fldChar>
            </w:r>
            <w:r w:rsidRPr="00CE1814">
              <w:instrText xml:space="preserve"> FORMCHECKBOX </w:instrText>
            </w:r>
            <w:r w:rsidR="00BA1070">
              <w:fldChar w:fldCharType="separate"/>
            </w:r>
            <w:r w:rsidRPr="00CE1814">
              <w:fldChar w:fldCharType="end"/>
            </w:r>
            <w:r w:rsidRPr="00CE1814">
              <w:tab/>
            </w:r>
            <w:r w:rsidRPr="00CE1814">
              <w:rPr>
                <w:b/>
                <w:bCs/>
              </w:rPr>
              <w:t>autorise</w:t>
            </w:r>
            <w:r w:rsidRPr="00CE1814">
              <w:t xml:space="preserve"> la Commission d'études 17 à procéder à l'examen de ce texte en vue de son approbation (dans ce cas, sélectionnez l'une des deux options ⃝):</w:t>
            </w:r>
          </w:p>
          <w:p w14:paraId="14D51893" w14:textId="77777777" w:rsidR="006F7E96" w:rsidRPr="00CE1814" w:rsidRDefault="006F7E96" w:rsidP="00E306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E1814">
              <w:tab/>
              <w:t>⃝</w:t>
            </w:r>
            <w:r w:rsidRPr="00CE1814">
              <w:tab/>
              <w:t>Pas de commentaire ou de proposition de modification</w:t>
            </w:r>
          </w:p>
          <w:p w14:paraId="4E1C743A" w14:textId="77777777" w:rsidR="006F7E96" w:rsidRPr="00CE1814" w:rsidRDefault="006F7E96" w:rsidP="00E306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CE1814">
              <w:tab/>
              <w:t>⃝</w:t>
            </w:r>
            <w:r w:rsidRPr="00CE1814">
              <w:tab/>
              <w:t xml:space="preserve">Des commentaires ou propositions de modification sont joints à </w:t>
            </w:r>
            <w:r w:rsidRPr="00CE1814">
              <w:tab/>
              <w:t>la présente</w:t>
            </w:r>
          </w:p>
        </w:tc>
      </w:tr>
      <w:tr w:rsidR="006F7E96" w:rsidRPr="00CE1814" w14:paraId="33B5C408" w14:textId="77777777" w:rsidTr="00FD7764">
        <w:trPr>
          <w:trHeight w:val="557"/>
        </w:trPr>
        <w:tc>
          <w:tcPr>
            <w:tcW w:w="2122" w:type="dxa"/>
            <w:vMerge/>
            <w:shd w:val="clear" w:color="auto" w:fill="auto"/>
            <w:vAlign w:val="center"/>
          </w:tcPr>
          <w:p w14:paraId="06CD4E92" w14:textId="77777777" w:rsidR="006F7E96" w:rsidRPr="00CE1814" w:rsidRDefault="006F7E96" w:rsidP="00E30653">
            <w:pPr>
              <w:pStyle w:val="TableHead"/>
              <w:keepNext w:val="0"/>
            </w:pPr>
          </w:p>
        </w:tc>
        <w:tc>
          <w:tcPr>
            <w:tcW w:w="7517" w:type="dxa"/>
            <w:shd w:val="clear" w:color="auto" w:fill="auto"/>
            <w:vAlign w:val="center"/>
          </w:tcPr>
          <w:p w14:paraId="0D4BE5A6" w14:textId="77777777" w:rsidR="006F7E96" w:rsidRPr="00CE1814" w:rsidRDefault="006F7E96" w:rsidP="00E306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CE1814">
              <w:fldChar w:fldCharType="begin">
                <w:ffData>
                  <w:name w:val="Check1"/>
                  <w:enabled/>
                  <w:calcOnExit w:val="0"/>
                  <w:checkBox>
                    <w:sizeAuto/>
                    <w:default w:val="0"/>
                  </w:checkBox>
                </w:ffData>
              </w:fldChar>
            </w:r>
            <w:r w:rsidRPr="00CE1814">
              <w:instrText xml:space="preserve"> FORMCHECKBOX </w:instrText>
            </w:r>
            <w:r w:rsidR="00BA1070">
              <w:fldChar w:fldCharType="separate"/>
            </w:r>
            <w:r w:rsidRPr="00CE1814">
              <w:fldChar w:fldCharType="end"/>
            </w:r>
            <w:r w:rsidRPr="00CE1814">
              <w:tab/>
            </w:r>
            <w:r w:rsidRPr="00CE1814">
              <w:rPr>
                <w:b/>
                <w:bCs/>
              </w:rPr>
              <w:t>n'autorise pas</w:t>
            </w:r>
            <w:r w:rsidRPr="00CE1814">
              <w:t xml:space="preserve"> la Commission d'études 17 à procéder à l'examen de ce texte en vue de son approbation (les motifs de cette décision et une description des éventuelles modifications qui permettraient la poursuite des travaux sont joints à la présente)</w:t>
            </w:r>
          </w:p>
        </w:tc>
      </w:tr>
      <w:tr w:rsidR="006F7E96" w:rsidRPr="00CE1814" w14:paraId="6D176518" w14:textId="77777777" w:rsidTr="00FD7764">
        <w:trPr>
          <w:trHeight w:val="735"/>
        </w:trPr>
        <w:tc>
          <w:tcPr>
            <w:tcW w:w="2122" w:type="dxa"/>
            <w:vMerge w:val="restart"/>
            <w:shd w:val="clear" w:color="auto" w:fill="auto"/>
            <w:vAlign w:val="center"/>
          </w:tcPr>
          <w:p w14:paraId="5F2E3F9F" w14:textId="77777777" w:rsidR="006F7E96" w:rsidRPr="00CE1814" w:rsidRDefault="006F7E96" w:rsidP="00E30653">
            <w:pPr>
              <w:pStyle w:val="TableHead"/>
            </w:pPr>
            <w:r w:rsidRPr="00CE1814">
              <w:lastRenderedPageBreak/>
              <w:t>Projet de nouvelle Recommandation UIT</w:t>
            </w:r>
            <w:r w:rsidRPr="00CE1814">
              <w:rPr>
                <w:szCs w:val="22"/>
              </w:rPr>
              <w:t xml:space="preserve">-T </w:t>
            </w:r>
            <w:r w:rsidRPr="00CE1814">
              <w:rPr>
                <w:bCs/>
                <w:szCs w:val="24"/>
              </w:rPr>
              <w:t>X.1471 (X.websec-7)</w:t>
            </w:r>
          </w:p>
        </w:tc>
        <w:tc>
          <w:tcPr>
            <w:tcW w:w="7517" w:type="dxa"/>
            <w:shd w:val="clear" w:color="auto" w:fill="auto"/>
            <w:vAlign w:val="center"/>
          </w:tcPr>
          <w:p w14:paraId="0C4B9300" w14:textId="77777777" w:rsidR="006F7E96" w:rsidRPr="00CE1814" w:rsidRDefault="006F7E96" w:rsidP="00E306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CE1814">
              <w:fldChar w:fldCharType="begin">
                <w:ffData>
                  <w:name w:val="Check1"/>
                  <w:enabled/>
                  <w:calcOnExit w:val="0"/>
                  <w:checkBox>
                    <w:sizeAuto/>
                    <w:default w:val="0"/>
                  </w:checkBox>
                </w:ffData>
              </w:fldChar>
            </w:r>
            <w:r w:rsidRPr="00CE1814">
              <w:instrText xml:space="preserve"> FORMCHECKBOX </w:instrText>
            </w:r>
            <w:r w:rsidR="00BA1070">
              <w:fldChar w:fldCharType="separate"/>
            </w:r>
            <w:r w:rsidRPr="00CE1814">
              <w:fldChar w:fldCharType="end"/>
            </w:r>
            <w:r w:rsidRPr="00CE1814">
              <w:tab/>
            </w:r>
            <w:r w:rsidRPr="00CE1814">
              <w:rPr>
                <w:b/>
                <w:bCs/>
              </w:rPr>
              <w:t>autorise</w:t>
            </w:r>
            <w:r w:rsidRPr="00CE1814">
              <w:t xml:space="preserve"> la Commission d'études 17 à procéder à l'examen de ce texte en vue de son approbation (dans ce cas, sélectionnez l'une des deux options ⃝):</w:t>
            </w:r>
          </w:p>
          <w:p w14:paraId="4A53317A" w14:textId="77777777" w:rsidR="006F7E96" w:rsidRPr="00CE1814" w:rsidRDefault="006F7E96" w:rsidP="00E306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E1814">
              <w:tab/>
              <w:t>⃝</w:t>
            </w:r>
            <w:r w:rsidRPr="00CE1814">
              <w:tab/>
              <w:t>Pas de commentaire ou de proposition de modification</w:t>
            </w:r>
          </w:p>
          <w:p w14:paraId="749E0449" w14:textId="77777777" w:rsidR="006F7E96" w:rsidRPr="00CE1814" w:rsidRDefault="006F7E96" w:rsidP="00E306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CE1814">
              <w:tab/>
              <w:t>⃝</w:t>
            </w:r>
            <w:r w:rsidRPr="00CE1814">
              <w:tab/>
              <w:t xml:space="preserve">Des commentaires ou propositions de modification sont joints à </w:t>
            </w:r>
            <w:r w:rsidRPr="00CE1814">
              <w:tab/>
              <w:t>la présente</w:t>
            </w:r>
          </w:p>
        </w:tc>
      </w:tr>
      <w:tr w:rsidR="006F7E96" w:rsidRPr="00CE1814" w14:paraId="7F4E2C18" w14:textId="77777777" w:rsidTr="00FD7764">
        <w:trPr>
          <w:trHeight w:val="735"/>
        </w:trPr>
        <w:tc>
          <w:tcPr>
            <w:tcW w:w="2122" w:type="dxa"/>
            <w:vMerge/>
            <w:shd w:val="clear" w:color="auto" w:fill="auto"/>
            <w:vAlign w:val="center"/>
          </w:tcPr>
          <w:p w14:paraId="358E3E3C" w14:textId="77777777" w:rsidR="006F7E96" w:rsidRPr="00CE1814" w:rsidRDefault="006F7E96" w:rsidP="00E30653">
            <w:pPr>
              <w:pStyle w:val="TableHead"/>
            </w:pPr>
          </w:p>
        </w:tc>
        <w:tc>
          <w:tcPr>
            <w:tcW w:w="7517" w:type="dxa"/>
            <w:shd w:val="clear" w:color="auto" w:fill="auto"/>
            <w:vAlign w:val="center"/>
          </w:tcPr>
          <w:p w14:paraId="2CF648A8" w14:textId="77777777" w:rsidR="006F7E96" w:rsidRPr="00CE1814" w:rsidRDefault="006F7E96" w:rsidP="00E306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CE1814">
              <w:fldChar w:fldCharType="begin">
                <w:ffData>
                  <w:name w:val="Check1"/>
                  <w:enabled/>
                  <w:calcOnExit w:val="0"/>
                  <w:checkBox>
                    <w:sizeAuto/>
                    <w:default w:val="0"/>
                  </w:checkBox>
                </w:ffData>
              </w:fldChar>
            </w:r>
            <w:r w:rsidRPr="00CE1814">
              <w:instrText xml:space="preserve"> FORMCHECKBOX </w:instrText>
            </w:r>
            <w:r w:rsidR="00BA1070">
              <w:fldChar w:fldCharType="separate"/>
            </w:r>
            <w:r w:rsidRPr="00CE1814">
              <w:fldChar w:fldCharType="end"/>
            </w:r>
            <w:r w:rsidRPr="00CE1814">
              <w:tab/>
            </w:r>
            <w:r w:rsidRPr="00CE1814">
              <w:rPr>
                <w:b/>
                <w:bCs/>
              </w:rPr>
              <w:t>n'autorise pas</w:t>
            </w:r>
            <w:r w:rsidRPr="00CE1814">
              <w:t xml:space="preserve"> la Commission d'études 17 à procéder à l'examen de ce texte en vue de son approbation (les motifs de cette décision et une description des éventuelles modifications qui permettraient la poursuite des travaux sont joints à la présente)</w:t>
            </w:r>
          </w:p>
        </w:tc>
      </w:tr>
      <w:tr w:rsidR="006F7E96" w:rsidRPr="00CE1814" w14:paraId="6E5344E1" w14:textId="77777777" w:rsidTr="00FD7764">
        <w:trPr>
          <w:cantSplit/>
          <w:trHeight w:val="357"/>
        </w:trPr>
        <w:tc>
          <w:tcPr>
            <w:tcW w:w="2122" w:type="dxa"/>
            <w:vMerge w:val="restart"/>
            <w:shd w:val="clear" w:color="auto" w:fill="auto"/>
            <w:vAlign w:val="center"/>
          </w:tcPr>
          <w:p w14:paraId="6605AF15" w14:textId="3D2098CA" w:rsidR="006F7E96" w:rsidRPr="00CE1814" w:rsidRDefault="006F7E96" w:rsidP="000152CA">
            <w:pPr>
              <w:pStyle w:val="TableHead"/>
            </w:pPr>
            <w:r w:rsidRPr="00CE1814">
              <w:t>Projet de nouvelle Recommandation UIT-T X.1645</w:t>
            </w:r>
            <w:r w:rsidRPr="00CE1814">
              <w:br/>
              <w:t>(X.nssa-cc)</w:t>
            </w:r>
          </w:p>
        </w:tc>
        <w:tc>
          <w:tcPr>
            <w:tcW w:w="7512" w:type="dxa"/>
            <w:shd w:val="clear" w:color="auto" w:fill="auto"/>
            <w:vAlign w:val="center"/>
          </w:tcPr>
          <w:p w14:paraId="031AA667" w14:textId="77777777" w:rsidR="006F7E96" w:rsidRPr="00CE1814" w:rsidRDefault="006F7E96" w:rsidP="000152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rPr>
                <w:szCs w:val="22"/>
              </w:rPr>
            </w:pPr>
            <w:r w:rsidRPr="00CE1814">
              <w:rPr>
                <w:szCs w:val="22"/>
              </w:rPr>
              <w:fldChar w:fldCharType="begin">
                <w:ffData>
                  <w:name w:val="Check1"/>
                  <w:enabled/>
                  <w:calcOnExit w:val="0"/>
                  <w:checkBox>
                    <w:sizeAuto/>
                    <w:default w:val="0"/>
                  </w:checkBox>
                </w:ffData>
              </w:fldChar>
            </w:r>
            <w:r w:rsidRPr="00CE1814">
              <w:rPr>
                <w:szCs w:val="22"/>
              </w:rPr>
              <w:instrText xml:space="preserve"> FORMCHECKBOX </w:instrText>
            </w:r>
            <w:r w:rsidR="00BA1070">
              <w:rPr>
                <w:szCs w:val="22"/>
              </w:rPr>
            </w:r>
            <w:r w:rsidR="00BA1070">
              <w:rPr>
                <w:szCs w:val="22"/>
              </w:rPr>
              <w:fldChar w:fldCharType="separate"/>
            </w:r>
            <w:r w:rsidRPr="00CE1814">
              <w:rPr>
                <w:szCs w:val="22"/>
              </w:rPr>
              <w:fldChar w:fldCharType="end"/>
            </w:r>
            <w:r w:rsidRPr="00CE1814">
              <w:rPr>
                <w:szCs w:val="22"/>
              </w:rPr>
              <w:tab/>
            </w:r>
            <w:r w:rsidRPr="00CE1814">
              <w:rPr>
                <w:b/>
                <w:bCs/>
                <w:szCs w:val="22"/>
              </w:rPr>
              <w:t>autorise</w:t>
            </w:r>
            <w:r w:rsidRPr="00CE1814">
              <w:rPr>
                <w:szCs w:val="22"/>
              </w:rPr>
              <w:t xml:space="preserve"> la </w:t>
            </w:r>
            <w:r w:rsidRPr="00CE1814">
              <w:t>Commission</w:t>
            </w:r>
            <w:r w:rsidRPr="00CE1814">
              <w:rPr>
                <w:szCs w:val="22"/>
              </w:rPr>
              <w:t xml:space="preserve"> d'études 17 à procéder à l'examen de ce texte en vue de son approbation (dans ce cas, sélectionnez l'une des deux options ⃝):</w:t>
            </w:r>
          </w:p>
          <w:p w14:paraId="306E74DE" w14:textId="12F568AA" w:rsidR="006F7E96" w:rsidRPr="00CE1814" w:rsidRDefault="000152CA" w:rsidP="000152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CE1814">
              <w:rPr>
                <w:szCs w:val="22"/>
              </w:rPr>
              <w:tab/>
            </w:r>
            <w:r w:rsidR="006F7E96" w:rsidRPr="00CE1814">
              <w:rPr>
                <w:szCs w:val="22"/>
              </w:rPr>
              <w:t>⃝</w:t>
            </w:r>
            <w:r w:rsidR="006F7E96" w:rsidRPr="00CE1814">
              <w:rPr>
                <w:szCs w:val="22"/>
              </w:rPr>
              <w:tab/>
              <w:t>Pas de commentaire ou de proposition de modification</w:t>
            </w:r>
          </w:p>
          <w:p w14:paraId="18862C04" w14:textId="77777777" w:rsidR="006F7E96" w:rsidRPr="00CE1814" w:rsidRDefault="006F7E96" w:rsidP="000152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rPr>
                <w:szCs w:val="22"/>
              </w:rPr>
            </w:pPr>
            <w:r w:rsidRPr="00CE1814">
              <w:rPr>
                <w:szCs w:val="22"/>
              </w:rPr>
              <w:tab/>
              <w:t>⃝</w:t>
            </w:r>
            <w:r w:rsidRPr="00CE1814">
              <w:rPr>
                <w:szCs w:val="22"/>
              </w:rPr>
              <w:tab/>
              <w:t xml:space="preserve">Des commentaires ou propositions de modification sont joints à </w:t>
            </w:r>
            <w:r w:rsidRPr="00CE1814">
              <w:rPr>
                <w:szCs w:val="22"/>
              </w:rPr>
              <w:tab/>
              <w:t>la présente</w:t>
            </w:r>
          </w:p>
        </w:tc>
      </w:tr>
      <w:tr w:rsidR="006F7E96" w:rsidRPr="00CE1814" w14:paraId="20D8AD4D" w14:textId="77777777" w:rsidTr="00FD7764">
        <w:trPr>
          <w:cantSplit/>
          <w:trHeight w:val="380"/>
        </w:trPr>
        <w:tc>
          <w:tcPr>
            <w:tcW w:w="2122" w:type="dxa"/>
            <w:vMerge/>
            <w:shd w:val="clear" w:color="auto" w:fill="auto"/>
          </w:tcPr>
          <w:p w14:paraId="0B866B1F" w14:textId="77777777" w:rsidR="006F7E96" w:rsidRPr="00CE1814" w:rsidRDefault="006F7E96" w:rsidP="00E30653">
            <w:pPr>
              <w:keepNext/>
              <w:keepLines/>
              <w:spacing w:before="60" w:after="60"/>
              <w:jc w:val="center"/>
              <w:rPr>
                <w:b/>
                <w:bCs/>
                <w:sz w:val="22"/>
                <w:szCs w:val="22"/>
              </w:rPr>
            </w:pPr>
          </w:p>
        </w:tc>
        <w:tc>
          <w:tcPr>
            <w:tcW w:w="7512" w:type="dxa"/>
            <w:shd w:val="clear" w:color="auto" w:fill="auto"/>
            <w:vAlign w:val="center"/>
          </w:tcPr>
          <w:p w14:paraId="3EC82FA5" w14:textId="77777777" w:rsidR="006F7E96" w:rsidRPr="00CE1814" w:rsidRDefault="006F7E96" w:rsidP="000152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rPr>
                <w:szCs w:val="22"/>
              </w:rPr>
            </w:pPr>
            <w:r w:rsidRPr="00CE1814">
              <w:rPr>
                <w:szCs w:val="22"/>
              </w:rPr>
              <w:fldChar w:fldCharType="begin">
                <w:ffData>
                  <w:name w:val="Check1"/>
                  <w:enabled/>
                  <w:calcOnExit w:val="0"/>
                  <w:checkBox>
                    <w:sizeAuto/>
                    <w:default w:val="0"/>
                  </w:checkBox>
                </w:ffData>
              </w:fldChar>
            </w:r>
            <w:r w:rsidRPr="00CE1814">
              <w:rPr>
                <w:szCs w:val="22"/>
              </w:rPr>
              <w:instrText xml:space="preserve"> FORMCHECKBOX </w:instrText>
            </w:r>
            <w:r w:rsidR="00BA1070">
              <w:rPr>
                <w:szCs w:val="22"/>
              </w:rPr>
            </w:r>
            <w:r w:rsidR="00BA1070">
              <w:rPr>
                <w:szCs w:val="22"/>
              </w:rPr>
              <w:fldChar w:fldCharType="separate"/>
            </w:r>
            <w:r w:rsidRPr="00CE1814">
              <w:rPr>
                <w:szCs w:val="22"/>
              </w:rPr>
              <w:fldChar w:fldCharType="end"/>
            </w:r>
            <w:r w:rsidRPr="00CE1814">
              <w:rPr>
                <w:szCs w:val="22"/>
              </w:rPr>
              <w:tab/>
            </w:r>
            <w:r w:rsidRPr="00CE1814">
              <w:rPr>
                <w:b/>
                <w:bCs/>
                <w:szCs w:val="22"/>
              </w:rPr>
              <w:t>n'autorise pas</w:t>
            </w:r>
            <w:r w:rsidRPr="00CE1814">
              <w:rPr>
                <w:szCs w:val="22"/>
              </w:rPr>
              <w:t xml:space="preserve"> la Commission d'études 17 à procéder à l'examen de ce texte en vue </w:t>
            </w:r>
            <w:r w:rsidRPr="00CE1814">
              <w:t>de</w:t>
            </w:r>
            <w:r w:rsidRPr="00CE1814">
              <w:rPr>
                <w:szCs w:val="22"/>
              </w:rPr>
              <w:t xml:space="preserve"> son approbation (les motifs de cette décision et une description des éventuelles modifications qui permettraient la poursuite des travaux sont joints à la présente)</w:t>
            </w:r>
          </w:p>
        </w:tc>
      </w:tr>
      <w:tr w:rsidR="006F7E96" w:rsidRPr="00CE1814" w14:paraId="1F19F906" w14:textId="77777777" w:rsidTr="00FD7764">
        <w:trPr>
          <w:cantSplit/>
          <w:trHeight w:val="368"/>
        </w:trPr>
        <w:tc>
          <w:tcPr>
            <w:tcW w:w="2122" w:type="dxa"/>
            <w:vMerge w:val="restart"/>
            <w:shd w:val="clear" w:color="auto" w:fill="auto"/>
            <w:vAlign w:val="center"/>
          </w:tcPr>
          <w:p w14:paraId="337D2D14" w14:textId="77777777" w:rsidR="006F7E96" w:rsidRPr="00CE1814" w:rsidRDefault="006F7E96" w:rsidP="000152CA">
            <w:pPr>
              <w:pStyle w:val="TableHead"/>
            </w:pPr>
            <w:r w:rsidRPr="00CE1814">
              <w:t xml:space="preserve">Projet de nouvelle Recommandation UIT-T X.1771 </w:t>
            </w:r>
            <w:r w:rsidRPr="00CE1814">
              <w:br/>
              <w:t>(X.rdda)</w:t>
            </w:r>
          </w:p>
        </w:tc>
        <w:tc>
          <w:tcPr>
            <w:tcW w:w="7512" w:type="dxa"/>
            <w:shd w:val="clear" w:color="auto" w:fill="auto"/>
            <w:vAlign w:val="center"/>
          </w:tcPr>
          <w:p w14:paraId="64372464" w14:textId="77777777" w:rsidR="006F7E96" w:rsidRPr="00CE1814" w:rsidRDefault="006F7E96" w:rsidP="00E306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rPr>
                <w:szCs w:val="22"/>
              </w:rPr>
            </w:pPr>
            <w:r w:rsidRPr="00CE1814">
              <w:rPr>
                <w:szCs w:val="22"/>
              </w:rPr>
              <w:fldChar w:fldCharType="begin">
                <w:ffData>
                  <w:name w:val="Check1"/>
                  <w:enabled/>
                  <w:calcOnExit w:val="0"/>
                  <w:checkBox>
                    <w:sizeAuto/>
                    <w:default w:val="0"/>
                  </w:checkBox>
                </w:ffData>
              </w:fldChar>
            </w:r>
            <w:r w:rsidRPr="00CE1814">
              <w:rPr>
                <w:szCs w:val="22"/>
              </w:rPr>
              <w:instrText xml:space="preserve"> FORMCHECKBOX </w:instrText>
            </w:r>
            <w:r w:rsidR="00BA1070">
              <w:rPr>
                <w:szCs w:val="22"/>
              </w:rPr>
            </w:r>
            <w:r w:rsidR="00BA1070">
              <w:rPr>
                <w:szCs w:val="22"/>
              </w:rPr>
              <w:fldChar w:fldCharType="separate"/>
            </w:r>
            <w:r w:rsidRPr="00CE1814">
              <w:rPr>
                <w:szCs w:val="22"/>
              </w:rPr>
              <w:fldChar w:fldCharType="end"/>
            </w:r>
            <w:r w:rsidRPr="00CE1814">
              <w:rPr>
                <w:szCs w:val="22"/>
              </w:rPr>
              <w:tab/>
            </w:r>
            <w:r w:rsidRPr="00CE1814">
              <w:rPr>
                <w:b/>
                <w:bCs/>
                <w:szCs w:val="22"/>
              </w:rPr>
              <w:t>autorise</w:t>
            </w:r>
            <w:r w:rsidRPr="00CE1814">
              <w:rPr>
                <w:szCs w:val="22"/>
              </w:rPr>
              <w:t xml:space="preserve"> la Commission d'études 17 à procéder à l'examen de ce texte en vue de son </w:t>
            </w:r>
            <w:r w:rsidRPr="00CE1814">
              <w:t>approbation</w:t>
            </w:r>
            <w:r w:rsidRPr="00CE1814">
              <w:rPr>
                <w:szCs w:val="22"/>
              </w:rPr>
              <w:t xml:space="preserve"> (dans ce cas, sélectionnez l'une des deux options ⃝):</w:t>
            </w:r>
          </w:p>
          <w:p w14:paraId="327BFF26" w14:textId="77777777" w:rsidR="006F7E96" w:rsidRPr="00CE1814" w:rsidRDefault="006F7E96" w:rsidP="00E306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CE1814">
              <w:rPr>
                <w:szCs w:val="22"/>
              </w:rPr>
              <w:tab/>
              <w:t>⃝</w:t>
            </w:r>
            <w:r w:rsidRPr="00CE1814">
              <w:rPr>
                <w:szCs w:val="22"/>
              </w:rPr>
              <w:tab/>
              <w:t>Pas de commentaire ou de proposition de modification</w:t>
            </w:r>
          </w:p>
          <w:p w14:paraId="59F82115" w14:textId="77777777" w:rsidR="006F7E96" w:rsidRPr="00CE1814" w:rsidRDefault="006F7E96" w:rsidP="000152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rPr>
                <w:szCs w:val="22"/>
              </w:rPr>
            </w:pPr>
            <w:r w:rsidRPr="00CE1814">
              <w:rPr>
                <w:szCs w:val="22"/>
              </w:rPr>
              <w:tab/>
              <w:t>⃝</w:t>
            </w:r>
            <w:r w:rsidRPr="00CE1814">
              <w:rPr>
                <w:szCs w:val="22"/>
              </w:rPr>
              <w:tab/>
              <w:t xml:space="preserve">Des commentaires ou propositions de modification sont joints à </w:t>
            </w:r>
            <w:r w:rsidRPr="00CE1814">
              <w:rPr>
                <w:szCs w:val="22"/>
              </w:rPr>
              <w:tab/>
              <w:t>la présente</w:t>
            </w:r>
          </w:p>
        </w:tc>
      </w:tr>
      <w:tr w:rsidR="006F7E96" w:rsidRPr="00CE1814" w14:paraId="5E1E809D" w14:textId="77777777" w:rsidTr="00FD7764">
        <w:trPr>
          <w:cantSplit/>
          <w:trHeight w:val="380"/>
        </w:trPr>
        <w:tc>
          <w:tcPr>
            <w:tcW w:w="2122" w:type="dxa"/>
            <w:vMerge/>
            <w:shd w:val="clear" w:color="auto" w:fill="auto"/>
          </w:tcPr>
          <w:p w14:paraId="42731F37" w14:textId="77777777" w:rsidR="006F7E96" w:rsidRPr="00CE1814" w:rsidRDefault="006F7E96" w:rsidP="00E30653">
            <w:pPr>
              <w:spacing w:before="60" w:after="60"/>
              <w:jc w:val="center"/>
              <w:rPr>
                <w:b/>
                <w:bCs/>
                <w:sz w:val="22"/>
                <w:szCs w:val="22"/>
              </w:rPr>
            </w:pPr>
          </w:p>
        </w:tc>
        <w:tc>
          <w:tcPr>
            <w:tcW w:w="7512" w:type="dxa"/>
            <w:shd w:val="clear" w:color="auto" w:fill="auto"/>
            <w:vAlign w:val="center"/>
          </w:tcPr>
          <w:p w14:paraId="5581581F" w14:textId="77777777" w:rsidR="006F7E96" w:rsidRPr="00CE1814" w:rsidRDefault="006F7E96" w:rsidP="000152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rPr>
                <w:szCs w:val="22"/>
              </w:rPr>
            </w:pPr>
            <w:r w:rsidRPr="00CE1814">
              <w:rPr>
                <w:szCs w:val="22"/>
              </w:rPr>
              <w:fldChar w:fldCharType="begin">
                <w:ffData>
                  <w:name w:val="Check1"/>
                  <w:enabled/>
                  <w:calcOnExit w:val="0"/>
                  <w:checkBox>
                    <w:sizeAuto/>
                    <w:default w:val="0"/>
                  </w:checkBox>
                </w:ffData>
              </w:fldChar>
            </w:r>
            <w:r w:rsidRPr="00CE1814">
              <w:rPr>
                <w:szCs w:val="22"/>
              </w:rPr>
              <w:instrText xml:space="preserve"> FORMCHECKBOX </w:instrText>
            </w:r>
            <w:r w:rsidR="00BA1070">
              <w:rPr>
                <w:szCs w:val="22"/>
              </w:rPr>
            </w:r>
            <w:r w:rsidR="00BA1070">
              <w:rPr>
                <w:szCs w:val="22"/>
              </w:rPr>
              <w:fldChar w:fldCharType="separate"/>
            </w:r>
            <w:r w:rsidRPr="00CE1814">
              <w:rPr>
                <w:szCs w:val="22"/>
              </w:rPr>
              <w:fldChar w:fldCharType="end"/>
            </w:r>
            <w:r w:rsidRPr="00CE1814">
              <w:rPr>
                <w:szCs w:val="22"/>
              </w:rPr>
              <w:tab/>
            </w:r>
            <w:r w:rsidRPr="00CE1814">
              <w:rPr>
                <w:b/>
                <w:bCs/>
                <w:szCs w:val="22"/>
              </w:rPr>
              <w:t>n'autorise pas</w:t>
            </w:r>
            <w:r w:rsidRPr="00CE1814">
              <w:rPr>
                <w:szCs w:val="22"/>
              </w:rPr>
              <w:t xml:space="preserve"> la Commission d'études 17 à procéder à l'examen de ce texte en vue de son approbation (les motifs de cette décision et une description des éventuelles modifications qui permettraient la poursuite des travaux sont joints à la présente)</w:t>
            </w:r>
          </w:p>
        </w:tc>
      </w:tr>
      <w:tr w:rsidR="006F7E96" w:rsidRPr="00CE1814" w14:paraId="576E8157" w14:textId="77777777" w:rsidTr="00FD7764">
        <w:trPr>
          <w:cantSplit/>
          <w:trHeight w:val="380"/>
        </w:trPr>
        <w:tc>
          <w:tcPr>
            <w:tcW w:w="2122" w:type="dxa"/>
            <w:vMerge w:val="restart"/>
            <w:shd w:val="clear" w:color="auto" w:fill="auto"/>
            <w:vAlign w:val="center"/>
          </w:tcPr>
          <w:p w14:paraId="533901B1" w14:textId="77777777" w:rsidR="006F7E96" w:rsidRPr="00CE1814" w:rsidRDefault="006F7E96" w:rsidP="000152CA">
            <w:pPr>
              <w:pStyle w:val="TableHead"/>
              <w:rPr>
                <w:b w:val="0"/>
                <w:bCs/>
                <w:szCs w:val="22"/>
              </w:rPr>
            </w:pPr>
            <w:r w:rsidRPr="00CE1814">
              <w:rPr>
                <w:bCs/>
                <w:szCs w:val="22"/>
              </w:rPr>
              <w:t>Projet de nouvelle Recommandation UIT-T</w:t>
            </w:r>
            <w:r w:rsidRPr="00CE1814">
              <w:rPr>
                <w:szCs w:val="22"/>
              </w:rPr>
              <w:t xml:space="preserve"> </w:t>
            </w:r>
            <w:r w:rsidRPr="00CE1814">
              <w:rPr>
                <w:bCs/>
                <w:szCs w:val="22"/>
              </w:rPr>
              <w:t xml:space="preserve">X.1817 </w:t>
            </w:r>
            <w:r w:rsidRPr="00CE1814">
              <w:rPr>
                <w:bCs/>
                <w:szCs w:val="22"/>
              </w:rPr>
              <w:br/>
              <w:t>(X.5Gsec-message)</w:t>
            </w:r>
          </w:p>
        </w:tc>
        <w:tc>
          <w:tcPr>
            <w:tcW w:w="7512" w:type="dxa"/>
            <w:shd w:val="clear" w:color="auto" w:fill="auto"/>
            <w:vAlign w:val="center"/>
          </w:tcPr>
          <w:p w14:paraId="4D02CA67" w14:textId="77777777" w:rsidR="006F7E96" w:rsidRPr="00CE1814" w:rsidRDefault="006F7E96" w:rsidP="00E306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rPr>
                <w:szCs w:val="22"/>
              </w:rPr>
            </w:pPr>
            <w:r w:rsidRPr="00CE1814">
              <w:rPr>
                <w:szCs w:val="22"/>
              </w:rPr>
              <w:fldChar w:fldCharType="begin">
                <w:ffData>
                  <w:name w:val="Check1"/>
                  <w:enabled/>
                  <w:calcOnExit w:val="0"/>
                  <w:checkBox>
                    <w:sizeAuto/>
                    <w:default w:val="0"/>
                  </w:checkBox>
                </w:ffData>
              </w:fldChar>
            </w:r>
            <w:r w:rsidRPr="00CE1814">
              <w:rPr>
                <w:szCs w:val="22"/>
              </w:rPr>
              <w:instrText xml:space="preserve"> FORMCHECKBOX </w:instrText>
            </w:r>
            <w:r w:rsidR="00BA1070">
              <w:rPr>
                <w:szCs w:val="22"/>
              </w:rPr>
            </w:r>
            <w:r w:rsidR="00BA1070">
              <w:rPr>
                <w:szCs w:val="22"/>
              </w:rPr>
              <w:fldChar w:fldCharType="separate"/>
            </w:r>
            <w:r w:rsidRPr="00CE1814">
              <w:rPr>
                <w:szCs w:val="22"/>
              </w:rPr>
              <w:fldChar w:fldCharType="end"/>
            </w:r>
            <w:r w:rsidRPr="00CE1814">
              <w:rPr>
                <w:szCs w:val="22"/>
              </w:rPr>
              <w:tab/>
            </w:r>
            <w:r w:rsidRPr="00CE1814">
              <w:rPr>
                <w:b/>
                <w:bCs/>
                <w:szCs w:val="22"/>
              </w:rPr>
              <w:t>autorise</w:t>
            </w:r>
            <w:r w:rsidRPr="00CE1814">
              <w:rPr>
                <w:szCs w:val="22"/>
              </w:rPr>
              <w:t xml:space="preserve"> la Commission d'études 17 à procéder à l'examen de ce texte en vue de son approbation (dans ce cas, sélectionnez l'une des deux options ⃝):</w:t>
            </w:r>
          </w:p>
          <w:p w14:paraId="7F1BA8DB" w14:textId="77777777" w:rsidR="006F7E96" w:rsidRPr="00CE1814" w:rsidRDefault="006F7E96" w:rsidP="00E306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CE1814">
              <w:rPr>
                <w:szCs w:val="22"/>
              </w:rPr>
              <w:tab/>
              <w:t>⃝</w:t>
            </w:r>
            <w:r w:rsidRPr="00CE1814">
              <w:rPr>
                <w:szCs w:val="22"/>
              </w:rPr>
              <w:tab/>
              <w:t>Pas de commentaire ou de proposition de modification</w:t>
            </w:r>
          </w:p>
          <w:p w14:paraId="6329D8C9" w14:textId="77777777" w:rsidR="006F7E96" w:rsidRPr="00CE1814" w:rsidRDefault="006F7E96" w:rsidP="000152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rPr>
                <w:szCs w:val="22"/>
              </w:rPr>
            </w:pPr>
            <w:r w:rsidRPr="00CE1814">
              <w:rPr>
                <w:szCs w:val="22"/>
              </w:rPr>
              <w:tab/>
              <w:t>⃝</w:t>
            </w:r>
            <w:r w:rsidRPr="00CE1814">
              <w:rPr>
                <w:szCs w:val="22"/>
              </w:rPr>
              <w:tab/>
              <w:t xml:space="preserve">Des commentaires ou propositions de modification sont joints à </w:t>
            </w:r>
            <w:r w:rsidRPr="00CE1814">
              <w:rPr>
                <w:szCs w:val="22"/>
              </w:rPr>
              <w:tab/>
              <w:t>la présente</w:t>
            </w:r>
          </w:p>
        </w:tc>
      </w:tr>
      <w:tr w:rsidR="006F7E96" w:rsidRPr="00CE1814" w14:paraId="7E6A3C81" w14:textId="77777777" w:rsidTr="00FD7764">
        <w:trPr>
          <w:cantSplit/>
          <w:trHeight w:val="357"/>
        </w:trPr>
        <w:tc>
          <w:tcPr>
            <w:tcW w:w="2122" w:type="dxa"/>
            <w:vMerge/>
            <w:shd w:val="clear" w:color="auto" w:fill="auto"/>
            <w:vAlign w:val="center"/>
          </w:tcPr>
          <w:p w14:paraId="4564DD24" w14:textId="77777777" w:rsidR="006F7E96" w:rsidRPr="00CE1814" w:rsidRDefault="006F7E96" w:rsidP="00E30653">
            <w:pPr>
              <w:spacing w:before="60" w:after="60"/>
              <w:jc w:val="center"/>
              <w:rPr>
                <w:b/>
                <w:bCs/>
                <w:sz w:val="22"/>
                <w:szCs w:val="22"/>
              </w:rPr>
            </w:pPr>
          </w:p>
        </w:tc>
        <w:tc>
          <w:tcPr>
            <w:tcW w:w="7512" w:type="dxa"/>
            <w:shd w:val="clear" w:color="auto" w:fill="auto"/>
            <w:vAlign w:val="center"/>
          </w:tcPr>
          <w:p w14:paraId="4984958E" w14:textId="77777777" w:rsidR="006F7E96" w:rsidRPr="00CE1814" w:rsidRDefault="006F7E96" w:rsidP="000152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rPr>
                <w:szCs w:val="22"/>
              </w:rPr>
            </w:pPr>
            <w:r w:rsidRPr="00CE1814">
              <w:rPr>
                <w:szCs w:val="22"/>
              </w:rPr>
              <w:fldChar w:fldCharType="begin">
                <w:ffData>
                  <w:name w:val="Check1"/>
                  <w:enabled/>
                  <w:calcOnExit w:val="0"/>
                  <w:checkBox>
                    <w:sizeAuto/>
                    <w:default w:val="0"/>
                  </w:checkBox>
                </w:ffData>
              </w:fldChar>
            </w:r>
            <w:r w:rsidRPr="00CE1814">
              <w:rPr>
                <w:szCs w:val="22"/>
              </w:rPr>
              <w:instrText xml:space="preserve"> FORMCHECKBOX </w:instrText>
            </w:r>
            <w:r w:rsidR="00BA1070">
              <w:rPr>
                <w:szCs w:val="22"/>
              </w:rPr>
            </w:r>
            <w:r w:rsidR="00BA1070">
              <w:rPr>
                <w:szCs w:val="22"/>
              </w:rPr>
              <w:fldChar w:fldCharType="separate"/>
            </w:r>
            <w:r w:rsidRPr="00CE1814">
              <w:rPr>
                <w:szCs w:val="22"/>
              </w:rPr>
              <w:fldChar w:fldCharType="end"/>
            </w:r>
            <w:r w:rsidRPr="00CE1814">
              <w:rPr>
                <w:szCs w:val="22"/>
              </w:rPr>
              <w:tab/>
            </w:r>
            <w:r w:rsidRPr="00CE1814">
              <w:rPr>
                <w:b/>
                <w:bCs/>
                <w:szCs w:val="22"/>
              </w:rPr>
              <w:t>n'autorise pas</w:t>
            </w:r>
            <w:r w:rsidRPr="00CE1814">
              <w:rPr>
                <w:szCs w:val="22"/>
              </w:rPr>
              <w:t xml:space="preserve"> la Commission d'études 17 à procéder à l'examen de ce texte en vue de son approbation (les motifs de cette décision et une description des éventuelles modifications qui permettraient la poursuite des travaux sont joints à la présente)</w:t>
            </w:r>
          </w:p>
        </w:tc>
      </w:tr>
    </w:tbl>
    <w:p w14:paraId="2972CF95" w14:textId="77777777" w:rsidR="006F7E96" w:rsidRPr="00CE1814" w:rsidRDefault="006F7E96" w:rsidP="006F7E96">
      <w:pPr>
        <w:spacing w:before="240" w:after="120"/>
      </w:pPr>
      <w:r w:rsidRPr="00CE1814">
        <w:t>Veuillez agréer, Madame, Monsieur, l'assurance de ma considération distinguée.</w:t>
      </w:r>
    </w:p>
    <w:p w14:paraId="3492586D" w14:textId="77777777" w:rsidR="006F7E96" w:rsidRPr="00CE1814" w:rsidRDefault="006F7E96" w:rsidP="000152CA">
      <w:pPr>
        <w:spacing w:before="480"/>
      </w:pPr>
      <w:r w:rsidRPr="00CE1814">
        <w:rPr>
          <w:highlight w:val="green"/>
        </w:rPr>
        <w:t>[Nom]</w:t>
      </w:r>
      <w:r w:rsidRPr="00CE1814">
        <w:rPr>
          <w:highlight w:val="green"/>
        </w:rPr>
        <w:br/>
        <w:t>[Rôle/titre officiel]</w:t>
      </w:r>
      <w:r w:rsidRPr="00CE1814">
        <w:br/>
        <w:t xml:space="preserve">Administration de </w:t>
      </w:r>
      <w:r w:rsidRPr="00CE1814">
        <w:rPr>
          <w:highlight w:val="green"/>
        </w:rPr>
        <w:t>[État Membre]</w:t>
      </w:r>
    </w:p>
    <w:p w14:paraId="4406A00F" w14:textId="77777777" w:rsidR="006F7E96" w:rsidRPr="00CE1814" w:rsidRDefault="006F7E96" w:rsidP="00320D4A">
      <w:pPr>
        <w:spacing w:before="240"/>
        <w:jc w:val="center"/>
      </w:pPr>
      <w:r w:rsidRPr="00CE1814">
        <w:t>______________</w:t>
      </w:r>
    </w:p>
    <w:sectPr w:rsidR="006F7E96" w:rsidRPr="00CE1814" w:rsidSect="00AA1566">
      <w:headerReference w:type="default" r:id="rId20"/>
      <w:footerReference w:type="first" r:id="rId21"/>
      <w:pgSz w:w="11907" w:h="16840" w:code="9"/>
      <w:pgMar w:top="1021" w:right="567" w:bottom="1021" w:left="1089" w:header="567"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F412" w14:textId="77777777" w:rsidR="003C2E3A" w:rsidRDefault="003C2E3A">
      <w:r>
        <w:separator/>
      </w:r>
    </w:p>
  </w:endnote>
  <w:endnote w:type="continuationSeparator" w:id="0">
    <w:p w14:paraId="736D349B" w14:textId="77777777" w:rsidR="003C2E3A" w:rsidRDefault="003C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4986"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B6CA1" w14:textId="77777777" w:rsidR="003C2E3A" w:rsidRDefault="003C2E3A">
      <w:r>
        <w:t>____________________</w:t>
      </w:r>
    </w:p>
  </w:footnote>
  <w:footnote w:type="continuationSeparator" w:id="0">
    <w:p w14:paraId="0BA71396" w14:textId="77777777" w:rsidR="003C2E3A" w:rsidRDefault="003C2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349A" w14:textId="139BED31" w:rsidR="00697BC1" w:rsidRPr="00697BC1" w:rsidRDefault="00BA1070"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330F71">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330F71">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330F71">
      <w:rPr>
        <w:noProof/>
        <w:sz w:val="18"/>
        <w:szCs w:val="16"/>
      </w:rPr>
      <w:t>-</w:t>
    </w:r>
    <w:r w:rsidR="00735A0B">
      <w:rPr>
        <w:noProof/>
        <w:sz w:val="18"/>
        <w:szCs w:val="16"/>
      </w:rPr>
      <w:br/>
      <w:t>Circulaire TSB 7</w:t>
    </w:r>
    <w:r w:rsidR="006F7E96">
      <w:rPr>
        <w:noProof/>
        <w:sz w:val="18"/>
        <w:szCs w:val="16"/>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2BCE3A97"/>
    <w:multiLevelType w:val="hybridMultilevel"/>
    <w:tmpl w:val="C4E89FB8"/>
    <w:lvl w:ilvl="0" w:tplc="B51EBE60">
      <w:start w:val="3"/>
      <w:numFmt w:val="bullet"/>
      <w:lvlText w:val="-"/>
      <w:lvlJc w:val="left"/>
      <w:pPr>
        <w:ind w:left="644" w:hanging="360"/>
      </w:pPr>
      <w:rPr>
        <w:rFonts w:ascii="Times New Roman" w:eastAsia="Malgun Gothic" w:hAnsi="Times New Roman" w:cs="Times New Roman" w:hint="default"/>
      </w:rPr>
    </w:lvl>
    <w:lvl w:ilvl="1" w:tplc="FB8272E6" w:tentative="1">
      <w:start w:val="1"/>
      <w:numFmt w:val="bullet"/>
      <w:lvlText w:val=""/>
      <w:lvlJc w:val="left"/>
      <w:pPr>
        <w:ind w:left="1084" w:hanging="400"/>
      </w:pPr>
      <w:rPr>
        <w:rFonts w:ascii="Wingdings" w:hAnsi="Wingdings" w:hint="default"/>
      </w:rPr>
    </w:lvl>
    <w:lvl w:ilvl="2" w:tplc="77B6F4E8" w:tentative="1">
      <w:start w:val="1"/>
      <w:numFmt w:val="bullet"/>
      <w:lvlText w:val=""/>
      <w:lvlJc w:val="left"/>
      <w:pPr>
        <w:ind w:left="1484" w:hanging="400"/>
      </w:pPr>
      <w:rPr>
        <w:rFonts w:ascii="Wingdings" w:hAnsi="Wingdings" w:hint="default"/>
      </w:rPr>
    </w:lvl>
    <w:lvl w:ilvl="3" w:tplc="06ECF5C6" w:tentative="1">
      <w:start w:val="1"/>
      <w:numFmt w:val="bullet"/>
      <w:lvlText w:val=""/>
      <w:lvlJc w:val="left"/>
      <w:pPr>
        <w:ind w:left="1884" w:hanging="400"/>
      </w:pPr>
      <w:rPr>
        <w:rFonts w:ascii="Wingdings" w:hAnsi="Wingdings" w:hint="default"/>
      </w:rPr>
    </w:lvl>
    <w:lvl w:ilvl="4" w:tplc="74E4F176" w:tentative="1">
      <w:start w:val="1"/>
      <w:numFmt w:val="bullet"/>
      <w:lvlText w:val=""/>
      <w:lvlJc w:val="left"/>
      <w:pPr>
        <w:ind w:left="2284" w:hanging="400"/>
      </w:pPr>
      <w:rPr>
        <w:rFonts w:ascii="Wingdings" w:hAnsi="Wingdings" w:hint="default"/>
      </w:rPr>
    </w:lvl>
    <w:lvl w:ilvl="5" w:tplc="BBF2D614" w:tentative="1">
      <w:start w:val="1"/>
      <w:numFmt w:val="bullet"/>
      <w:lvlText w:val=""/>
      <w:lvlJc w:val="left"/>
      <w:pPr>
        <w:ind w:left="2684" w:hanging="400"/>
      </w:pPr>
      <w:rPr>
        <w:rFonts w:ascii="Wingdings" w:hAnsi="Wingdings" w:hint="default"/>
      </w:rPr>
    </w:lvl>
    <w:lvl w:ilvl="6" w:tplc="59CEB00A" w:tentative="1">
      <w:start w:val="1"/>
      <w:numFmt w:val="bullet"/>
      <w:lvlText w:val=""/>
      <w:lvlJc w:val="left"/>
      <w:pPr>
        <w:ind w:left="3084" w:hanging="400"/>
      </w:pPr>
      <w:rPr>
        <w:rFonts w:ascii="Wingdings" w:hAnsi="Wingdings" w:hint="default"/>
      </w:rPr>
    </w:lvl>
    <w:lvl w:ilvl="7" w:tplc="EB9A2A52" w:tentative="1">
      <w:start w:val="1"/>
      <w:numFmt w:val="bullet"/>
      <w:lvlText w:val=""/>
      <w:lvlJc w:val="left"/>
      <w:pPr>
        <w:ind w:left="3484" w:hanging="400"/>
      </w:pPr>
      <w:rPr>
        <w:rFonts w:ascii="Wingdings" w:hAnsi="Wingdings" w:hint="default"/>
      </w:rPr>
    </w:lvl>
    <w:lvl w:ilvl="8" w:tplc="FBB4AC98" w:tentative="1">
      <w:start w:val="1"/>
      <w:numFmt w:val="bullet"/>
      <w:lvlText w:val=""/>
      <w:lvlJc w:val="left"/>
      <w:pPr>
        <w:ind w:left="3884" w:hanging="400"/>
      </w:pPr>
      <w:rPr>
        <w:rFonts w:ascii="Wingdings" w:hAnsi="Wingdings" w:hint="default"/>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76B1E3E"/>
    <w:multiLevelType w:val="hybridMultilevel"/>
    <w:tmpl w:val="95AC6802"/>
    <w:lvl w:ilvl="0" w:tplc="5888B01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7774897">
    <w:abstractNumId w:val="1"/>
  </w:num>
  <w:num w:numId="2" w16cid:durableId="236942779">
    <w:abstractNumId w:val="4"/>
  </w:num>
  <w:num w:numId="3" w16cid:durableId="784925422">
    <w:abstractNumId w:val="3"/>
  </w:num>
  <w:num w:numId="4" w16cid:durableId="1493328276">
    <w:abstractNumId w:val="0"/>
  </w:num>
  <w:num w:numId="5" w16cid:durableId="1361854489">
    <w:abstractNumId w:val="5"/>
  </w:num>
  <w:num w:numId="6" w16cid:durableId="1018317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3A"/>
    <w:rsid w:val="000039EE"/>
    <w:rsid w:val="00005622"/>
    <w:rsid w:val="000152CA"/>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84377"/>
    <w:rsid w:val="001A45C5"/>
    <w:rsid w:val="001B79A3"/>
    <w:rsid w:val="002152A3"/>
    <w:rsid w:val="002E395D"/>
    <w:rsid w:val="003131F0"/>
    <w:rsid w:val="00320D4A"/>
    <w:rsid w:val="00330F71"/>
    <w:rsid w:val="00333A80"/>
    <w:rsid w:val="00341117"/>
    <w:rsid w:val="00364E95"/>
    <w:rsid w:val="00372875"/>
    <w:rsid w:val="003B1E80"/>
    <w:rsid w:val="003B66E8"/>
    <w:rsid w:val="003C2E3A"/>
    <w:rsid w:val="003E66AD"/>
    <w:rsid w:val="004033F1"/>
    <w:rsid w:val="00414B0C"/>
    <w:rsid w:val="00423C21"/>
    <w:rsid w:val="004257AC"/>
    <w:rsid w:val="0043711B"/>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6F6055"/>
    <w:rsid w:val="006F7E96"/>
    <w:rsid w:val="00716BBC"/>
    <w:rsid w:val="007321BC"/>
    <w:rsid w:val="00735A0B"/>
    <w:rsid w:val="007565E4"/>
    <w:rsid w:val="00760063"/>
    <w:rsid w:val="00775E4B"/>
    <w:rsid w:val="0079553B"/>
    <w:rsid w:val="00795679"/>
    <w:rsid w:val="007A40FE"/>
    <w:rsid w:val="00810105"/>
    <w:rsid w:val="008157E0"/>
    <w:rsid w:val="00850477"/>
    <w:rsid w:val="00851B1F"/>
    <w:rsid w:val="00854E1D"/>
    <w:rsid w:val="00887FA6"/>
    <w:rsid w:val="008C4397"/>
    <w:rsid w:val="008C465A"/>
    <w:rsid w:val="008F2C9B"/>
    <w:rsid w:val="00923CD6"/>
    <w:rsid w:val="00935AA8"/>
    <w:rsid w:val="009509D7"/>
    <w:rsid w:val="00971C9A"/>
    <w:rsid w:val="00991139"/>
    <w:rsid w:val="009D51FA"/>
    <w:rsid w:val="009F1E23"/>
    <w:rsid w:val="00A15179"/>
    <w:rsid w:val="00A51537"/>
    <w:rsid w:val="00A5280F"/>
    <w:rsid w:val="00A5645A"/>
    <w:rsid w:val="00A57CBB"/>
    <w:rsid w:val="00A60FC1"/>
    <w:rsid w:val="00A97C37"/>
    <w:rsid w:val="00AA131B"/>
    <w:rsid w:val="00AA1566"/>
    <w:rsid w:val="00AC37B5"/>
    <w:rsid w:val="00AD752F"/>
    <w:rsid w:val="00AF08A4"/>
    <w:rsid w:val="00B27B41"/>
    <w:rsid w:val="00B42659"/>
    <w:rsid w:val="00B8573E"/>
    <w:rsid w:val="00BA1070"/>
    <w:rsid w:val="00BB24C0"/>
    <w:rsid w:val="00BB391A"/>
    <w:rsid w:val="00BD6ECF"/>
    <w:rsid w:val="00C26F2E"/>
    <w:rsid w:val="00C302E3"/>
    <w:rsid w:val="00C45376"/>
    <w:rsid w:val="00C9028F"/>
    <w:rsid w:val="00CA0416"/>
    <w:rsid w:val="00CB1125"/>
    <w:rsid w:val="00CD042E"/>
    <w:rsid w:val="00CE1814"/>
    <w:rsid w:val="00CF2560"/>
    <w:rsid w:val="00CF5B46"/>
    <w:rsid w:val="00D46B68"/>
    <w:rsid w:val="00D542A5"/>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D7764"/>
    <w:rsid w:val="00FE48A3"/>
    <w:rsid w:val="00FF619E"/>
    <w:rsid w:val="00FF63FB"/>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7194E2"/>
  <w15:docId w15:val="{1D86B84D-5BEB-4056-8E49-70DF380E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735A0B"/>
    <w:rPr>
      <w:color w:val="605E5C"/>
      <w:shd w:val="clear" w:color="auto" w:fill="E1DFDD"/>
    </w:rPr>
  </w:style>
  <w:style w:type="character" w:styleId="FollowedHyperlink">
    <w:name w:val="FollowedHyperlink"/>
    <w:basedOn w:val="DefaultParagraphFont"/>
    <w:semiHidden/>
    <w:unhideWhenUsed/>
    <w:rsid w:val="00735A0B"/>
    <w:rPr>
      <w:color w:val="800080" w:themeColor="followedHyperlink"/>
      <w:u w:val="single"/>
    </w:rPr>
  </w:style>
  <w:style w:type="paragraph" w:customStyle="1" w:styleId="Annextitle0">
    <w:name w:val="Annex_title"/>
    <w:basedOn w:val="Normal"/>
    <w:next w:val="Normal"/>
    <w:rsid w:val="006F7E96"/>
    <w:pPr>
      <w:keepNext/>
      <w:keepLines/>
      <w:spacing w:before="240" w:after="280"/>
      <w:jc w:val="center"/>
    </w:pPr>
    <w:rPr>
      <w:rFonts w:ascii="Calibri" w:eastAsiaTheme="minorEastAsia" w:hAnsi="Calibri"/>
      <w:b/>
      <w:sz w:val="28"/>
      <w:lang w:val="en-GB"/>
    </w:rPr>
  </w:style>
  <w:style w:type="paragraph" w:customStyle="1" w:styleId="Reasons">
    <w:name w:val="Reasons"/>
    <w:basedOn w:val="Normal"/>
    <w:qFormat/>
    <w:rsid w:val="006F7E9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Revision">
    <w:name w:val="Revision"/>
    <w:hidden/>
    <w:uiPriority w:val="99"/>
    <w:semiHidden/>
    <w:rsid w:val="00CE1814"/>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SG17-R-0034/fr" TargetMode="External"/><Relationship Id="rId18" Type="http://schemas.openxmlformats.org/officeDocument/2006/relationships/hyperlink" Target="https://www.itu.int/md/T22-SG17-R-0033/f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md/T22-SG17-R-0037/fr" TargetMode="External"/><Relationship Id="rId2" Type="http://schemas.openxmlformats.org/officeDocument/2006/relationships/numbering" Target="numbering.xml"/><Relationship Id="rId16" Type="http://schemas.openxmlformats.org/officeDocument/2006/relationships/hyperlink" Target="https://www.itu.int/md/T22-SG17-R-0038/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T/ipr/Pages/default.aspx" TargetMode="External"/><Relationship Id="rId5" Type="http://schemas.openxmlformats.org/officeDocument/2006/relationships/webSettings" Target="webSettings.xml"/><Relationship Id="rId15" Type="http://schemas.openxmlformats.org/officeDocument/2006/relationships/hyperlink" Target="https://www.itu.int/md/T22-SG17-R-0036/fr" TargetMode="External"/><Relationship Id="rId23" Type="http://schemas.openxmlformats.org/officeDocument/2006/relationships/theme" Target="theme/theme1.xml"/><Relationship Id="rId10" Type="http://schemas.openxmlformats.org/officeDocument/2006/relationships/hyperlink" Target="https://www.itu.int/md/T22-SG17-COL-0005/fr" TargetMode="External"/><Relationship Id="rId19" Type="http://schemas.openxmlformats.org/officeDocument/2006/relationships/hyperlink" Target="mailto:tsbdir@itu.int"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md/T22-SG17-R-0035/f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8A645-4215-42F7-9381-8A8454FF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77</TotalTime>
  <Pages>6</Pages>
  <Words>2283</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16267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FrenchVS</dc:creator>
  <cp:lastModifiedBy>Braud, Olivia</cp:lastModifiedBy>
  <cp:revision>16</cp:revision>
  <cp:lastPrinted>2023-04-12T07:41:00Z</cp:lastPrinted>
  <dcterms:created xsi:type="dcterms:W3CDTF">2023-03-31T09:13:00Z</dcterms:created>
  <dcterms:modified xsi:type="dcterms:W3CDTF">2023-04-12T07:42:00Z</dcterms:modified>
</cp:coreProperties>
</file>