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1" w:type="dxa"/>
        <w:tblInd w:w="8" w:type="dxa"/>
        <w:tblLayout w:type="fixed"/>
        <w:tblCellMar>
          <w:left w:w="0" w:type="dxa"/>
          <w:right w:w="0" w:type="dxa"/>
        </w:tblCellMar>
        <w:tblLook w:val="0000" w:firstRow="0" w:lastRow="0" w:firstColumn="0" w:lastColumn="0" w:noHBand="0" w:noVBand="0"/>
      </w:tblPr>
      <w:tblGrid>
        <w:gridCol w:w="1126"/>
        <w:gridCol w:w="284"/>
        <w:gridCol w:w="3467"/>
        <w:gridCol w:w="4754"/>
      </w:tblGrid>
      <w:tr w:rsidR="007B6316" w:rsidRPr="002901AF" w14:paraId="030B741A" w14:textId="77777777" w:rsidTr="00CD6078">
        <w:trPr>
          <w:cantSplit/>
          <w:trHeight w:val="340"/>
        </w:trPr>
        <w:tc>
          <w:tcPr>
            <w:tcW w:w="1410" w:type="dxa"/>
            <w:gridSpan w:val="2"/>
          </w:tcPr>
          <w:p w14:paraId="26639731" w14:textId="77777777" w:rsidR="007B6316" w:rsidRPr="002901AF" w:rsidRDefault="007B6316" w:rsidP="00303D62">
            <w:pPr>
              <w:tabs>
                <w:tab w:val="left" w:pos="4111"/>
              </w:tabs>
              <w:spacing w:before="10"/>
              <w:ind w:left="57"/>
              <w:rPr>
                <w:sz w:val="22"/>
                <w:lang w:val="es-ES"/>
              </w:rPr>
            </w:pPr>
            <w:r w:rsidRPr="002901AF">
              <w:rPr>
                <w:noProof/>
                <w:lang w:val="es-ES" w:eastAsia="es-ES"/>
              </w:rPr>
              <w:drawing>
                <wp:inline distT="0" distB="0" distL="0" distR="0" wp14:anchorId="030855B6" wp14:editId="71CCD738">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221" w:type="dxa"/>
            <w:gridSpan w:val="2"/>
            <w:vAlign w:val="center"/>
          </w:tcPr>
          <w:p w14:paraId="55ABFA82" w14:textId="77777777" w:rsidR="007B6316" w:rsidRPr="002901AF" w:rsidRDefault="007B6316" w:rsidP="007B6316">
            <w:pPr>
              <w:spacing w:before="0"/>
              <w:rPr>
                <w:rFonts w:cs="Times New Roman Bold"/>
                <w:b/>
                <w:bCs/>
                <w:smallCaps/>
                <w:sz w:val="26"/>
                <w:szCs w:val="26"/>
                <w:lang w:val="es-ES"/>
              </w:rPr>
            </w:pPr>
            <w:r w:rsidRPr="002901AF">
              <w:rPr>
                <w:rFonts w:cs="Times New Roman Bold"/>
                <w:b/>
                <w:bCs/>
                <w:smallCaps/>
                <w:sz w:val="36"/>
                <w:szCs w:val="36"/>
                <w:lang w:val="es-ES"/>
              </w:rPr>
              <w:t>Unión Internacional de Telecomunicaciones</w:t>
            </w:r>
          </w:p>
          <w:p w14:paraId="41B6208C" w14:textId="77777777" w:rsidR="007B6316" w:rsidRPr="002901AF" w:rsidRDefault="007B6316" w:rsidP="007B6316">
            <w:pPr>
              <w:spacing w:before="0"/>
              <w:rPr>
                <w:lang w:val="es-ES"/>
              </w:rPr>
            </w:pPr>
            <w:r w:rsidRPr="002901AF">
              <w:rPr>
                <w:rFonts w:cs="Times New Roman Bold"/>
                <w:b/>
                <w:bCs/>
                <w:smallCaps/>
                <w:sz w:val="28"/>
                <w:szCs w:val="28"/>
                <w:lang w:val="es-ES"/>
              </w:rPr>
              <w:t>Oficina</w:t>
            </w:r>
            <w:r w:rsidRPr="002901AF">
              <w:rPr>
                <w:rFonts w:cs="Times New Roman Bold"/>
                <w:b/>
                <w:bCs/>
                <w:iCs/>
                <w:smallCaps/>
                <w:sz w:val="22"/>
                <w:szCs w:val="22"/>
                <w:lang w:val="es-ES"/>
              </w:rPr>
              <w:t xml:space="preserve"> </w:t>
            </w:r>
            <w:r w:rsidRPr="002901AF">
              <w:rPr>
                <w:rFonts w:cs="Times New Roman Bold"/>
                <w:b/>
                <w:bCs/>
                <w:iCs/>
                <w:smallCaps/>
                <w:sz w:val="28"/>
                <w:szCs w:val="28"/>
                <w:lang w:val="es-ES"/>
              </w:rPr>
              <w:t>de Normalización de las Telecomunicaciones</w:t>
            </w:r>
          </w:p>
        </w:tc>
      </w:tr>
      <w:tr w:rsidR="007B6316" w:rsidRPr="002901AF" w14:paraId="3EEE572E" w14:textId="77777777" w:rsidTr="00397C85">
        <w:trPr>
          <w:cantSplit/>
          <w:trHeight w:val="340"/>
        </w:trPr>
        <w:tc>
          <w:tcPr>
            <w:tcW w:w="1126" w:type="dxa"/>
          </w:tcPr>
          <w:p w14:paraId="6971C9BB" w14:textId="77777777" w:rsidR="007B6316" w:rsidRPr="002901AF" w:rsidRDefault="007B6316" w:rsidP="00303D62">
            <w:pPr>
              <w:tabs>
                <w:tab w:val="left" w:pos="4111"/>
              </w:tabs>
              <w:spacing w:before="10"/>
              <w:ind w:left="57"/>
              <w:rPr>
                <w:b/>
                <w:bCs/>
                <w:sz w:val="22"/>
                <w:szCs w:val="22"/>
                <w:lang w:val="es-ES"/>
              </w:rPr>
            </w:pPr>
          </w:p>
        </w:tc>
        <w:tc>
          <w:tcPr>
            <w:tcW w:w="3751" w:type="dxa"/>
            <w:gridSpan w:val="2"/>
          </w:tcPr>
          <w:p w14:paraId="4D55054B" w14:textId="77777777" w:rsidR="007B6316" w:rsidRPr="002901AF" w:rsidRDefault="007B6316" w:rsidP="00303D62">
            <w:pPr>
              <w:tabs>
                <w:tab w:val="left" w:pos="4111"/>
              </w:tabs>
              <w:spacing w:before="0"/>
              <w:ind w:left="57"/>
              <w:rPr>
                <w:b/>
                <w:sz w:val="22"/>
                <w:szCs w:val="22"/>
                <w:lang w:val="es-ES"/>
              </w:rPr>
            </w:pPr>
          </w:p>
        </w:tc>
        <w:tc>
          <w:tcPr>
            <w:tcW w:w="4754" w:type="dxa"/>
          </w:tcPr>
          <w:p w14:paraId="51B8F07A" w14:textId="5CE8F9BA" w:rsidR="007B6316" w:rsidRPr="002901AF" w:rsidRDefault="0061440B" w:rsidP="00812B31">
            <w:pPr>
              <w:tabs>
                <w:tab w:val="clear" w:pos="794"/>
                <w:tab w:val="clear" w:pos="1191"/>
                <w:tab w:val="clear" w:pos="1588"/>
                <w:tab w:val="clear" w:pos="1985"/>
                <w:tab w:val="left" w:pos="284"/>
              </w:tabs>
              <w:spacing w:before="240" w:after="240"/>
              <w:ind w:left="284" w:hanging="227"/>
              <w:rPr>
                <w:sz w:val="22"/>
                <w:szCs w:val="22"/>
                <w:lang w:val="es-ES"/>
              </w:rPr>
            </w:pPr>
            <w:r w:rsidRPr="002901AF">
              <w:rPr>
                <w:sz w:val="22"/>
                <w:szCs w:val="22"/>
                <w:lang w:val="es-ES"/>
              </w:rPr>
              <w:t xml:space="preserve">Ginebra, </w:t>
            </w:r>
            <w:r w:rsidR="008577DB" w:rsidRPr="002901AF">
              <w:rPr>
                <w:sz w:val="22"/>
                <w:szCs w:val="22"/>
                <w:lang w:val="es-ES"/>
              </w:rPr>
              <w:t>28 de marzo de 2023</w:t>
            </w:r>
          </w:p>
        </w:tc>
      </w:tr>
      <w:tr w:rsidR="007B6316" w:rsidRPr="002901AF" w14:paraId="5971D39E" w14:textId="77777777" w:rsidTr="00397C85">
        <w:trPr>
          <w:cantSplit/>
          <w:trHeight w:val="340"/>
        </w:trPr>
        <w:tc>
          <w:tcPr>
            <w:tcW w:w="1126" w:type="dxa"/>
          </w:tcPr>
          <w:p w14:paraId="589357E6" w14:textId="77777777" w:rsidR="007B6316" w:rsidRPr="002901AF" w:rsidRDefault="007B6316" w:rsidP="00303D62">
            <w:pPr>
              <w:tabs>
                <w:tab w:val="left" w:pos="4111"/>
              </w:tabs>
              <w:spacing w:before="10"/>
              <w:ind w:left="57"/>
              <w:rPr>
                <w:b/>
                <w:bCs/>
                <w:sz w:val="22"/>
                <w:szCs w:val="22"/>
                <w:lang w:val="es-ES"/>
              </w:rPr>
            </w:pPr>
            <w:r w:rsidRPr="002901AF">
              <w:rPr>
                <w:b/>
                <w:bCs/>
                <w:sz w:val="22"/>
                <w:szCs w:val="22"/>
                <w:lang w:val="es-ES"/>
              </w:rPr>
              <w:t>Ref.:</w:t>
            </w:r>
          </w:p>
          <w:p w14:paraId="27A00ABE" w14:textId="77777777" w:rsidR="007B6316" w:rsidRPr="002901AF" w:rsidRDefault="007B6316" w:rsidP="007B6316">
            <w:pPr>
              <w:tabs>
                <w:tab w:val="left" w:pos="4111"/>
              </w:tabs>
              <w:spacing w:before="10"/>
              <w:ind w:left="57"/>
              <w:rPr>
                <w:b/>
                <w:bCs/>
                <w:sz w:val="22"/>
                <w:szCs w:val="22"/>
                <w:lang w:val="es-ES"/>
              </w:rPr>
            </w:pPr>
          </w:p>
        </w:tc>
        <w:tc>
          <w:tcPr>
            <w:tcW w:w="3751" w:type="dxa"/>
            <w:gridSpan w:val="2"/>
          </w:tcPr>
          <w:p w14:paraId="3141B56D" w14:textId="70C14BDA" w:rsidR="0061440B" w:rsidRPr="002901AF" w:rsidRDefault="0061440B" w:rsidP="0061440B">
            <w:pPr>
              <w:tabs>
                <w:tab w:val="left" w:pos="4111"/>
              </w:tabs>
              <w:spacing w:before="0"/>
              <w:ind w:left="57"/>
              <w:rPr>
                <w:b/>
                <w:sz w:val="22"/>
                <w:szCs w:val="22"/>
                <w:lang w:val="es-ES"/>
              </w:rPr>
            </w:pPr>
            <w:r w:rsidRPr="002901AF">
              <w:rPr>
                <w:b/>
                <w:sz w:val="22"/>
                <w:szCs w:val="22"/>
                <w:lang w:val="es-ES"/>
              </w:rPr>
              <w:t xml:space="preserve">Circular TSB </w:t>
            </w:r>
            <w:r w:rsidR="008577DB" w:rsidRPr="002901AF">
              <w:rPr>
                <w:b/>
                <w:bCs/>
                <w:sz w:val="22"/>
                <w:szCs w:val="22"/>
                <w:lang w:val="es-ES"/>
              </w:rPr>
              <w:t>79</w:t>
            </w:r>
          </w:p>
          <w:p w14:paraId="51AC3EE4" w14:textId="40D9E499" w:rsidR="007B6316" w:rsidRPr="002901AF" w:rsidRDefault="0061440B" w:rsidP="0061440B">
            <w:pPr>
              <w:tabs>
                <w:tab w:val="left" w:pos="4111"/>
              </w:tabs>
              <w:spacing w:before="0"/>
              <w:ind w:left="57"/>
              <w:rPr>
                <w:bCs/>
                <w:sz w:val="22"/>
                <w:szCs w:val="22"/>
                <w:lang w:val="es-ES"/>
              </w:rPr>
            </w:pPr>
            <w:r w:rsidRPr="002901AF">
              <w:rPr>
                <w:bCs/>
                <w:sz w:val="22"/>
                <w:szCs w:val="22"/>
                <w:lang w:val="es-ES"/>
              </w:rPr>
              <w:t>CE17/XY</w:t>
            </w:r>
          </w:p>
          <w:p w14:paraId="57F5A3B1" w14:textId="77777777" w:rsidR="007B6316" w:rsidRPr="002901AF" w:rsidRDefault="007B6316" w:rsidP="007B6316">
            <w:pPr>
              <w:tabs>
                <w:tab w:val="left" w:pos="4111"/>
              </w:tabs>
              <w:spacing w:before="0"/>
              <w:ind w:left="57"/>
              <w:rPr>
                <w:sz w:val="22"/>
                <w:szCs w:val="22"/>
                <w:lang w:val="es-ES"/>
              </w:rPr>
            </w:pPr>
          </w:p>
        </w:tc>
        <w:tc>
          <w:tcPr>
            <w:tcW w:w="4754" w:type="dxa"/>
            <w:vMerge w:val="restart"/>
          </w:tcPr>
          <w:p w14:paraId="7313594E" w14:textId="77777777" w:rsidR="007B6316" w:rsidRPr="002901AF" w:rsidRDefault="0061440B" w:rsidP="00303D62">
            <w:pPr>
              <w:tabs>
                <w:tab w:val="clear" w:pos="794"/>
                <w:tab w:val="clear" w:pos="1191"/>
                <w:tab w:val="clear" w:pos="1588"/>
                <w:tab w:val="clear" w:pos="1985"/>
                <w:tab w:val="left" w:pos="284"/>
              </w:tabs>
              <w:spacing w:before="0"/>
              <w:ind w:left="284" w:hanging="227"/>
              <w:rPr>
                <w:sz w:val="22"/>
                <w:szCs w:val="22"/>
                <w:lang w:val="es-ES"/>
              </w:rPr>
            </w:pPr>
            <w:bookmarkStart w:id="0" w:name="Addressee_S"/>
            <w:bookmarkEnd w:id="0"/>
            <w:r w:rsidRPr="002901AF">
              <w:rPr>
                <w:sz w:val="22"/>
                <w:szCs w:val="22"/>
                <w:lang w:val="es-ES"/>
              </w:rPr>
              <w:t>–</w:t>
            </w:r>
            <w:r w:rsidR="007B6316" w:rsidRPr="002901AF">
              <w:rPr>
                <w:sz w:val="22"/>
                <w:szCs w:val="22"/>
                <w:lang w:val="es-ES"/>
              </w:rPr>
              <w:tab/>
              <w:t>A las Administraciones de los Estados Miembros de la Unión</w:t>
            </w:r>
          </w:p>
          <w:p w14:paraId="4855EF36" w14:textId="77777777" w:rsidR="00CD6078" w:rsidRPr="002901AF" w:rsidRDefault="00CD6078" w:rsidP="00CD6078">
            <w:pPr>
              <w:tabs>
                <w:tab w:val="left" w:pos="4111"/>
              </w:tabs>
              <w:spacing w:before="0"/>
              <w:rPr>
                <w:sz w:val="22"/>
                <w:szCs w:val="22"/>
                <w:lang w:val="es-ES"/>
              </w:rPr>
            </w:pPr>
            <w:r w:rsidRPr="002901AF">
              <w:rPr>
                <w:b/>
                <w:sz w:val="22"/>
                <w:szCs w:val="22"/>
                <w:lang w:val="es-ES"/>
              </w:rPr>
              <w:t>Copia</w:t>
            </w:r>
            <w:r w:rsidRPr="002901AF">
              <w:rPr>
                <w:sz w:val="22"/>
                <w:szCs w:val="22"/>
                <w:lang w:val="es-ES"/>
              </w:rPr>
              <w:t>:</w:t>
            </w:r>
          </w:p>
          <w:p w14:paraId="23C6B76C" w14:textId="77777777" w:rsidR="00CD6078" w:rsidRPr="002901AF" w:rsidRDefault="00CD6078" w:rsidP="00CD6078">
            <w:pPr>
              <w:tabs>
                <w:tab w:val="clear" w:pos="794"/>
                <w:tab w:val="left" w:pos="226"/>
                <w:tab w:val="left" w:pos="4111"/>
              </w:tabs>
              <w:spacing w:before="0"/>
              <w:rPr>
                <w:sz w:val="22"/>
                <w:szCs w:val="22"/>
                <w:lang w:val="es-ES"/>
              </w:rPr>
            </w:pPr>
            <w:r w:rsidRPr="002901AF">
              <w:rPr>
                <w:sz w:val="22"/>
                <w:szCs w:val="22"/>
                <w:lang w:val="es-ES"/>
              </w:rPr>
              <w:t>–</w:t>
            </w:r>
            <w:r w:rsidRPr="002901AF">
              <w:rPr>
                <w:sz w:val="22"/>
                <w:szCs w:val="22"/>
                <w:lang w:val="es-ES"/>
              </w:rPr>
              <w:tab/>
              <w:t>A los Miembros de Sector del UIT</w:t>
            </w:r>
            <w:r w:rsidRPr="002901AF">
              <w:rPr>
                <w:sz w:val="22"/>
                <w:szCs w:val="22"/>
                <w:lang w:val="es-ES"/>
              </w:rPr>
              <w:noBreakHyphen/>
              <w:t>T;</w:t>
            </w:r>
          </w:p>
          <w:p w14:paraId="197764AE" w14:textId="3EEFAB75" w:rsidR="00CD6078" w:rsidRPr="002901AF" w:rsidRDefault="00CD6078" w:rsidP="00CD6078">
            <w:pPr>
              <w:tabs>
                <w:tab w:val="clear" w:pos="794"/>
                <w:tab w:val="left" w:pos="226"/>
                <w:tab w:val="left" w:pos="4111"/>
              </w:tabs>
              <w:spacing w:before="0"/>
              <w:ind w:left="226" w:hanging="226"/>
              <w:rPr>
                <w:sz w:val="22"/>
                <w:szCs w:val="22"/>
                <w:lang w:val="es-ES"/>
              </w:rPr>
            </w:pPr>
            <w:r w:rsidRPr="002901AF">
              <w:rPr>
                <w:sz w:val="22"/>
                <w:szCs w:val="22"/>
                <w:lang w:val="es-ES"/>
              </w:rPr>
              <w:t>–</w:t>
            </w:r>
            <w:r w:rsidRPr="002901AF">
              <w:rPr>
                <w:sz w:val="22"/>
                <w:szCs w:val="22"/>
                <w:lang w:val="es-ES"/>
              </w:rPr>
              <w:tab/>
              <w:t xml:space="preserve">A los Asociados de la Comisión de Estudio 17 </w:t>
            </w:r>
            <w:r w:rsidR="009A6E45">
              <w:rPr>
                <w:sz w:val="22"/>
                <w:szCs w:val="22"/>
                <w:lang w:val="es-ES"/>
              </w:rPr>
              <w:br/>
            </w:r>
            <w:r w:rsidRPr="002901AF">
              <w:rPr>
                <w:sz w:val="22"/>
                <w:szCs w:val="22"/>
                <w:lang w:val="es-ES"/>
              </w:rPr>
              <w:t>del UIT</w:t>
            </w:r>
            <w:r w:rsidRPr="002901AF">
              <w:rPr>
                <w:sz w:val="22"/>
                <w:szCs w:val="22"/>
                <w:lang w:val="es-ES"/>
              </w:rPr>
              <w:noBreakHyphen/>
              <w:t>T;</w:t>
            </w:r>
          </w:p>
          <w:p w14:paraId="145E34C4" w14:textId="77777777" w:rsidR="00CD6078" w:rsidRPr="002901AF" w:rsidRDefault="00CD6078" w:rsidP="00CD6078">
            <w:pPr>
              <w:tabs>
                <w:tab w:val="clear" w:pos="794"/>
                <w:tab w:val="left" w:pos="226"/>
                <w:tab w:val="left" w:pos="4111"/>
              </w:tabs>
              <w:spacing w:before="0"/>
              <w:rPr>
                <w:sz w:val="22"/>
                <w:szCs w:val="22"/>
                <w:lang w:val="es-ES"/>
              </w:rPr>
            </w:pPr>
            <w:r w:rsidRPr="002901AF">
              <w:rPr>
                <w:sz w:val="22"/>
                <w:szCs w:val="22"/>
                <w:lang w:val="es-ES"/>
              </w:rPr>
              <w:t>–</w:t>
            </w:r>
            <w:r w:rsidRPr="002901AF">
              <w:rPr>
                <w:sz w:val="22"/>
                <w:szCs w:val="22"/>
                <w:lang w:val="es-ES"/>
              </w:rPr>
              <w:tab/>
              <w:t>A las Instituciones Académicas de la UIT;</w:t>
            </w:r>
          </w:p>
          <w:p w14:paraId="7D1AF69A" w14:textId="77777777" w:rsidR="00CD6078" w:rsidRPr="002901AF" w:rsidRDefault="00CD6078" w:rsidP="00CD6078">
            <w:pPr>
              <w:tabs>
                <w:tab w:val="clear" w:pos="794"/>
                <w:tab w:val="left" w:pos="226"/>
                <w:tab w:val="left" w:pos="4111"/>
              </w:tabs>
              <w:spacing w:before="0"/>
              <w:ind w:left="226" w:hanging="226"/>
              <w:rPr>
                <w:sz w:val="22"/>
                <w:szCs w:val="22"/>
                <w:lang w:val="es-ES"/>
              </w:rPr>
            </w:pPr>
            <w:r w:rsidRPr="002901AF">
              <w:rPr>
                <w:sz w:val="22"/>
                <w:szCs w:val="22"/>
                <w:lang w:val="es-ES"/>
              </w:rPr>
              <w:t>–</w:t>
            </w:r>
            <w:r w:rsidRPr="002901AF">
              <w:rPr>
                <w:sz w:val="22"/>
                <w:szCs w:val="22"/>
                <w:lang w:val="es-ES"/>
              </w:rPr>
              <w:tab/>
              <w:t xml:space="preserve">Al </w:t>
            </w:r>
            <w:proofErr w:type="gramStart"/>
            <w:r w:rsidRPr="002901AF">
              <w:rPr>
                <w:sz w:val="22"/>
                <w:szCs w:val="22"/>
                <w:lang w:val="es-ES"/>
              </w:rPr>
              <w:t>Presidente</w:t>
            </w:r>
            <w:proofErr w:type="gramEnd"/>
            <w:r w:rsidRPr="002901AF">
              <w:rPr>
                <w:sz w:val="22"/>
                <w:szCs w:val="22"/>
                <w:lang w:val="es-ES"/>
              </w:rPr>
              <w:t xml:space="preserve"> y a los Vicepresidentes de la</w:t>
            </w:r>
            <w:r w:rsidRPr="002901AF">
              <w:rPr>
                <w:sz w:val="22"/>
                <w:szCs w:val="22"/>
                <w:lang w:val="es-ES"/>
              </w:rPr>
              <w:br/>
              <w:t>Comisión de Estudio 17;</w:t>
            </w:r>
          </w:p>
          <w:p w14:paraId="0E736304" w14:textId="32EA2B36" w:rsidR="00CD6078" w:rsidRPr="002901AF" w:rsidRDefault="00CD6078" w:rsidP="00CD6078">
            <w:pPr>
              <w:tabs>
                <w:tab w:val="clear" w:pos="794"/>
                <w:tab w:val="left" w:pos="226"/>
                <w:tab w:val="left" w:pos="4111"/>
              </w:tabs>
              <w:spacing w:before="0"/>
              <w:ind w:left="226" w:hanging="226"/>
              <w:rPr>
                <w:sz w:val="22"/>
                <w:szCs w:val="22"/>
                <w:lang w:val="es-ES"/>
              </w:rPr>
            </w:pPr>
            <w:r w:rsidRPr="002901AF">
              <w:rPr>
                <w:sz w:val="22"/>
                <w:szCs w:val="22"/>
                <w:lang w:val="es-ES"/>
              </w:rPr>
              <w:t>–</w:t>
            </w:r>
            <w:r w:rsidRPr="002901AF">
              <w:rPr>
                <w:sz w:val="22"/>
                <w:szCs w:val="22"/>
                <w:lang w:val="es-ES"/>
              </w:rPr>
              <w:tab/>
              <w:t xml:space="preserve">Al </w:t>
            </w:r>
            <w:proofErr w:type="gramStart"/>
            <w:r w:rsidRPr="002901AF">
              <w:rPr>
                <w:sz w:val="22"/>
                <w:szCs w:val="22"/>
                <w:lang w:val="es-ES"/>
              </w:rPr>
              <w:t>Director</w:t>
            </w:r>
            <w:proofErr w:type="gramEnd"/>
            <w:r w:rsidRPr="002901AF">
              <w:rPr>
                <w:sz w:val="22"/>
                <w:szCs w:val="22"/>
                <w:lang w:val="es-ES"/>
              </w:rPr>
              <w:t xml:space="preserve"> de la Oficina de Desarrollo de las Telecomunicaciones;</w:t>
            </w:r>
          </w:p>
          <w:p w14:paraId="0595A89A" w14:textId="1CF7CCD4" w:rsidR="00CD6078" w:rsidRPr="002901AF" w:rsidRDefault="00CD6078" w:rsidP="00CD6078">
            <w:pPr>
              <w:tabs>
                <w:tab w:val="clear" w:pos="794"/>
                <w:tab w:val="clear" w:pos="1191"/>
                <w:tab w:val="clear" w:pos="1588"/>
                <w:tab w:val="clear" w:pos="1985"/>
                <w:tab w:val="left" w:pos="284"/>
              </w:tabs>
              <w:spacing w:before="0"/>
              <w:ind w:left="284" w:hanging="227"/>
              <w:rPr>
                <w:sz w:val="22"/>
                <w:szCs w:val="22"/>
                <w:lang w:val="es-ES"/>
              </w:rPr>
            </w:pPr>
            <w:r w:rsidRPr="002901AF">
              <w:rPr>
                <w:sz w:val="22"/>
                <w:szCs w:val="22"/>
                <w:lang w:val="es-ES"/>
              </w:rPr>
              <w:t>–</w:t>
            </w:r>
            <w:r w:rsidRPr="002901AF">
              <w:rPr>
                <w:sz w:val="22"/>
                <w:szCs w:val="22"/>
                <w:lang w:val="es-ES"/>
              </w:rPr>
              <w:tab/>
              <w:t xml:space="preserve">Al </w:t>
            </w:r>
            <w:proofErr w:type="gramStart"/>
            <w:r w:rsidRPr="002901AF">
              <w:rPr>
                <w:sz w:val="22"/>
                <w:szCs w:val="22"/>
                <w:lang w:val="es-ES"/>
              </w:rPr>
              <w:t>Director</w:t>
            </w:r>
            <w:proofErr w:type="gramEnd"/>
            <w:r w:rsidRPr="002901AF">
              <w:rPr>
                <w:sz w:val="22"/>
                <w:szCs w:val="22"/>
                <w:lang w:val="es-ES"/>
              </w:rPr>
              <w:t xml:space="preserve"> de la Oficina de Radiocomunicaciones</w:t>
            </w:r>
          </w:p>
        </w:tc>
      </w:tr>
      <w:tr w:rsidR="007B6316" w:rsidRPr="002901AF" w14:paraId="27651668" w14:textId="77777777" w:rsidTr="00397C85">
        <w:trPr>
          <w:cantSplit/>
        </w:trPr>
        <w:tc>
          <w:tcPr>
            <w:tcW w:w="1126" w:type="dxa"/>
          </w:tcPr>
          <w:p w14:paraId="7ED02CA9" w14:textId="77777777" w:rsidR="007B6316" w:rsidRPr="002901AF" w:rsidRDefault="007B6316" w:rsidP="00303D62">
            <w:pPr>
              <w:tabs>
                <w:tab w:val="left" w:pos="4111"/>
              </w:tabs>
              <w:spacing w:before="10"/>
              <w:ind w:left="57"/>
              <w:rPr>
                <w:b/>
                <w:bCs/>
                <w:sz w:val="22"/>
                <w:szCs w:val="22"/>
                <w:lang w:val="es-ES"/>
              </w:rPr>
            </w:pPr>
            <w:r w:rsidRPr="002901AF">
              <w:rPr>
                <w:b/>
                <w:bCs/>
                <w:sz w:val="22"/>
                <w:szCs w:val="22"/>
                <w:lang w:val="es-ES"/>
              </w:rPr>
              <w:t>Tel.:</w:t>
            </w:r>
          </w:p>
        </w:tc>
        <w:tc>
          <w:tcPr>
            <w:tcW w:w="3751" w:type="dxa"/>
            <w:gridSpan w:val="2"/>
          </w:tcPr>
          <w:p w14:paraId="134E4E8D" w14:textId="7649510E" w:rsidR="007B6316" w:rsidRPr="002901AF" w:rsidRDefault="0061440B" w:rsidP="00303D62">
            <w:pPr>
              <w:tabs>
                <w:tab w:val="left" w:pos="4111"/>
              </w:tabs>
              <w:spacing w:before="0"/>
              <w:ind w:left="57"/>
              <w:rPr>
                <w:rStyle w:val="Hyperlink"/>
                <w:sz w:val="22"/>
                <w:szCs w:val="22"/>
                <w:lang w:val="es-ES"/>
              </w:rPr>
            </w:pPr>
            <w:r w:rsidRPr="002901AF">
              <w:rPr>
                <w:sz w:val="22"/>
                <w:szCs w:val="22"/>
                <w:lang w:val="es-ES"/>
              </w:rPr>
              <w:t>+41 22 730 6206</w:t>
            </w:r>
          </w:p>
        </w:tc>
        <w:tc>
          <w:tcPr>
            <w:tcW w:w="4754" w:type="dxa"/>
            <w:vMerge/>
          </w:tcPr>
          <w:p w14:paraId="3E283424" w14:textId="77777777" w:rsidR="007B6316" w:rsidRPr="002901AF" w:rsidRDefault="007B6316" w:rsidP="00303D62">
            <w:pPr>
              <w:tabs>
                <w:tab w:val="left" w:pos="4111"/>
              </w:tabs>
              <w:spacing w:before="0"/>
              <w:rPr>
                <w:b/>
                <w:sz w:val="22"/>
                <w:szCs w:val="22"/>
                <w:lang w:val="es-ES"/>
              </w:rPr>
            </w:pPr>
          </w:p>
        </w:tc>
      </w:tr>
      <w:tr w:rsidR="007B6316" w:rsidRPr="002901AF" w14:paraId="02EB9EAD" w14:textId="77777777" w:rsidTr="00397C85">
        <w:trPr>
          <w:cantSplit/>
          <w:trHeight w:val="2648"/>
        </w:trPr>
        <w:tc>
          <w:tcPr>
            <w:tcW w:w="1126" w:type="dxa"/>
          </w:tcPr>
          <w:p w14:paraId="352605C9" w14:textId="77777777" w:rsidR="007B6316" w:rsidRPr="002901AF" w:rsidRDefault="007B6316" w:rsidP="00303D62">
            <w:pPr>
              <w:tabs>
                <w:tab w:val="left" w:pos="4111"/>
              </w:tabs>
              <w:spacing w:before="10"/>
              <w:ind w:left="57"/>
              <w:rPr>
                <w:b/>
                <w:bCs/>
                <w:sz w:val="22"/>
                <w:szCs w:val="22"/>
                <w:lang w:val="es-ES"/>
              </w:rPr>
            </w:pPr>
            <w:r w:rsidRPr="002901AF">
              <w:rPr>
                <w:b/>
                <w:bCs/>
                <w:sz w:val="22"/>
                <w:szCs w:val="22"/>
                <w:lang w:val="es-ES"/>
              </w:rPr>
              <w:t>Fax:</w:t>
            </w:r>
          </w:p>
          <w:p w14:paraId="6C1958A3" w14:textId="0EB8BE06" w:rsidR="00CD6078" w:rsidRPr="002901AF" w:rsidRDefault="00CD6078" w:rsidP="00303D62">
            <w:pPr>
              <w:tabs>
                <w:tab w:val="left" w:pos="4111"/>
              </w:tabs>
              <w:spacing w:before="10"/>
              <w:ind w:left="57"/>
              <w:rPr>
                <w:b/>
                <w:bCs/>
                <w:sz w:val="22"/>
                <w:szCs w:val="22"/>
                <w:lang w:val="es-ES"/>
              </w:rPr>
            </w:pPr>
            <w:r w:rsidRPr="002901AF">
              <w:rPr>
                <w:b/>
                <w:bCs/>
                <w:sz w:val="22"/>
                <w:szCs w:val="22"/>
                <w:lang w:val="es-ES"/>
              </w:rPr>
              <w:t>Correo-e:</w:t>
            </w:r>
          </w:p>
        </w:tc>
        <w:tc>
          <w:tcPr>
            <w:tcW w:w="3751" w:type="dxa"/>
            <w:gridSpan w:val="2"/>
          </w:tcPr>
          <w:p w14:paraId="13171A76" w14:textId="77777777" w:rsidR="007B6316" w:rsidRPr="002901AF" w:rsidRDefault="007B6316" w:rsidP="00303D62">
            <w:pPr>
              <w:tabs>
                <w:tab w:val="left" w:pos="4111"/>
              </w:tabs>
              <w:spacing w:before="0"/>
              <w:ind w:left="57"/>
              <w:rPr>
                <w:sz w:val="22"/>
                <w:szCs w:val="22"/>
                <w:lang w:val="es-ES"/>
              </w:rPr>
            </w:pPr>
            <w:r w:rsidRPr="002901AF">
              <w:rPr>
                <w:sz w:val="22"/>
                <w:szCs w:val="22"/>
                <w:lang w:val="es-ES"/>
              </w:rPr>
              <w:t>+41 22 730 5853</w:t>
            </w:r>
          </w:p>
          <w:p w14:paraId="236A62A6" w14:textId="785EE653" w:rsidR="00CD6078" w:rsidRPr="002901AF" w:rsidRDefault="00FC44BB" w:rsidP="00303D62">
            <w:pPr>
              <w:tabs>
                <w:tab w:val="left" w:pos="4111"/>
              </w:tabs>
              <w:spacing w:before="0"/>
              <w:ind w:left="57"/>
              <w:rPr>
                <w:rStyle w:val="Hyperlink"/>
                <w:sz w:val="22"/>
                <w:szCs w:val="22"/>
                <w:lang w:val="es-ES"/>
              </w:rPr>
            </w:pPr>
            <w:hyperlink r:id="rId9" w:history="1">
              <w:r w:rsidR="00CD6078" w:rsidRPr="002901AF">
                <w:rPr>
                  <w:rStyle w:val="Hyperlink"/>
                  <w:sz w:val="22"/>
                  <w:szCs w:val="22"/>
                  <w:lang w:val="es-ES"/>
                </w:rPr>
                <w:t>tsbsg17@itu.int</w:t>
              </w:r>
            </w:hyperlink>
          </w:p>
        </w:tc>
        <w:tc>
          <w:tcPr>
            <w:tcW w:w="4754" w:type="dxa"/>
            <w:vMerge/>
          </w:tcPr>
          <w:p w14:paraId="4357307A" w14:textId="77777777" w:rsidR="007B6316" w:rsidRPr="002901AF" w:rsidRDefault="007B6316" w:rsidP="00303D62">
            <w:pPr>
              <w:tabs>
                <w:tab w:val="left" w:pos="4111"/>
              </w:tabs>
              <w:spacing w:before="0"/>
              <w:rPr>
                <w:b/>
                <w:sz w:val="22"/>
                <w:szCs w:val="22"/>
                <w:lang w:val="es-ES"/>
              </w:rPr>
            </w:pPr>
          </w:p>
        </w:tc>
      </w:tr>
      <w:tr w:rsidR="007B6316" w:rsidRPr="002901AF" w14:paraId="415E6FA9" w14:textId="77777777" w:rsidTr="00397C85">
        <w:trPr>
          <w:cantSplit/>
          <w:trHeight w:val="1289"/>
        </w:trPr>
        <w:tc>
          <w:tcPr>
            <w:tcW w:w="1126" w:type="dxa"/>
          </w:tcPr>
          <w:p w14:paraId="6BC58E59" w14:textId="77777777" w:rsidR="007B6316" w:rsidRPr="002901AF" w:rsidRDefault="007B6316" w:rsidP="00303D62">
            <w:pPr>
              <w:tabs>
                <w:tab w:val="left" w:pos="4111"/>
              </w:tabs>
              <w:spacing w:before="10"/>
              <w:ind w:left="57"/>
              <w:rPr>
                <w:b/>
                <w:bCs/>
                <w:sz w:val="22"/>
                <w:szCs w:val="22"/>
                <w:lang w:val="es-ES"/>
              </w:rPr>
            </w:pPr>
            <w:r w:rsidRPr="002901AF">
              <w:rPr>
                <w:b/>
                <w:bCs/>
                <w:sz w:val="22"/>
                <w:szCs w:val="22"/>
                <w:lang w:val="es-ES"/>
              </w:rPr>
              <w:t>Asunto:</w:t>
            </w:r>
          </w:p>
        </w:tc>
        <w:tc>
          <w:tcPr>
            <w:tcW w:w="8505" w:type="dxa"/>
            <w:gridSpan w:val="3"/>
          </w:tcPr>
          <w:p w14:paraId="14F2CAE5" w14:textId="031C8B13" w:rsidR="007B6316" w:rsidRPr="002901AF" w:rsidRDefault="0061440B">
            <w:pPr>
              <w:tabs>
                <w:tab w:val="left" w:pos="4111"/>
              </w:tabs>
              <w:spacing w:before="0"/>
              <w:rPr>
                <w:b/>
                <w:sz w:val="22"/>
                <w:szCs w:val="22"/>
                <w:lang w:val="es-ES"/>
              </w:rPr>
            </w:pPr>
            <w:r w:rsidRPr="002901AF">
              <w:rPr>
                <w:b/>
                <w:sz w:val="22"/>
                <w:szCs w:val="22"/>
                <w:lang w:val="es-ES"/>
              </w:rPr>
              <w:t xml:space="preserve">Consulta a los Estados Miembros sobre los proyectos determinados de nuevas Recomendaciones </w:t>
            </w:r>
            <w:r w:rsidR="008577DB" w:rsidRPr="002901AF">
              <w:rPr>
                <w:b/>
                <w:sz w:val="22"/>
                <w:szCs w:val="22"/>
                <w:lang w:val="es-ES"/>
              </w:rPr>
              <w:t>UIT</w:t>
            </w:r>
            <w:r w:rsidR="008577DB" w:rsidRPr="002901AF">
              <w:rPr>
                <w:b/>
                <w:sz w:val="22"/>
                <w:szCs w:val="22"/>
                <w:lang w:val="es-ES"/>
              </w:rPr>
              <w:noBreakHyphen/>
              <w:t>T X.1333 Cor.1, X.1353 (</w:t>
            </w:r>
            <w:proofErr w:type="spellStart"/>
            <w:r w:rsidR="008577DB" w:rsidRPr="003E22F2">
              <w:rPr>
                <w:b/>
                <w:sz w:val="22"/>
                <w:szCs w:val="22"/>
                <w:lang w:val="es-ES"/>
              </w:rPr>
              <w:t>X.ztd-iot</w:t>
            </w:r>
            <w:proofErr w:type="spellEnd"/>
            <w:r w:rsidR="008577DB" w:rsidRPr="002901AF">
              <w:rPr>
                <w:b/>
                <w:sz w:val="22"/>
                <w:szCs w:val="22"/>
                <w:lang w:val="es-ES"/>
              </w:rPr>
              <w:t>), X.1471 (</w:t>
            </w:r>
            <w:proofErr w:type="gramStart"/>
            <w:r w:rsidR="008577DB" w:rsidRPr="003E22F2">
              <w:rPr>
                <w:b/>
                <w:sz w:val="22"/>
                <w:szCs w:val="22"/>
                <w:lang w:val="es-ES"/>
              </w:rPr>
              <w:t>X.websec</w:t>
            </w:r>
            <w:proofErr w:type="gramEnd"/>
            <w:r w:rsidR="008577DB" w:rsidRPr="003E22F2">
              <w:rPr>
                <w:b/>
                <w:sz w:val="22"/>
                <w:szCs w:val="22"/>
                <w:lang w:val="es-ES"/>
              </w:rPr>
              <w:t>-7</w:t>
            </w:r>
            <w:r w:rsidR="008577DB" w:rsidRPr="002901AF">
              <w:rPr>
                <w:b/>
                <w:sz w:val="22"/>
                <w:szCs w:val="22"/>
                <w:lang w:val="es-ES"/>
              </w:rPr>
              <w:t xml:space="preserve">), X.1645 </w:t>
            </w:r>
            <w:r w:rsidR="003E22F2">
              <w:rPr>
                <w:b/>
                <w:sz w:val="22"/>
                <w:szCs w:val="22"/>
                <w:lang w:val="es-ES"/>
              </w:rPr>
              <w:br/>
            </w:r>
            <w:r w:rsidR="008577DB" w:rsidRPr="002901AF">
              <w:rPr>
                <w:b/>
                <w:sz w:val="22"/>
                <w:szCs w:val="22"/>
                <w:lang w:val="es-ES"/>
              </w:rPr>
              <w:t>(</w:t>
            </w:r>
            <w:proofErr w:type="spellStart"/>
            <w:r w:rsidR="008577DB" w:rsidRPr="003E22F2">
              <w:rPr>
                <w:b/>
                <w:sz w:val="22"/>
                <w:szCs w:val="22"/>
                <w:lang w:val="es-ES"/>
              </w:rPr>
              <w:t>X.nssa-cc</w:t>
            </w:r>
            <w:proofErr w:type="spellEnd"/>
            <w:r w:rsidR="008577DB" w:rsidRPr="002901AF">
              <w:rPr>
                <w:b/>
                <w:sz w:val="22"/>
                <w:szCs w:val="22"/>
                <w:lang w:val="es-ES"/>
              </w:rPr>
              <w:t>), X.1771 (</w:t>
            </w:r>
            <w:proofErr w:type="spellStart"/>
            <w:r w:rsidR="008577DB" w:rsidRPr="003E22F2">
              <w:rPr>
                <w:b/>
                <w:sz w:val="22"/>
                <w:szCs w:val="22"/>
                <w:lang w:val="es-ES"/>
              </w:rPr>
              <w:t>X.rdda</w:t>
            </w:r>
            <w:proofErr w:type="spellEnd"/>
            <w:r w:rsidR="008577DB" w:rsidRPr="002901AF">
              <w:rPr>
                <w:b/>
                <w:sz w:val="22"/>
                <w:szCs w:val="22"/>
                <w:lang w:val="es-ES"/>
              </w:rPr>
              <w:t>) y X.1817 (</w:t>
            </w:r>
            <w:r w:rsidR="008577DB" w:rsidRPr="003E22F2">
              <w:rPr>
                <w:b/>
                <w:sz w:val="22"/>
                <w:szCs w:val="22"/>
                <w:lang w:val="es-ES"/>
              </w:rPr>
              <w:t>X.5Gsec-message</w:t>
            </w:r>
            <w:r w:rsidR="008577DB" w:rsidRPr="002901AF">
              <w:rPr>
                <w:b/>
                <w:sz w:val="22"/>
                <w:szCs w:val="22"/>
                <w:lang w:val="es-ES"/>
              </w:rPr>
              <w:t xml:space="preserve">) </w:t>
            </w:r>
            <w:r w:rsidRPr="002901AF">
              <w:rPr>
                <w:b/>
                <w:sz w:val="22"/>
                <w:szCs w:val="22"/>
                <w:lang w:val="es-ES"/>
              </w:rPr>
              <w:t xml:space="preserve">propuestos para aprobación en la reunión de la Comisión de Estudio 17 del UIT-T </w:t>
            </w:r>
            <w:r w:rsidR="00896CCA" w:rsidRPr="002901AF">
              <w:rPr>
                <w:b/>
                <w:sz w:val="22"/>
                <w:szCs w:val="22"/>
                <w:lang w:val="es-ES"/>
              </w:rPr>
              <w:t xml:space="preserve">en </w:t>
            </w:r>
            <w:proofErr w:type="spellStart"/>
            <w:r w:rsidR="008577DB" w:rsidRPr="002901AF">
              <w:rPr>
                <w:b/>
                <w:sz w:val="22"/>
                <w:szCs w:val="22"/>
                <w:lang w:val="es-ES"/>
              </w:rPr>
              <w:t>Goyang</w:t>
            </w:r>
            <w:proofErr w:type="spellEnd"/>
            <w:r w:rsidR="008577DB" w:rsidRPr="002901AF">
              <w:rPr>
                <w:b/>
                <w:sz w:val="22"/>
                <w:szCs w:val="22"/>
                <w:lang w:val="es-ES"/>
              </w:rPr>
              <w:t xml:space="preserve"> (Corea)</w:t>
            </w:r>
            <w:r w:rsidRPr="002901AF">
              <w:rPr>
                <w:b/>
                <w:sz w:val="22"/>
                <w:szCs w:val="22"/>
                <w:lang w:val="es-ES"/>
              </w:rPr>
              <w:t xml:space="preserve">, </w:t>
            </w:r>
            <w:r w:rsidR="00135302" w:rsidRPr="002901AF">
              <w:rPr>
                <w:b/>
                <w:sz w:val="22"/>
                <w:szCs w:val="22"/>
                <w:lang w:val="es-ES"/>
              </w:rPr>
              <w:t xml:space="preserve">del </w:t>
            </w:r>
            <w:r w:rsidR="008577DB" w:rsidRPr="002901AF">
              <w:rPr>
                <w:b/>
                <w:sz w:val="22"/>
                <w:szCs w:val="22"/>
                <w:lang w:val="es-ES"/>
              </w:rPr>
              <w:t>2</w:t>
            </w:r>
            <w:r w:rsidR="004E3E9B">
              <w:rPr>
                <w:b/>
                <w:sz w:val="22"/>
                <w:szCs w:val="22"/>
                <w:lang w:val="es-ES"/>
              </w:rPr>
              <w:t>8</w:t>
            </w:r>
            <w:r w:rsidR="008577DB" w:rsidRPr="002901AF">
              <w:rPr>
                <w:b/>
                <w:sz w:val="22"/>
                <w:szCs w:val="22"/>
                <w:lang w:val="es-ES"/>
              </w:rPr>
              <w:t xml:space="preserve"> </w:t>
            </w:r>
            <w:r w:rsidRPr="002901AF">
              <w:rPr>
                <w:b/>
                <w:sz w:val="22"/>
                <w:szCs w:val="22"/>
                <w:lang w:val="es-ES"/>
              </w:rPr>
              <w:t>de agosto-</w:t>
            </w:r>
            <w:r w:rsidR="00135302" w:rsidRPr="002901AF">
              <w:rPr>
                <w:b/>
                <w:sz w:val="22"/>
                <w:szCs w:val="22"/>
                <w:lang w:val="es-ES"/>
              </w:rPr>
              <w:t xml:space="preserve">al </w:t>
            </w:r>
            <w:r w:rsidR="008577DB" w:rsidRPr="002901AF">
              <w:rPr>
                <w:b/>
                <w:sz w:val="22"/>
                <w:szCs w:val="22"/>
                <w:lang w:val="es-ES"/>
              </w:rPr>
              <w:t xml:space="preserve">8 </w:t>
            </w:r>
            <w:r w:rsidRPr="002901AF">
              <w:rPr>
                <w:b/>
                <w:sz w:val="22"/>
                <w:szCs w:val="22"/>
                <w:lang w:val="es-ES"/>
              </w:rPr>
              <w:t xml:space="preserve">de septiembre de </w:t>
            </w:r>
            <w:r w:rsidR="008577DB" w:rsidRPr="002901AF">
              <w:rPr>
                <w:b/>
                <w:sz w:val="22"/>
                <w:szCs w:val="22"/>
                <w:lang w:val="es-ES"/>
              </w:rPr>
              <w:t>2023</w:t>
            </w:r>
          </w:p>
        </w:tc>
      </w:tr>
    </w:tbl>
    <w:p w14:paraId="5EEE7046" w14:textId="7170BE37" w:rsidR="00C34772" w:rsidRPr="002901AF" w:rsidRDefault="00C34772" w:rsidP="005B6A2D">
      <w:pPr>
        <w:spacing w:before="360"/>
        <w:rPr>
          <w:sz w:val="22"/>
          <w:szCs w:val="22"/>
          <w:lang w:val="es-ES"/>
        </w:rPr>
      </w:pPr>
      <w:bookmarkStart w:id="1" w:name="StartTyping_S"/>
      <w:bookmarkStart w:id="2" w:name="suitetext"/>
      <w:bookmarkStart w:id="3" w:name="text"/>
      <w:bookmarkEnd w:id="1"/>
      <w:bookmarkEnd w:id="2"/>
      <w:bookmarkEnd w:id="3"/>
      <w:r w:rsidRPr="002901AF">
        <w:rPr>
          <w:sz w:val="22"/>
          <w:szCs w:val="22"/>
          <w:lang w:val="es-ES"/>
        </w:rPr>
        <w:t>Muy Señora mía/Muy Señor mío</w:t>
      </w:r>
      <w:r w:rsidR="00CD6078" w:rsidRPr="002901AF">
        <w:rPr>
          <w:sz w:val="22"/>
          <w:szCs w:val="22"/>
          <w:lang w:val="es-ES"/>
        </w:rPr>
        <w:t>,</w:t>
      </w:r>
    </w:p>
    <w:p w14:paraId="7C560B03" w14:textId="774C5D03" w:rsidR="007B6316" w:rsidRPr="002901AF" w:rsidRDefault="0061440B" w:rsidP="007B6316">
      <w:pPr>
        <w:rPr>
          <w:sz w:val="22"/>
          <w:szCs w:val="22"/>
          <w:lang w:val="es-ES"/>
        </w:rPr>
      </w:pPr>
      <w:r w:rsidRPr="002901AF">
        <w:rPr>
          <w:bCs/>
          <w:sz w:val="22"/>
          <w:szCs w:val="22"/>
          <w:lang w:val="es-ES"/>
        </w:rPr>
        <w:t>1</w:t>
      </w:r>
      <w:r w:rsidRPr="002901AF">
        <w:rPr>
          <w:sz w:val="22"/>
          <w:szCs w:val="22"/>
          <w:lang w:val="es-ES"/>
        </w:rPr>
        <w:tab/>
      </w:r>
      <w:proofErr w:type="gramStart"/>
      <w:r w:rsidRPr="002901AF">
        <w:rPr>
          <w:sz w:val="22"/>
          <w:szCs w:val="22"/>
          <w:lang w:val="es-ES"/>
        </w:rPr>
        <w:t>La</w:t>
      </w:r>
      <w:proofErr w:type="gramEnd"/>
      <w:r w:rsidRPr="002901AF">
        <w:rPr>
          <w:sz w:val="22"/>
          <w:szCs w:val="22"/>
          <w:lang w:val="es-ES"/>
        </w:rPr>
        <w:t xml:space="preserve"> Comisión de Estudio 17 (Seguridad) tiene previsto aplicar el procedimiento de aprobación tradicional descrito en la Sección 9 de la Resolución 1 (Rev. Ginebra, 2022) de la AMNT a efectos de la aprobación de los proyectos de Recomendación indicados en el asunto durante la próxima reunión que tendrá lugar en </w:t>
      </w:r>
      <w:r w:rsidR="008577DB" w:rsidRPr="002901AF">
        <w:rPr>
          <w:sz w:val="22"/>
          <w:szCs w:val="22"/>
          <w:lang w:val="es-ES"/>
        </w:rPr>
        <w:t xml:space="preserve">Corea </w:t>
      </w:r>
      <w:r w:rsidRPr="002901AF">
        <w:rPr>
          <w:sz w:val="22"/>
          <w:szCs w:val="22"/>
          <w:lang w:val="es-ES"/>
        </w:rPr>
        <w:t xml:space="preserve">del </w:t>
      </w:r>
      <w:r w:rsidR="008577DB" w:rsidRPr="002901AF">
        <w:rPr>
          <w:sz w:val="22"/>
          <w:szCs w:val="22"/>
          <w:lang w:val="es-ES"/>
        </w:rPr>
        <w:t xml:space="preserve">28 </w:t>
      </w:r>
      <w:r w:rsidRPr="002901AF">
        <w:rPr>
          <w:sz w:val="22"/>
          <w:szCs w:val="22"/>
          <w:lang w:val="es-ES"/>
        </w:rPr>
        <w:t xml:space="preserve">de agosto al </w:t>
      </w:r>
      <w:r w:rsidR="004E3E9B">
        <w:rPr>
          <w:sz w:val="22"/>
          <w:szCs w:val="22"/>
          <w:lang w:val="es-ES"/>
        </w:rPr>
        <w:t>8</w:t>
      </w:r>
      <w:r w:rsidR="008577DB" w:rsidRPr="002901AF">
        <w:rPr>
          <w:sz w:val="22"/>
          <w:szCs w:val="22"/>
          <w:lang w:val="es-ES"/>
        </w:rPr>
        <w:t xml:space="preserve"> </w:t>
      </w:r>
      <w:r w:rsidRPr="002901AF">
        <w:rPr>
          <w:sz w:val="22"/>
          <w:szCs w:val="22"/>
          <w:lang w:val="es-ES"/>
        </w:rPr>
        <w:t xml:space="preserve">de septiembre de </w:t>
      </w:r>
      <w:r w:rsidR="008577DB" w:rsidRPr="002901AF">
        <w:rPr>
          <w:sz w:val="22"/>
          <w:szCs w:val="22"/>
          <w:lang w:val="es-ES"/>
        </w:rPr>
        <w:t>2023</w:t>
      </w:r>
      <w:r w:rsidRPr="002901AF">
        <w:rPr>
          <w:sz w:val="22"/>
          <w:szCs w:val="22"/>
          <w:lang w:val="es-ES"/>
        </w:rPr>
        <w:t xml:space="preserve">. El orden del día y toda la información pertinente sobre la reunión de la Comisión de Estudio 17 del UIT-T figuran en la Carta Colectiva </w:t>
      </w:r>
      <w:hyperlink r:id="rId10" w:history="1">
        <w:r w:rsidR="008577DB" w:rsidRPr="002901AF">
          <w:rPr>
            <w:rStyle w:val="Hyperlink"/>
            <w:sz w:val="22"/>
            <w:szCs w:val="22"/>
            <w:lang w:val="es-ES"/>
          </w:rPr>
          <w:t>5</w:t>
        </w:r>
        <w:r w:rsidRPr="002901AF">
          <w:rPr>
            <w:rStyle w:val="Hyperlink"/>
            <w:sz w:val="22"/>
            <w:szCs w:val="22"/>
            <w:lang w:val="es-ES"/>
          </w:rPr>
          <w:t>/17</w:t>
        </w:r>
      </w:hyperlink>
      <w:r w:rsidRPr="002901AF">
        <w:rPr>
          <w:sz w:val="22"/>
          <w:szCs w:val="22"/>
          <w:lang w:val="es-ES"/>
        </w:rPr>
        <w:t>.</w:t>
      </w:r>
    </w:p>
    <w:p w14:paraId="4DA73665" w14:textId="77777777" w:rsidR="0061440B" w:rsidRPr="002901AF" w:rsidRDefault="0061440B" w:rsidP="0061440B">
      <w:pPr>
        <w:rPr>
          <w:sz w:val="22"/>
          <w:szCs w:val="22"/>
          <w:lang w:val="es-ES"/>
        </w:rPr>
      </w:pPr>
      <w:r w:rsidRPr="002901AF">
        <w:rPr>
          <w:bCs/>
          <w:sz w:val="22"/>
          <w:szCs w:val="22"/>
          <w:lang w:val="es-ES"/>
        </w:rPr>
        <w:t>2</w:t>
      </w:r>
      <w:r w:rsidRPr="002901AF">
        <w:rPr>
          <w:sz w:val="22"/>
          <w:szCs w:val="22"/>
          <w:lang w:val="es-ES"/>
        </w:rPr>
        <w:tab/>
      </w:r>
      <w:proofErr w:type="gramStart"/>
      <w:r w:rsidRPr="002901AF">
        <w:rPr>
          <w:sz w:val="22"/>
          <w:szCs w:val="22"/>
          <w:lang w:val="es-ES"/>
        </w:rPr>
        <w:t>El</w:t>
      </w:r>
      <w:proofErr w:type="gramEnd"/>
      <w:r w:rsidRPr="002901AF">
        <w:rPr>
          <w:sz w:val="22"/>
          <w:szCs w:val="22"/>
          <w:lang w:val="es-ES"/>
        </w:rPr>
        <w:t xml:space="preserve"> </w:t>
      </w:r>
      <w:r w:rsidRPr="002901AF">
        <w:rPr>
          <w:b/>
          <w:bCs/>
          <w:sz w:val="22"/>
          <w:szCs w:val="22"/>
          <w:lang w:val="es-ES"/>
        </w:rPr>
        <w:t xml:space="preserve">Anexo 1 </w:t>
      </w:r>
      <w:r w:rsidRPr="002901AF">
        <w:rPr>
          <w:sz w:val="22"/>
          <w:szCs w:val="22"/>
          <w:lang w:val="es-ES"/>
        </w:rPr>
        <w:t>contiene los títulos, resúmenes y ubicaciones de los proyectos de Recomendación UIT-T propuestos para aprobación.</w:t>
      </w:r>
    </w:p>
    <w:p w14:paraId="22DE9A02" w14:textId="610EA8A6" w:rsidR="0061440B" w:rsidRPr="002901AF" w:rsidRDefault="0061440B" w:rsidP="00CD6BF1">
      <w:pPr>
        <w:pStyle w:val="Note"/>
        <w:rPr>
          <w:sz w:val="22"/>
          <w:szCs w:val="22"/>
          <w:lang w:val="es-ES"/>
        </w:rPr>
      </w:pPr>
      <w:r w:rsidRPr="002901AF">
        <w:rPr>
          <w:sz w:val="22"/>
          <w:szCs w:val="22"/>
          <w:lang w:val="es-ES"/>
        </w:rPr>
        <w:t xml:space="preserve">NOTA 1 de la TSB – </w:t>
      </w:r>
      <w:r w:rsidR="00AA5922" w:rsidRPr="002901AF">
        <w:rPr>
          <w:sz w:val="22"/>
          <w:szCs w:val="22"/>
          <w:lang w:val="es-ES"/>
        </w:rPr>
        <w:t>A excepción del proyecto de nueva Recomendación X.1817 (X.5Gsec-message), no se ha presentado la justificación de los textos determinados.</w:t>
      </w:r>
    </w:p>
    <w:p w14:paraId="50C705FC" w14:textId="71D860FF" w:rsidR="0061440B" w:rsidRPr="002901AF" w:rsidRDefault="0061440B" w:rsidP="00CD6BF1">
      <w:pPr>
        <w:pStyle w:val="Note"/>
        <w:rPr>
          <w:sz w:val="22"/>
          <w:szCs w:val="22"/>
          <w:lang w:val="es-ES"/>
        </w:rPr>
      </w:pPr>
      <w:r w:rsidRPr="002901AF">
        <w:rPr>
          <w:sz w:val="22"/>
          <w:szCs w:val="22"/>
          <w:lang w:val="es-ES"/>
        </w:rPr>
        <w:t xml:space="preserve">NOTA 2 de la TSB – En el momento en que se publica la presente Circular, la TSB no había recibido declaración alguna en materia de derechos de propiedad intelectual </w:t>
      </w:r>
      <w:r w:rsidR="00E77E66" w:rsidRPr="002901AF">
        <w:rPr>
          <w:sz w:val="22"/>
          <w:szCs w:val="22"/>
          <w:lang w:val="es-ES"/>
        </w:rPr>
        <w:t xml:space="preserve">para </w:t>
      </w:r>
      <w:r w:rsidRPr="002901AF">
        <w:rPr>
          <w:sz w:val="22"/>
          <w:szCs w:val="22"/>
          <w:lang w:val="es-ES"/>
        </w:rPr>
        <w:t>estos texto</w:t>
      </w:r>
      <w:r w:rsidR="00E77E66" w:rsidRPr="002901AF">
        <w:rPr>
          <w:sz w:val="22"/>
          <w:szCs w:val="22"/>
          <w:lang w:val="es-ES"/>
        </w:rPr>
        <w:t>s determinados</w:t>
      </w:r>
      <w:r w:rsidRPr="002901AF">
        <w:rPr>
          <w:sz w:val="22"/>
          <w:szCs w:val="22"/>
          <w:lang w:val="es-ES"/>
        </w:rPr>
        <w:t xml:space="preserve">. Para obtener información actualizada, se invita a los miembros a que consulten la base de datos de DPI en la dirección </w:t>
      </w:r>
      <w:hyperlink r:id="rId11" w:history="1">
        <w:r w:rsidR="00CD6BF1" w:rsidRPr="002901AF">
          <w:rPr>
            <w:rStyle w:val="Hyperlink"/>
            <w:sz w:val="22"/>
            <w:szCs w:val="22"/>
            <w:lang w:val="es-ES"/>
          </w:rPr>
          <w:t>https://www.itu.int/ipr/</w:t>
        </w:r>
      </w:hyperlink>
      <w:r w:rsidRPr="002901AF">
        <w:rPr>
          <w:sz w:val="22"/>
          <w:szCs w:val="22"/>
          <w:lang w:val="es-ES"/>
        </w:rPr>
        <w:t>.</w:t>
      </w:r>
    </w:p>
    <w:p w14:paraId="7E3D646B" w14:textId="565E80FF" w:rsidR="00CD6078" w:rsidRPr="002901AF" w:rsidRDefault="0061440B" w:rsidP="0061440B">
      <w:pPr>
        <w:rPr>
          <w:sz w:val="22"/>
          <w:szCs w:val="22"/>
          <w:lang w:val="es-ES"/>
        </w:rPr>
      </w:pPr>
      <w:r w:rsidRPr="002901AF">
        <w:rPr>
          <w:sz w:val="22"/>
          <w:szCs w:val="22"/>
          <w:lang w:val="es-ES"/>
        </w:rPr>
        <w:t>3</w:t>
      </w:r>
      <w:r w:rsidRPr="002901AF">
        <w:rPr>
          <w:sz w:val="22"/>
          <w:szCs w:val="22"/>
          <w:lang w:val="es-ES"/>
        </w:rPr>
        <w:tab/>
      </w:r>
      <w:proofErr w:type="gramStart"/>
      <w:r w:rsidRPr="002901AF">
        <w:rPr>
          <w:sz w:val="22"/>
          <w:szCs w:val="22"/>
          <w:lang w:val="es-ES"/>
        </w:rPr>
        <w:t>Con</w:t>
      </w:r>
      <w:proofErr w:type="gramEnd"/>
      <w:r w:rsidRPr="002901AF">
        <w:rPr>
          <w:sz w:val="22"/>
          <w:szCs w:val="22"/>
          <w:lang w:val="es-ES"/>
        </w:rPr>
        <w:t xml:space="preserve"> esta Circular se inicia la consulta oficial con los Estados Miembros de la UIT sobre si estos textos pueden considerarse para aprobación en la próxima reunión, de acuerdo con la cláusula 9.4 de la Resolución 1. Se ruega a los Estados Miembros que completen y devuelvan el formulario del </w:t>
      </w:r>
      <w:r w:rsidRPr="002901AF">
        <w:rPr>
          <w:b/>
          <w:sz w:val="22"/>
          <w:szCs w:val="22"/>
          <w:lang w:val="es-ES"/>
        </w:rPr>
        <w:t xml:space="preserve">Anexo 2 </w:t>
      </w:r>
      <w:r w:rsidRPr="002901AF">
        <w:rPr>
          <w:sz w:val="22"/>
          <w:szCs w:val="22"/>
          <w:lang w:val="es-ES"/>
        </w:rPr>
        <w:t xml:space="preserve">antes de las 23.59 horas UTC del </w:t>
      </w:r>
      <w:r w:rsidR="00E77E66" w:rsidRPr="002901AF">
        <w:rPr>
          <w:b/>
          <w:sz w:val="22"/>
          <w:szCs w:val="22"/>
          <w:lang w:val="es-ES"/>
        </w:rPr>
        <w:t xml:space="preserve">16 </w:t>
      </w:r>
      <w:r w:rsidRPr="002901AF">
        <w:rPr>
          <w:b/>
          <w:sz w:val="22"/>
          <w:szCs w:val="22"/>
          <w:lang w:val="es-ES"/>
        </w:rPr>
        <w:t xml:space="preserve">de agosto de </w:t>
      </w:r>
      <w:r w:rsidR="00E77E66" w:rsidRPr="002901AF">
        <w:rPr>
          <w:b/>
          <w:sz w:val="22"/>
          <w:szCs w:val="22"/>
          <w:lang w:val="es-ES"/>
        </w:rPr>
        <w:t>2023</w:t>
      </w:r>
      <w:r w:rsidRPr="002901AF">
        <w:rPr>
          <w:sz w:val="22"/>
          <w:szCs w:val="22"/>
          <w:lang w:val="es-ES"/>
        </w:rPr>
        <w:t>.</w:t>
      </w:r>
    </w:p>
    <w:p w14:paraId="66052314" w14:textId="77777777" w:rsidR="00CD6078" w:rsidRPr="002901AF" w:rsidRDefault="00CD6078">
      <w:pPr>
        <w:tabs>
          <w:tab w:val="clear" w:pos="794"/>
          <w:tab w:val="clear" w:pos="1191"/>
          <w:tab w:val="clear" w:pos="1588"/>
          <w:tab w:val="clear" w:pos="1985"/>
        </w:tabs>
        <w:overflowPunct/>
        <w:autoSpaceDE/>
        <w:autoSpaceDN/>
        <w:adjustRightInd/>
        <w:spacing w:before="0"/>
        <w:textAlignment w:val="auto"/>
        <w:rPr>
          <w:sz w:val="22"/>
          <w:szCs w:val="22"/>
          <w:lang w:val="es-ES"/>
        </w:rPr>
      </w:pPr>
      <w:r w:rsidRPr="002901AF">
        <w:rPr>
          <w:sz w:val="22"/>
          <w:szCs w:val="22"/>
          <w:lang w:val="es-ES"/>
        </w:rPr>
        <w:br w:type="page"/>
      </w:r>
    </w:p>
    <w:p w14:paraId="0BF16D47" w14:textId="14424ED7" w:rsidR="007B6316" w:rsidRPr="002901AF" w:rsidRDefault="0061440B" w:rsidP="0061440B">
      <w:pPr>
        <w:rPr>
          <w:sz w:val="22"/>
          <w:szCs w:val="22"/>
          <w:lang w:val="es-ES"/>
        </w:rPr>
      </w:pPr>
      <w:r w:rsidRPr="002901AF">
        <w:rPr>
          <w:sz w:val="22"/>
          <w:szCs w:val="22"/>
          <w:lang w:val="es-ES"/>
        </w:rPr>
        <w:lastRenderedPageBreak/>
        <w:t>4</w:t>
      </w:r>
      <w:r w:rsidRPr="002901AF">
        <w:rPr>
          <w:sz w:val="22"/>
          <w:szCs w:val="22"/>
          <w:lang w:val="es-ES"/>
        </w:rPr>
        <w:tab/>
      </w:r>
      <w:proofErr w:type="gramStart"/>
      <w:r w:rsidRPr="002901AF">
        <w:rPr>
          <w:sz w:val="22"/>
          <w:szCs w:val="22"/>
          <w:lang w:val="es-ES"/>
        </w:rPr>
        <w:t>Si</w:t>
      </w:r>
      <w:proofErr w:type="gramEnd"/>
      <w:r w:rsidRPr="002901AF">
        <w:rPr>
          <w:sz w:val="22"/>
          <w:szCs w:val="22"/>
          <w:lang w:val="es-ES"/>
        </w:rPr>
        <w:t xml:space="preserve"> el 70% como mínimo de las respuestas de los Estados Miembros es favorable a que se considere la aprobación, se dedicará una sesión plenaria a la aplicación del procedimiento de aprobación. Los Estados Miembros que no otorguen autoridad para proceder deben informar al </w:t>
      </w:r>
      <w:proofErr w:type="gramStart"/>
      <w:r w:rsidRPr="002901AF">
        <w:rPr>
          <w:sz w:val="22"/>
          <w:szCs w:val="22"/>
          <w:lang w:val="es-ES"/>
        </w:rPr>
        <w:t>Director</w:t>
      </w:r>
      <w:proofErr w:type="gramEnd"/>
      <w:r w:rsidRPr="002901AF">
        <w:rPr>
          <w:sz w:val="22"/>
          <w:szCs w:val="22"/>
          <w:lang w:val="es-ES"/>
        </w:rPr>
        <w:t xml:space="preserve"> de la TSB de los motivos en que se fundamenta esta opinión e indicar los cambios que podrían permitir el proseguimiento de los trabajos.</w:t>
      </w:r>
    </w:p>
    <w:p w14:paraId="47F9E195" w14:textId="1F125F1B" w:rsidR="007B6316" w:rsidRPr="002901AF" w:rsidRDefault="007B6316" w:rsidP="007B6316">
      <w:pPr>
        <w:rPr>
          <w:sz w:val="22"/>
          <w:szCs w:val="22"/>
          <w:lang w:val="es-ES"/>
        </w:rPr>
      </w:pPr>
      <w:r w:rsidRPr="002901AF">
        <w:rPr>
          <w:sz w:val="22"/>
          <w:szCs w:val="22"/>
          <w:lang w:val="es-ES"/>
        </w:rPr>
        <w:t>Atentamente,</w:t>
      </w:r>
    </w:p>
    <w:p w14:paraId="0E07117C" w14:textId="1ED74AD4" w:rsidR="007B6316" w:rsidRPr="002901AF" w:rsidRDefault="00FC44BB" w:rsidP="00CD6078">
      <w:pPr>
        <w:spacing w:before="960"/>
        <w:rPr>
          <w:sz w:val="22"/>
          <w:szCs w:val="22"/>
          <w:lang w:val="es-ES"/>
        </w:rPr>
      </w:pPr>
      <w:r>
        <w:rPr>
          <w:noProof/>
          <w:sz w:val="22"/>
          <w:szCs w:val="22"/>
          <w:lang w:val="es-ES"/>
        </w:rPr>
        <w:drawing>
          <wp:anchor distT="0" distB="0" distL="114300" distR="114300" simplePos="0" relativeHeight="251658240" behindDoc="1" locked="0" layoutInCell="1" allowOverlap="1" wp14:anchorId="11B88F58" wp14:editId="3097E0C4">
            <wp:simplePos x="0" y="0"/>
            <wp:positionH relativeFrom="column">
              <wp:posOffset>3810</wp:posOffset>
            </wp:positionH>
            <wp:positionV relativeFrom="paragraph">
              <wp:posOffset>161925</wp:posOffset>
            </wp:positionV>
            <wp:extent cx="803652" cy="361950"/>
            <wp:effectExtent l="0" t="0" r="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03652" cy="361950"/>
                    </a:xfrm>
                    <a:prstGeom prst="rect">
                      <a:avLst/>
                    </a:prstGeom>
                  </pic:spPr>
                </pic:pic>
              </a:graphicData>
            </a:graphic>
            <wp14:sizeRelH relativeFrom="margin">
              <wp14:pctWidth>0</wp14:pctWidth>
            </wp14:sizeRelH>
            <wp14:sizeRelV relativeFrom="margin">
              <wp14:pctHeight>0</wp14:pctHeight>
            </wp14:sizeRelV>
          </wp:anchor>
        </w:drawing>
      </w:r>
      <w:r w:rsidR="006012DF" w:rsidRPr="002901AF">
        <w:rPr>
          <w:sz w:val="22"/>
          <w:szCs w:val="22"/>
          <w:lang w:val="es-ES"/>
        </w:rPr>
        <w:t>Seizo Onoe</w:t>
      </w:r>
      <w:r w:rsidR="007B6316" w:rsidRPr="002901AF">
        <w:rPr>
          <w:sz w:val="22"/>
          <w:szCs w:val="22"/>
          <w:lang w:val="es-ES"/>
        </w:rPr>
        <w:br/>
      </w:r>
      <w:proofErr w:type="gramStart"/>
      <w:r w:rsidR="007B6316" w:rsidRPr="002901AF">
        <w:rPr>
          <w:sz w:val="22"/>
          <w:szCs w:val="22"/>
          <w:lang w:val="es-ES"/>
        </w:rPr>
        <w:t>Director</w:t>
      </w:r>
      <w:proofErr w:type="gramEnd"/>
      <w:r w:rsidR="007B6316" w:rsidRPr="002901AF">
        <w:rPr>
          <w:sz w:val="22"/>
          <w:szCs w:val="22"/>
          <w:lang w:val="es-ES"/>
        </w:rPr>
        <w:t xml:space="preserve"> de la Oficina de </w:t>
      </w:r>
      <w:r w:rsidR="007B6316" w:rsidRPr="002901AF">
        <w:rPr>
          <w:sz w:val="22"/>
          <w:szCs w:val="22"/>
          <w:lang w:val="es-ES"/>
        </w:rPr>
        <w:br/>
        <w:t>Normalización de las Telecomunicaciones</w:t>
      </w:r>
    </w:p>
    <w:p w14:paraId="40EC1F9C" w14:textId="61D9D679" w:rsidR="0061440B" w:rsidRPr="002901AF" w:rsidRDefault="0061440B" w:rsidP="0061440B">
      <w:pPr>
        <w:ind w:right="92"/>
        <w:rPr>
          <w:bCs/>
          <w:sz w:val="22"/>
          <w:szCs w:val="22"/>
          <w:lang w:val="es-ES"/>
        </w:rPr>
      </w:pPr>
      <w:r w:rsidRPr="002901AF">
        <w:rPr>
          <w:b/>
          <w:sz w:val="22"/>
          <w:szCs w:val="22"/>
          <w:lang w:val="es-ES"/>
        </w:rPr>
        <w:t xml:space="preserve">Anexos: </w:t>
      </w:r>
      <w:r w:rsidRPr="002901AF">
        <w:rPr>
          <w:bCs/>
          <w:sz w:val="22"/>
          <w:szCs w:val="22"/>
          <w:lang w:val="es-ES"/>
        </w:rPr>
        <w:t>2</w:t>
      </w:r>
    </w:p>
    <w:p w14:paraId="7D05CD33" w14:textId="166A4BD6" w:rsidR="00CD6078" w:rsidRPr="002901AF" w:rsidRDefault="00CD6078" w:rsidP="0061440B">
      <w:pPr>
        <w:ind w:right="92"/>
        <w:rPr>
          <w:bCs/>
          <w:sz w:val="22"/>
          <w:szCs w:val="22"/>
          <w:lang w:val="es-ES"/>
        </w:rPr>
      </w:pPr>
    </w:p>
    <w:p w14:paraId="3D858A06" w14:textId="77777777" w:rsidR="0061440B" w:rsidRPr="002901AF" w:rsidRDefault="0061440B" w:rsidP="0061440B">
      <w:pPr>
        <w:ind w:right="92"/>
        <w:rPr>
          <w:lang w:val="es-ES"/>
        </w:rPr>
      </w:pPr>
      <w:r w:rsidRPr="002901AF">
        <w:rPr>
          <w:lang w:val="es-ES"/>
        </w:rPr>
        <w:br w:type="page"/>
      </w:r>
    </w:p>
    <w:p w14:paraId="38AC25D2" w14:textId="3C91B63F" w:rsidR="0061440B" w:rsidRPr="00BF0F7B" w:rsidRDefault="0061440B" w:rsidP="00BF0F7B">
      <w:pPr>
        <w:pStyle w:val="AnnexTitle"/>
        <w:rPr>
          <w:sz w:val="28"/>
          <w:szCs w:val="28"/>
          <w:lang w:val="es-ES"/>
        </w:rPr>
      </w:pPr>
      <w:r w:rsidRPr="00BF0F7B">
        <w:rPr>
          <w:sz w:val="28"/>
          <w:szCs w:val="28"/>
          <w:lang w:val="es-ES"/>
        </w:rPr>
        <w:lastRenderedPageBreak/>
        <w:t>Anexo 1</w:t>
      </w:r>
    </w:p>
    <w:p w14:paraId="3F33AD66" w14:textId="3BAA2365" w:rsidR="0061440B" w:rsidRPr="00BF0F7B" w:rsidRDefault="0061440B" w:rsidP="00BF0F7B">
      <w:pPr>
        <w:pStyle w:val="AnnexTitle"/>
        <w:rPr>
          <w:sz w:val="28"/>
          <w:szCs w:val="28"/>
          <w:lang w:val="es-ES"/>
        </w:rPr>
      </w:pPr>
      <w:r w:rsidRPr="00BF0F7B">
        <w:rPr>
          <w:sz w:val="28"/>
          <w:szCs w:val="28"/>
          <w:lang w:val="es-ES"/>
        </w:rPr>
        <w:t xml:space="preserve">Resumen y ubicación de los proyectos determinados de </w:t>
      </w:r>
      <w:r w:rsidR="00EC3DE5" w:rsidRPr="00BF0F7B">
        <w:rPr>
          <w:sz w:val="28"/>
          <w:szCs w:val="28"/>
          <w:lang w:val="es-ES"/>
        </w:rPr>
        <w:br/>
      </w:r>
      <w:r w:rsidRPr="00BF0F7B">
        <w:rPr>
          <w:sz w:val="28"/>
          <w:szCs w:val="28"/>
          <w:lang w:val="es-ES"/>
        </w:rPr>
        <w:t xml:space="preserve">nuevas Recomendaciones </w:t>
      </w:r>
      <w:bookmarkStart w:id="4" w:name="lt_pId073"/>
      <w:r w:rsidR="006012DF" w:rsidRPr="00BF0F7B">
        <w:rPr>
          <w:sz w:val="28"/>
          <w:szCs w:val="28"/>
          <w:lang w:val="es-ES"/>
        </w:rPr>
        <w:t>UIT T X.1333 Cor.1, X.1353 (</w:t>
      </w:r>
      <w:proofErr w:type="spellStart"/>
      <w:r w:rsidR="006012DF" w:rsidRPr="00BF0F7B">
        <w:rPr>
          <w:sz w:val="28"/>
          <w:szCs w:val="28"/>
          <w:lang w:val="es-ES"/>
        </w:rPr>
        <w:t>X.ztd-iot</w:t>
      </w:r>
      <w:proofErr w:type="spellEnd"/>
      <w:r w:rsidR="006012DF" w:rsidRPr="00BF0F7B">
        <w:rPr>
          <w:sz w:val="28"/>
          <w:szCs w:val="28"/>
          <w:lang w:val="es-ES"/>
        </w:rPr>
        <w:t xml:space="preserve">), X.1471 </w:t>
      </w:r>
      <w:r w:rsidR="003E22F2" w:rsidRPr="00BF0F7B">
        <w:rPr>
          <w:sz w:val="28"/>
          <w:szCs w:val="28"/>
          <w:lang w:val="es-ES"/>
        </w:rPr>
        <w:br/>
      </w:r>
      <w:r w:rsidR="006012DF" w:rsidRPr="00BF0F7B">
        <w:rPr>
          <w:sz w:val="28"/>
          <w:szCs w:val="28"/>
          <w:lang w:val="es-ES"/>
        </w:rPr>
        <w:t>(</w:t>
      </w:r>
      <w:proofErr w:type="gramStart"/>
      <w:r w:rsidR="006012DF" w:rsidRPr="00BF0F7B">
        <w:rPr>
          <w:sz w:val="28"/>
          <w:szCs w:val="28"/>
          <w:lang w:val="es-ES"/>
        </w:rPr>
        <w:t>X.websec</w:t>
      </w:r>
      <w:proofErr w:type="gramEnd"/>
      <w:r w:rsidR="006012DF" w:rsidRPr="00BF0F7B">
        <w:rPr>
          <w:sz w:val="28"/>
          <w:szCs w:val="28"/>
          <w:lang w:val="es-ES"/>
        </w:rPr>
        <w:t>-7), X.1645 (</w:t>
      </w:r>
      <w:proofErr w:type="spellStart"/>
      <w:r w:rsidR="006012DF" w:rsidRPr="00BF0F7B">
        <w:rPr>
          <w:sz w:val="28"/>
          <w:szCs w:val="28"/>
          <w:lang w:val="es-ES"/>
        </w:rPr>
        <w:t>X.nssa-cc</w:t>
      </w:r>
      <w:proofErr w:type="spellEnd"/>
      <w:r w:rsidR="006012DF" w:rsidRPr="00BF0F7B">
        <w:rPr>
          <w:sz w:val="28"/>
          <w:szCs w:val="28"/>
          <w:lang w:val="es-ES"/>
        </w:rPr>
        <w:t>), X.1771 (</w:t>
      </w:r>
      <w:proofErr w:type="spellStart"/>
      <w:r w:rsidR="006012DF" w:rsidRPr="00BF0F7B">
        <w:rPr>
          <w:sz w:val="28"/>
          <w:szCs w:val="28"/>
          <w:lang w:val="es-ES"/>
        </w:rPr>
        <w:t>X.rdda</w:t>
      </w:r>
      <w:proofErr w:type="spellEnd"/>
      <w:r w:rsidR="006012DF" w:rsidRPr="00BF0F7B">
        <w:rPr>
          <w:sz w:val="28"/>
          <w:szCs w:val="28"/>
          <w:lang w:val="es-ES"/>
        </w:rPr>
        <w:t>) y X.1817 (X.5Gsec-message)</w:t>
      </w:r>
      <w:bookmarkEnd w:id="4"/>
    </w:p>
    <w:p w14:paraId="3C90002A" w14:textId="502A5E30" w:rsidR="0061440B" w:rsidRPr="002901AF" w:rsidRDefault="0061440B" w:rsidP="003A353B">
      <w:pPr>
        <w:pStyle w:val="Heading1"/>
        <w:rPr>
          <w:lang w:val="es-ES"/>
        </w:rPr>
      </w:pPr>
      <w:r w:rsidRPr="002901AF">
        <w:rPr>
          <w:lang w:val="es-ES"/>
        </w:rPr>
        <w:t>1</w:t>
      </w:r>
      <w:r w:rsidRPr="002901AF">
        <w:rPr>
          <w:lang w:val="es-ES"/>
        </w:rPr>
        <w:tab/>
      </w:r>
      <w:proofErr w:type="gramStart"/>
      <w:r w:rsidR="00C678B6" w:rsidRPr="002901AF">
        <w:rPr>
          <w:lang w:val="es-ES"/>
        </w:rPr>
        <w:t>P</w:t>
      </w:r>
      <w:r w:rsidR="0069693C" w:rsidRPr="002901AF">
        <w:rPr>
          <w:color w:val="000000"/>
          <w:lang w:val="es-ES"/>
        </w:rPr>
        <w:t>royecto</w:t>
      </w:r>
      <w:proofErr w:type="gramEnd"/>
      <w:r w:rsidR="0069693C" w:rsidRPr="002901AF">
        <w:rPr>
          <w:color w:val="000000"/>
          <w:lang w:val="es-ES"/>
        </w:rPr>
        <w:t xml:space="preserve"> de </w:t>
      </w:r>
      <w:proofErr w:type="spellStart"/>
      <w:r w:rsidR="0069693C" w:rsidRPr="002901AF">
        <w:rPr>
          <w:color w:val="000000"/>
          <w:lang w:val="es-ES"/>
        </w:rPr>
        <w:t>Corrigéndum</w:t>
      </w:r>
      <w:proofErr w:type="spellEnd"/>
      <w:r w:rsidR="0069693C" w:rsidRPr="002901AF">
        <w:rPr>
          <w:color w:val="000000"/>
          <w:lang w:val="es-ES"/>
        </w:rPr>
        <w:t xml:space="preserve"> 1 a la Recomendación UIT</w:t>
      </w:r>
      <w:r w:rsidR="0069693C" w:rsidRPr="002901AF">
        <w:rPr>
          <w:lang w:val="es-ES"/>
        </w:rPr>
        <w:t xml:space="preserve"> </w:t>
      </w:r>
      <w:r w:rsidRPr="002901AF">
        <w:rPr>
          <w:lang w:val="es-ES"/>
        </w:rPr>
        <w:t>UIT-T X.13</w:t>
      </w:r>
      <w:r w:rsidR="0069693C" w:rsidRPr="002901AF">
        <w:rPr>
          <w:lang w:val="es-ES"/>
        </w:rPr>
        <w:t xml:space="preserve">33 </w:t>
      </w:r>
      <w:r w:rsidRPr="002901AF">
        <w:rPr>
          <w:lang w:val="es-ES"/>
        </w:rPr>
        <w:t>[</w:t>
      </w:r>
      <w:hyperlink r:id="rId13" w:history="1">
        <w:r w:rsidRPr="002901AF">
          <w:rPr>
            <w:rStyle w:val="Hyperlink"/>
            <w:bCs/>
            <w:lang w:val="es-ES"/>
          </w:rPr>
          <w:t>R</w:t>
        </w:r>
        <w:r w:rsidR="0069693C" w:rsidRPr="002901AF">
          <w:rPr>
            <w:rStyle w:val="Hyperlink"/>
            <w:bCs/>
            <w:lang w:val="es-ES"/>
          </w:rPr>
          <w:t>34</w:t>
        </w:r>
      </w:hyperlink>
      <w:r w:rsidRPr="002901AF">
        <w:rPr>
          <w:lang w:val="es-ES"/>
        </w:rPr>
        <w:t>]</w:t>
      </w:r>
    </w:p>
    <w:p w14:paraId="7B632A7D" w14:textId="43301391" w:rsidR="0061440B" w:rsidRPr="003E22F2" w:rsidRDefault="00C678B6" w:rsidP="003E22F2">
      <w:pPr>
        <w:rPr>
          <w:sz w:val="22"/>
          <w:szCs w:val="22"/>
          <w:lang w:val="es-ES"/>
        </w:rPr>
      </w:pPr>
      <w:r w:rsidRPr="003E22F2">
        <w:rPr>
          <w:sz w:val="22"/>
          <w:szCs w:val="22"/>
          <w:lang w:val="es-ES"/>
        </w:rPr>
        <w:t>Directrices de seguridad para la utilización de herramientas de acceso remoto en sistemas de control conectados a Internet</w:t>
      </w:r>
    </w:p>
    <w:p w14:paraId="612FCB6D" w14:textId="15740FFF" w:rsidR="0061440B" w:rsidRPr="002901AF" w:rsidRDefault="0061440B" w:rsidP="00CD6BF1">
      <w:pPr>
        <w:pStyle w:val="Heading1"/>
        <w:rPr>
          <w:lang w:val="es-ES"/>
        </w:rPr>
      </w:pPr>
      <w:r w:rsidRPr="002901AF">
        <w:rPr>
          <w:lang w:val="es-ES"/>
        </w:rPr>
        <w:t>2</w:t>
      </w:r>
      <w:r w:rsidRPr="002901AF">
        <w:rPr>
          <w:lang w:val="es-ES"/>
        </w:rPr>
        <w:tab/>
      </w:r>
      <w:proofErr w:type="gramStart"/>
      <w:r w:rsidRPr="002901AF">
        <w:rPr>
          <w:lang w:val="es-ES"/>
        </w:rPr>
        <w:t>Proyecto</w:t>
      </w:r>
      <w:proofErr w:type="gramEnd"/>
      <w:r w:rsidRPr="002901AF">
        <w:rPr>
          <w:lang w:val="es-ES"/>
        </w:rPr>
        <w:t xml:space="preserve"> de nueva Recomendación </w:t>
      </w:r>
      <w:r w:rsidR="00C678B6" w:rsidRPr="002901AF">
        <w:rPr>
          <w:szCs w:val="24"/>
          <w:lang w:val="es-ES"/>
        </w:rPr>
        <w:t>X.1353 (</w:t>
      </w:r>
      <w:proofErr w:type="spellStart"/>
      <w:r w:rsidR="00C678B6" w:rsidRPr="002901AF">
        <w:rPr>
          <w:szCs w:val="24"/>
          <w:lang w:val="es-ES"/>
        </w:rPr>
        <w:t>X.ztd-iot</w:t>
      </w:r>
      <w:proofErr w:type="spellEnd"/>
      <w:r w:rsidR="00C678B6" w:rsidRPr="002901AF">
        <w:rPr>
          <w:szCs w:val="24"/>
          <w:lang w:val="es-ES"/>
        </w:rPr>
        <w:t>), [</w:t>
      </w:r>
      <w:hyperlink r:id="rId14" w:history="1">
        <w:r w:rsidR="00C678B6" w:rsidRPr="002901AF">
          <w:rPr>
            <w:rStyle w:val="Hyperlink"/>
            <w:szCs w:val="24"/>
            <w:lang w:val="es-ES"/>
          </w:rPr>
          <w:t>R35</w:t>
        </w:r>
      </w:hyperlink>
      <w:r w:rsidRPr="002901AF">
        <w:rPr>
          <w:lang w:val="es-ES"/>
        </w:rPr>
        <w:t>]</w:t>
      </w:r>
    </w:p>
    <w:p w14:paraId="019C0D76" w14:textId="31E518C6" w:rsidR="0061440B" w:rsidRPr="003E22F2" w:rsidRDefault="00C678B6" w:rsidP="00EC3DE5">
      <w:pPr>
        <w:rPr>
          <w:sz w:val="22"/>
          <w:szCs w:val="22"/>
          <w:lang w:val="es-ES"/>
        </w:rPr>
      </w:pPr>
      <w:r w:rsidRPr="003E22F2">
        <w:rPr>
          <w:sz w:val="22"/>
          <w:szCs w:val="22"/>
          <w:lang w:val="es-ES"/>
        </w:rPr>
        <w:t xml:space="preserve">Metodología de seguridad para el despliegue sin contacto en la </w:t>
      </w:r>
      <w:proofErr w:type="spellStart"/>
      <w:r w:rsidRPr="003E22F2">
        <w:rPr>
          <w:sz w:val="22"/>
          <w:szCs w:val="22"/>
          <w:lang w:val="es-ES"/>
        </w:rPr>
        <w:t>IoT</w:t>
      </w:r>
      <w:proofErr w:type="spellEnd"/>
      <w:r w:rsidRPr="003E22F2">
        <w:rPr>
          <w:sz w:val="22"/>
          <w:szCs w:val="22"/>
          <w:lang w:val="es-ES"/>
        </w:rPr>
        <w:t xml:space="preserve"> masiva basada en la cadena de bloques</w:t>
      </w:r>
    </w:p>
    <w:p w14:paraId="5ABD1AD1" w14:textId="77777777" w:rsidR="0061440B" w:rsidRPr="00EB77B4" w:rsidRDefault="0061440B" w:rsidP="00EC3DE5">
      <w:pPr>
        <w:pStyle w:val="headingb"/>
        <w:rPr>
          <w:sz w:val="22"/>
          <w:szCs w:val="22"/>
          <w:lang w:val="es-ES"/>
        </w:rPr>
      </w:pPr>
      <w:r w:rsidRPr="00EB77B4">
        <w:rPr>
          <w:sz w:val="22"/>
          <w:szCs w:val="22"/>
          <w:lang w:val="es-ES"/>
        </w:rPr>
        <w:t>Resumen</w:t>
      </w:r>
    </w:p>
    <w:p w14:paraId="090018AD" w14:textId="77777777" w:rsidR="00C678B6" w:rsidRPr="003E22F2" w:rsidRDefault="00C678B6" w:rsidP="00C678B6">
      <w:pPr>
        <w:rPr>
          <w:sz w:val="22"/>
          <w:szCs w:val="22"/>
          <w:lang w:val="es-ES"/>
        </w:rPr>
      </w:pPr>
      <w:r w:rsidRPr="003E22F2">
        <w:rPr>
          <w:sz w:val="22"/>
          <w:szCs w:val="22"/>
          <w:lang w:val="es-ES"/>
        </w:rPr>
        <w:t>La Internet de las cosas masiva (</w:t>
      </w:r>
      <w:proofErr w:type="spellStart"/>
      <w:r w:rsidRPr="003E22F2">
        <w:rPr>
          <w:sz w:val="22"/>
          <w:szCs w:val="22"/>
          <w:lang w:val="es-ES"/>
        </w:rPr>
        <w:t>mIoT</w:t>
      </w:r>
      <w:proofErr w:type="spellEnd"/>
      <w:r w:rsidRPr="003E22F2">
        <w:rPr>
          <w:sz w:val="22"/>
          <w:szCs w:val="22"/>
          <w:lang w:val="es-ES"/>
        </w:rPr>
        <w:t xml:space="preserve">) es una importante aplicación de las redes de comunicación futuras. Con los diversos casos de uso previstos en la </w:t>
      </w:r>
      <w:proofErr w:type="spellStart"/>
      <w:r w:rsidRPr="003E22F2">
        <w:rPr>
          <w:sz w:val="22"/>
          <w:szCs w:val="22"/>
          <w:lang w:val="es-ES"/>
        </w:rPr>
        <w:t>mIoT</w:t>
      </w:r>
      <w:proofErr w:type="spellEnd"/>
      <w:r w:rsidRPr="003E22F2">
        <w:rPr>
          <w:sz w:val="22"/>
          <w:szCs w:val="22"/>
          <w:lang w:val="es-ES"/>
        </w:rPr>
        <w:t xml:space="preserve">, es difícil que los fabricantes preinstalen sus dispositivos de </w:t>
      </w:r>
      <w:proofErr w:type="spellStart"/>
      <w:r w:rsidRPr="003E22F2">
        <w:rPr>
          <w:sz w:val="22"/>
          <w:szCs w:val="22"/>
          <w:lang w:val="es-ES"/>
        </w:rPr>
        <w:t>IoT</w:t>
      </w:r>
      <w:proofErr w:type="spellEnd"/>
      <w:r w:rsidRPr="003E22F2">
        <w:rPr>
          <w:sz w:val="22"/>
          <w:szCs w:val="22"/>
          <w:lang w:val="es-ES"/>
        </w:rPr>
        <w:t xml:space="preserve"> fabricados con información específica del operador móvil y/o del servicio (por ejemplo, identidades y claves), ya que es posible que los fabricantes no sepan dónde se desplegarán y activarán finalmente sus dispositivos. El enfoque actual se basa en la configuración manual de los clientes, que es aceptable para las aplicaciones de </w:t>
      </w:r>
      <w:proofErr w:type="spellStart"/>
      <w:r w:rsidRPr="003E22F2">
        <w:rPr>
          <w:sz w:val="22"/>
          <w:szCs w:val="22"/>
          <w:lang w:val="es-ES"/>
        </w:rPr>
        <w:t>IoT</w:t>
      </w:r>
      <w:proofErr w:type="spellEnd"/>
      <w:r w:rsidRPr="003E22F2">
        <w:rPr>
          <w:sz w:val="22"/>
          <w:szCs w:val="22"/>
          <w:lang w:val="es-ES"/>
        </w:rPr>
        <w:t xml:space="preserve"> a pequeña escala. Sin embargo, en el caso de los dispositivos </w:t>
      </w:r>
      <w:proofErr w:type="spellStart"/>
      <w:r w:rsidRPr="003E22F2">
        <w:rPr>
          <w:sz w:val="22"/>
          <w:szCs w:val="22"/>
          <w:lang w:val="es-ES"/>
        </w:rPr>
        <w:t>mIoT</w:t>
      </w:r>
      <w:proofErr w:type="spellEnd"/>
      <w:r w:rsidRPr="003E22F2">
        <w:rPr>
          <w:sz w:val="22"/>
          <w:szCs w:val="22"/>
          <w:lang w:val="es-ES"/>
        </w:rPr>
        <w:t xml:space="preserve">, el enfoque mencionado no es aceptable debido a que la configuración manual requiere mucho tiempo, es poco rentable y resulta engorrosa. Por lo tanto, para los dispositivos </w:t>
      </w:r>
      <w:proofErr w:type="spellStart"/>
      <w:r w:rsidRPr="003E22F2">
        <w:rPr>
          <w:sz w:val="22"/>
          <w:szCs w:val="22"/>
          <w:lang w:val="es-ES"/>
        </w:rPr>
        <w:t>mIoT</w:t>
      </w:r>
      <w:proofErr w:type="spellEnd"/>
      <w:r w:rsidRPr="003E22F2">
        <w:rPr>
          <w:sz w:val="22"/>
          <w:szCs w:val="22"/>
          <w:lang w:val="es-ES"/>
        </w:rPr>
        <w:t xml:space="preserve"> activados se necesita un aprovisionamiento automático de credenciales sin la participación del usuario, lo que se conoce como "sin contacto" (</w:t>
      </w:r>
      <w:proofErr w:type="spellStart"/>
      <w:r w:rsidRPr="003E22F2">
        <w:rPr>
          <w:i/>
          <w:iCs/>
          <w:sz w:val="22"/>
          <w:szCs w:val="22"/>
          <w:lang w:val="es-ES"/>
        </w:rPr>
        <w:t>zero-touch</w:t>
      </w:r>
      <w:proofErr w:type="spellEnd"/>
      <w:r w:rsidRPr="003E22F2">
        <w:rPr>
          <w:sz w:val="22"/>
          <w:szCs w:val="22"/>
          <w:lang w:val="es-ES"/>
        </w:rPr>
        <w:t>).</w:t>
      </w:r>
    </w:p>
    <w:p w14:paraId="1BCC8A16" w14:textId="63BF62BD" w:rsidR="0061440B" w:rsidRPr="003E22F2" w:rsidRDefault="00C678B6" w:rsidP="00C678B6">
      <w:pPr>
        <w:rPr>
          <w:sz w:val="22"/>
          <w:szCs w:val="22"/>
          <w:lang w:val="es-ES"/>
        </w:rPr>
      </w:pPr>
      <w:r w:rsidRPr="003E22F2">
        <w:rPr>
          <w:sz w:val="22"/>
          <w:szCs w:val="22"/>
          <w:lang w:val="es-ES"/>
        </w:rPr>
        <w:t xml:space="preserve">En esta Recomendación se ofrece una metodología de seguridad para el diseño de un sistema de gestión de identidades descentralizado que respalde el despliegue sin contacto de la futura </w:t>
      </w:r>
      <w:proofErr w:type="spellStart"/>
      <w:r w:rsidRPr="003E22F2">
        <w:rPr>
          <w:sz w:val="22"/>
          <w:szCs w:val="22"/>
          <w:lang w:val="es-ES"/>
        </w:rPr>
        <w:t>mIoT</w:t>
      </w:r>
      <w:proofErr w:type="spellEnd"/>
      <w:r w:rsidRPr="003E22F2">
        <w:rPr>
          <w:sz w:val="22"/>
          <w:szCs w:val="22"/>
          <w:lang w:val="es-ES"/>
        </w:rPr>
        <w:t xml:space="preserve">. El despliegue sin contacto permitirá a los dispositivos </w:t>
      </w:r>
      <w:proofErr w:type="spellStart"/>
      <w:r w:rsidRPr="003E22F2">
        <w:rPr>
          <w:sz w:val="22"/>
          <w:szCs w:val="22"/>
          <w:lang w:val="es-ES"/>
        </w:rPr>
        <w:t>IoT</w:t>
      </w:r>
      <w:proofErr w:type="spellEnd"/>
      <w:r w:rsidRPr="003E22F2">
        <w:rPr>
          <w:sz w:val="22"/>
          <w:szCs w:val="22"/>
          <w:lang w:val="es-ES"/>
        </w:rPr>
        <w:t xml:space="preserve"> encontrar automáticamente su operador de red móvil y su proveedor de servicios, obtener automáticamente sus credenciales y conectarse automáticamente a la red y al servicio. Esto facilitará en gran medida el futuro despliegue de dispositivos </w:t>
      </w:r>
      <w:proofErr w:type="spellStart"/>
      <w:r w:rsidRPr="003E22F2">
        <w:rPr>
          <w:sz w:val="22"/>
          <w:szCs w:val="22"/>
          <w:lang w:val="es-ES"/>
        </w:rPr>
        <w:t>mIoT</w:t>
      </w:r>
      <w:proofErr w:type="spellEnd"/>
      <w:r w:rsidRPr="003E22F2">
        <w:rPr>
          <w:sz w:val="22"/>
          <w:szCs w:val="22"/>
          <w:lang w:val="es-ES"/>
        </w:rPr>
        <w:t xml:space="preserve"> para los verticales. El contenido de esta Recomendación abarca la arquitectura de seguridad, las consideraciones de seguridad y los procedimientos de seguridad conexos (como las atestaciones de dispositivos, la autentificación y el suministro de credenciales) que son necesarios para crear esa plataforma de despliegue de </w:t>
      </w:r>
      <w:proofErr w:type="spellStart"/>
      <w:r w:rsidRPr="003E22F2">
        <w:rPr>
          <w:sz w:val="22"/>
          <w:szCs w:val="22"/>
          <w:lang w:val="es-ES"/>
        </w:rPr>
        <w:t>mIoT</w:t>
      </w:r>
      <w:proofErr w:type="spellEnd"/>
      <w:r w:rsidRPr="003E22F2">
        <w:rPr>
          <w:sz w:val="22"/>
          <w:szCs w:val="22"/>
          <w:lang w:val="es-ES"/>
        </w:rPr>
        <w:t xml:space="preserve"> sin contacto</w:t>
      </w:r>
      <w:r w:rsidR="0061440B" w:rsidRPr="003E22F2">
        <w:rPr>
          <w:sz w:val="22"/>
          <w:szCs w:val="22"/>
          <w:lang w:val="es-ES"/>
        </w:rPr>
        <w:t>.</w:t>
      </w:r>
    </w:p>
    <w:p w14:paraId="10DA3FBE" w14:textId="0654FDDE" w:rsidR="0061440B" w:rsidRPr="002901AF" w:rsidRDefault="0061440B" w:rsidP="00EC3DE5">
      <w:pPr>
        <w:pStyle w:val="Heading1"/>
        <w:rPr>
          <w:lang w:val="es-ES"/>
        </w:rPr>
      </w:pPr>
      <w:bookmarkStart w:id="5" w:name="lt_pId087"/>
      <w:r w:rsidRPr="002901AF">
        <w:rPr>
          <w:lang w:val="es-ES"/>
        </w:rPr>
        <w:t>3</w:t>
      </w:r>
      <w:r w:rsidRPr="002901AF">
        <w:rPr>
          <w:lang w:val="es-ES"/>
        </w:rPr>
        <w:tab/>
        <w:t xml:space="preserve">Proyecto de nueva Recomendación </w:t>
      </w:r>
      <w:bookmarkEnd w:id="5"/>
      <w:r w:rsidR="00C678B6" w:rsidRPr="002901AF">
        <w:rPr>
          <w:szCs w:val="24"/>
          <w:lang w:val="es-ES"/>
        </w:rPr>
        <w:t>X.1471 (</w:t>
      </w:r>
      <w:proofErr w:type="gramStart"/>
      <w:r w:rsidR="00C678B6" w:rsidRPr="002901AF">
        <w:rPr>
          <w:szCs w:val="24"/>
          <w:lang w:val="es-ES"/>
        </w:rPr>
        <w:t>X.websec</w:t>
      </w:r>
      <w:proofErr w:type="gramEnd"/>
      <w:r w:rsidR="00C678B6" w:rsidRPr="002901AF">
        <w:rPr>
          <w:szCs w:val="24"/>
          <w:lang w:val="es-ES"/>
        </w:rPr>
        <w:t>-7) [</w:t>
      </w:r>
      <w:hyperlink r:id="rId15" w:history="1">
        <w:r w:rsidR="00C678B6" w:rsidRPr="002901AF">
          <w:rPr>
            <w:rStyle w:val="Hyperlink"/>
            <w:szCs w:val="24"/>
            <w:lang w:val="es-ES"/>
          </w:rPr>
          <w:t>R36</w:t>
        </w:r>
      </w:hyperlink>
      <w:r w:rsidR="00C678B6" w:rsidRPr="002901AF">
        <w:rPr>
          <w:szCs w:val="24"/>
          <w:lang w:val="es-ES"/>
        </w:rPr>
        <w:t>]</w:t>
      </w:r>
    </w:p>
    <w:p w14:paraId="1FCC1605" w14:textId="2D1EDD52" w:rsidR="0061440B" w:rsidRPr="003E22F2" w:rsidRDefault="00C678B6" w:rsidP="00EC3DE5">
      <w:pPr>
        <w:rPr>
          <w:color w:val="000000"/>
          <w:sz w:val="22"/>
          <w:szCs w:val="22"/>
          <w:lang w:val="es-ES"/>
        </w:rPr>
      </w:pPr>
      <w:r w:rsidRPr="003E22F2">
        <w:rPr>
          <w:color w:val="000000"/>
          <w:sz w:val="22"/>
          <w:szCs w:val="22"/>
          <w:lang w:val="es-ES"/>
        </w:rPr>
        <w:t>Supervisión de referencia de los servicios de análisis en línea</w:t>
      </w:r>
    </w:p>
    <w:p w14:paraId="7F0E728D" w14:textId="54B9900E" w:rsidR="009D6F27" w:rsidRPr="003E22F2" w:rsidRDefault="009D6F27" w:rsidP="009D6F27">
      <w:pPr>
        <w:pStyle w:val="Heading2"/>
        <w:keepNext w:val="0"/>
        <w:keepLines w:val="0"/>
        <w:rPr>
          <w:sz w:val="22"/>
          <w:szCs w:val="22"/>
          <w:lang w:val="es-ES"/>
        </w:rPr>
      </w:pPr>
      <w:r w:rsidRPr="003E22F2">
        <w:rPr>
          <w:sz w:val="22"/>
          <w:szCs w:val="22"/>
          <w:lang w:val="es-ES"/>
        </w:rPr>
        <w:t>Resumen</w:t>
      </w:r>
    </w:p>
    <w:p w14:paraId="684D7ACA" w14:textId="42900978" w:rsidR="009D6F27" w:rsidRPr="003E22F2" w:rsidRDefault="009D6F27" w:rsidP="009D6F27">
      <w:pPr>
        <w:rPr>
          <w:sz w:val="22"/>
          <w:szCs w:val="22"/>
          <w:lang w:val="es-ES"/>
        </w:rPr>
      </w:pPr>
      <w:bookmarkStart w:id="6" w:name="lt_pId091"/>
      <w:r w:rsidRPr="003E22F2">
        <w:rPr>
          <w:sz w:val="22"/>
          <w:szCs w:val="22"/>
          <w:lang w:val="es-ES"/>
        </w:rPr>
        <w:t>El servicio de análisis de macrodatos se basa en datos no estructurados y no definidos, como datos sobre el comportamiento de los usuarios</w:t>
      </w:r>
      <w:r w:rsidRPr="002901AF">
        <w:rPr>
          <w:sz w:val="22"/>
          <w:szCs w:val="22"/>
          <w:lang w:val="es-ES"/>
        </w:rPr>
        <w:t xml:space="preserve"> o</w:t>
      </w:r>
      <w:r w:rsidRPr="003E22F2">
        <w:rPr>
          <w:sz w:val="22"/>
          <w:szCs w:val="22"/>
          <w:lang w:val="es-ES"/>
        </w:rPr>
        <w:t xml:space="preserve"> </w:t>
      </w:r>
      <w:r w:rsidRPr="002901AF">
        <w:rPr>
          <w:sz w:val="22"/>
          <w:szCs w:val="22"/>
          <w:lang w:val="es-ES"/>
        </w:rPr>
        <w:t xml:space="preserve">sobre </w:t>
      </w:r>
      <w:r w:rsidRPr="003E22F2">
        <w:rPr>
          <w:sz w:val="22"/>
          <w:szCs w:val="22"/>
          <w:lang w:val="es-ES"/>
        </w:rPr>
        <w:t>l</w:t>
      </w:r>
      <w:r w:rsidRPr="002901AF">
        <w:rPr>
          <w:sz w:val="22"/>
          <w:szCs w:val="22"/>
          <w:lang w:val="es-ES"/>
        </w:rPr>
        <w:t>a adquisición, el pago, la ubicación y el consumo de diferentes contenidos de Internet. P</w:t>
      </w:r>
      <w:r w:rsidRPr="003E22F2">
        <w:rPr>
          <w:sz w:val="22"/>
          <w:szCs w:val="22"/>
          <w:lang w:val="es-ES"/>
        </w:rPr>
        <w:t xml:space="preserve">uede aportar conocimientos nuevos que no se habían descubierto previamente y </w:t>
      </w:r>
      <w:bookmarkStart w:id="7" w:name="lt_pId092"/>
      <w:bookmarkEnd w:id="6"/>
      <w:r w:rsidRPr="002901AF">
        <w:rPr>
          <w:sz w:val="22"/>
          <w:szCs w:val="22"/>
          <w:lang w:val="es-ES"/>
        </w:rPr>
        <w:t xml:space="preserve">predice los estados futuros. Sin embargo, </w:t>
      </w:r>
      <w:r w:rsidR="002A0D4E" w:rsidRPr="002901AF">
        <w:rPr>
          <w:sz w:val="22"/>
          <w:szCs w:val="22"/>
          <w:lang w:val="es-ES"/>
        </w:rPr>
        <w:t>cabe</w:t>
      </w:r>
      <w:r w:rsidRPr="002901AF">
        <w:rPr>
          <w:sz w:val="22"/>
          <w:szCs w:val="22"/>
          <w:lang w:val="es-ES"/>
        </w:rPr>
        <w:t xml:space="preserve"> la posibilidad de que se haga un uso malicioso de algunos datos no autorizados </w:t>
      </w:r>
      <w:bookmarkStart w:id="8" w:name="lt_pId093"/>
      <w:bookmarkEnd w:id="7"/>
      <w:r w:rsidRPr="002901AF">
        <w:rPr>
          <w:sz w:val="22"/>
          <w:szCs w:val="22"/>
          <w:lang w:val="es-ES"/>
        </w:rPr>
        <w:t>durante el proceso de análisis</w:t>
      </w:r>
      <w:r w:rsidRPr="003E22F2">
        <w:rPr>
          <w:sz w:val="22"/>
          <w:szCs w:val="22"/>
          <w:lang w:val="es-ES"/>
        </w:rPr>
        <w:t>.</w:t>
      </w:r>
      <w:bookmarkEnd w:id="8"/>
    </w:p>
    <w:p w14:paraId="7F6C830D" w14:textId="405F0FE9" w:rsidR="009D6F27" w:rsidRPr="002901AF" w:rsidRDefault="009D6F27" w:rsidP="009D6F27">
      <w:pPr>
        <w:rPr>
          <w:sz w:val="22"/>
          <w:szCs w:val="22"/>
          <w:lang w:val="es-ES"/>
        </w:rPr>
      </w:pPr>
      <w:bookmarkStart w:id="9" w:name="lt_pId094"/>
      <w:r w:rsidRPr="003E22F2">
        <w:rPr>
          <w:sz w:val="22"/>
          <w:szCs w:val="22"/>
          <w:lang w:val="es-ES"/>
        </w:rPr>
        <w:t>En esta Rec</w:t>
      </w:r>
      <w:r w:rsidRPr="002901AF">
        <w:rPr>
          <w:sz w:val="22"/>
          <w:szCs w:val="22"/>
          <w:lang w:val="es-ES"/>
        </w:rPr>
        <w:t>o</w:t>
      </w:r>
      <w:r w:rsidRPr="003E22F2">
        <w:rPr>
          <w:sz w:val="22"/>
          <w:szCs w:val="22"/>
          <w:lang w:val="es-ES"/>
        </w:rPr>
        <w:t xml:space="preserve">mendación se describe </w:t>
      </w:r>
      <w:r w:rsidR="00AB1984" w:rsidRPr="002901AF">
        <w:rPr>
          <w:sz w:val="22"/>
          <w:szCs w:val="22"/>
          <w:lang w:val="es-ES"/>
        </w:rPr>
        <w:t>la</w:t>
      </w:r>
      <w:r w:rsidRPr="003E22F2">
        <w:rPr>
          <w:sz w:val="22"/>
          <w:szCs w:val="22"/>
          <w:lang w:val="es-ES"/>
        </w:rPr>
        <w:t xml:space="preserve"> </w:t>
      </w:r>
      <w:r w:rsidRPr="002901AF">
        <w:rPr>
          <w:sz w:val="22"/>
          <w:szCs w:val="22"/>
          <w:lang w:val="es-ES"/>
        </w:rPr>
        <w:t>supervisió</w:t>
      </w:r>
      <w:r w:rsidRPr="003E22F2">
        <w:rPr>
          <w:sz w:val="22"/>
          <w:szCs w:val="22"/>
          <w:lang w:val="es-ES"/>
        </w:rPr>
        <w:t xml:space="preserve">n de referencia </w:t>
      </w:r>
      <w:r w:rsidRPr="002901AF">
        <w:rPr>
          <w:sz w:val="22"/>
          <w:szCs w:val="22"/>
          <w:lang w:val="es-ES"/>
        </w:rPr>
        <w:t xml:space="preserve">aplicable en el análisis </w:t>
      </w:r>
      <w:r w:rsidR="00B01315" w:rsidRPr="002901AF">
        <w:rPr>
          <w:sz w:val="22"/>
          <w:szCs w:val="22"/>
          <w:lang w:val="es-ES"/>
        </w:rPr>
        <w:t xml:space="preserve">y las operaciones </w:t>
      </w:r>
      <w:r w:rsidRPr="002901AF">
        <w:rPr>
          <w:sz w:val="22"/>
          <w:szCs w:val="22"/>
          <w:lang w:val="es-ES"/>
        </w:rPr>
        <w:t xml:space="preserve">de macrodatos </w:t>
      </w:r>
      <w:r w:rsidR="00B01315" w:rsidRPr="002901AF">
        <w:rPr>
          <w:sz w:val="22"/>
          <w:szCs w:val="22"/>
          <w:lang w:val="es-ES"/>
        </w:rPr>
        <w:t>a fin de</w:t>
      </w:r>
      <w:r w:rsidRPr="002901AF">
        <w:rPr>
          <w:sz w:val="22"/>
          <w:szCs w:val="22"/>
          <w:lang w:val="es-ES"/>
        </w:rPr>
        <w:t xml:space="preserve"> detectar el uso de datos no autorizados. </w:t>
      </w:r>
      <w:bookmarkStart w:id="10" w:name="lt_pId095"/>
      <w:bookmarkEnd w:id="9"/>
      <w:r w:rsidRPr="003E22F2">
        <w:rPr>
          <w:sz w:val="22"/>
          <w:szCs w:val="22"/>
          <w:lang w:val="es-ES"/>
        </w:rPr>
        <w:t>Además, se analizan las amenazas y los problemas de seguridad de</w:t>
      </w:r>
      <w:r w:rsidR="007032F9" w:rsidRPr="002901AF">
        <w:rPr>
          <w:sz w:val="22"/>
          <w:szCs w:val="22"/>
          <w:lang w:val="es-ES"/>
        </w:rPr>
        <w:t>l</w:t>
      </w:r>
      <w:r w:rsidRPr="003E22F2">
        <w:rPr>
          <w:sz w:val="22"/>
          <w:szCs w:val="22"/>
          <w:lang w:val="es-ES"/>
        </w:rPr>
        <w:t xml:space="preserve"> análisis de macrodatos y se describen las consideraciones de seguridad que podrían mitigar estas amenazas y contrarrestar los problemas de seguridad mediante mecanismos de </w:t>
      </w:r>
      <w:r w:rsidRPr="003E22F2">
        <w:rPr>
          <w:sz w:val="22"/>
          <w:szCs w:val="22"/>
          <w:lang w:val="es-ES"/>
        </w:rPr>
        <w:lastRenderedPageBreak/>
        <w:t xml:space="preserve">control de acceso. Se facilita una metodología de supervisión de referencia basada en el control de acceso para determinar qué capacidades de seguridad se </w:t>
      </w:r>
      <w:r w:rsidR="001B0B79" w:rsidRPr="002901AF">
        <w:rPr>
          <w:sz w:val="22"/>
          <w:szCs w:val="22"/>
          <w:lang w:val="es-ES"/>
        </w:rPr>
        <w:t xml:space="preserve">requieren </w:t>
      </w:r>
      <w:r w:rsidRPr="003E22F2">
        <w:rPr>
          <w:sz w:val="22"/>
          <w:szCs w:val="22"/>
          <w:lang w:val="es-ES"/>
        </w:rPr>
        <w:t>para mitigar las amenazas de seguridad y con</w:t>
      </w:r>
      <w:r w:rsidR="00BE37E3" w:rsidRPr="003E22F2">
        <w:rPr>
          <w:sz w:val="22"/>
          <w:szCs w:val="22"/>
          <w:lang w:val="es-ES"/>
        </w:rPr>
        <w:t>t</w:t>
      </w:r>
      <w:r w:rsidRPr="003E22F2">
        <w:rPr>
          <w:sz w:val="22"/>
          <w:szCs w:val="22"/>
          <w:lang w:val="es-ES"/>
        </w:rPr>
        <w:t>rarrestar los problemas de seguridad en el análisis de macrodatos</w:t>
      </w:r>
      <w:bookmarkEnd w:id="10"/>
      <w:r w:rsidRPr="003E22F2">
        <w:rPr>
          <w:sz w:val="22"/>
          <w:szCs w:val="22"/>
          <w:lang w:val="es-ES"/>
        </w:rPr>
        <w:t>.</w:t>
      </w:r>
    </w:p>
    <w:p w14:paraId="00EC8A9A" w14:textId="7AD0B7DF" w:rsidR="009D6F27" w:rsidRPr="00EB77B4" w:rsidRDefault="00FA6382" w:rsidP="00BF0F7B">
      <w:pPr>
        <w:pStyle w:val="Heading1"/>
        <w:rPr>
          <w:lang w:val="es-ES"/>
        </w:rPr>
      </w:pPr>
      <w:r w:rsidRPr="00EB77B4">
        <w:rPr>
          <w:lang w:val="es-ES"/>
        </w:rPr>
        <w:t>4</w:t>
      </w:r>
      <w:r w:rsidRPr="00EB77B4">
        <w:rPr>
          <w:lang w:val="es-ES"/>
        </w:rPr>
        <w:tab/>
      </w:r>
      <w:bookmarkStart w:id="11" w:name="lt_pId097"/>
      <w:r w:rsidR="009D6F27" w:rsidRPr="00EB77B4">
        <w:rPr>
          <w:lang w:val="es-ES"/>
        </w:rPr>
        <w:t>Proyecto de nueva Rec</w:t>
      </w:r>
      <w:r w:rsidR="0050400E" w:rsidRPr="00EB77B4">
        <w:rPr>
          <w:lang w:val="es-ES"/>
        </w:rPr>
        <w:t>o</w:t>
      </w:r>
      <w:r w:rsidR="009D6F27" w:rsidRPr="00EB77B4">
        <w:rPr>
          <w:lang w:val="es-ES"/>
        </w:rPr>
        <w:t>mendación X.1645 (</w:t>
      </w:r>
      <w:proofErr w:type="spellStart"/>
      <w:proofErr w:type="gramStart"/>
      <w:r w:rsidR="009D6F27" w:rsidRPr="00EB77B4">
        <w:rPr>
          <w:lang w:val="es-ES"/>
        </w:rPr>
        <w:t>X.nssa</w:t>
      </w:r>
      <w:proofErr w:type="gramEnd"/>
      <w:r w:rsidR="009D6F27" w:rsidRPr="00EB77B4">
        <w:rPr>
          <w:lang w:val="es-ES"/>
        </w:rPr>
        <w:t>-cc</w:t>
      </w:r>
      <w:proofErr w:type="spellEnd"/>
      <w:r w:rsidR="009D6F27" w:rsidRPr="00EB77B4">
        <w:rPr>
          <w:lang w:val="es-ES"/>
        </w:rPr>
        <w:t>) [</w:t>
      </w:r>
      <w:hyperlink r:id="rId16" w:history="1">
        <w:r w:rsidR="009D6F27" w:rsidRPr="00BF0F7B">
          <w:rPr>
            <w:rStyle w:val="Hyperlink"/>
            <w:szCs w:val="24"/>
            <w:lang w:val="es-ES"/>
          </w:rPr>
          <w:t>R38</w:t>
        </w:r>
      </w:hyperlink>
      <w:r w:rsidR="009D6F27" w:rsidRPr="00EB77B4">
        <w:rPr>
          <w:lang w:val="es-ES"/>
        </w:rPr>
        <w:t>]</w:t>
      </w:r>
      <w:bookmarkEnd w:id="11"/>
    </w:p>
    <w:p w14:paraId="6392B0EE" w14:textId="6EA20739" w:rsidR="00EB77B4" w:rsidRDefault="00EB77B4" w:rsidP="00EB77B4">
      <w:pPr>
        <w:rPr>
          <w:lang w:val="es-ES"/>
        </w:rPr>
      </w:pPr>
      <w:r>
        <w:rPr>
          <w:sz w:val="22"/>
          <w:szCs w:val="22"/>
          <w:lang w:val="es-ES"/>
        </w:rPr>
        <w:t xml:space="preserve">Requisitos </w:t>
      </w:r>
      <w:r w:rsidRPr="003E22F2">
        <w:rPr>
          <w:sz w:val="22"/>
          <w:szCs w:val="22"/>
          <w:lang w:val="es-ES"/>
        </w:rPr>
        <w:t>de una plataforma de conocimiento de la situación de seguridad de las redes para la computación en la</w:t>
      </w:r>
      <w:r>
        <w:rPr>
          <w:sz w:val="22"/>
          <w:szCs w:val="22"/>
          <w:lang w:val="es-ES"/>
        </w:rPr>
        <w:t xml:space="preserve"> nube.</w:t>
      </w:r>
    </w:p>
    <w:p w14:paraId="1AAD89FA" w14:textId="727091B5" w:rsidR="009D6F27" w:rsidRPr="003E22F2" w:rsidRDefault="00A86F2D" w:rsidP="009D6F27">
      <w:pPr>
        <w:pStyle w:val="Heading2"/>
        <w:rPr>
          <w:sz w:val="22"/>
          <w:szCs w:val="22"/>
          <w:lang w:val="es-ES"/>
        </w:rPr>
      </w:pPr>
      <w:r w:rsidRPr="003E22F2">
        <w:rPr>
          <w:sz w:val="22"/>
          <w:szCs w:val="22"/>
          <w:lang w:val="es-ES"/>
        </w:rPr>
        <w:t>Resume</w:t>
      </w:r>
      <w:r w:rsidR="0073060E" w:rsidRPr="002901AF">
        <w:rPr>
          <w:sz w:val="22"/>
          <w:szCs w:val="22"/>
          <w:lang w:val="es-ES"/>
        </w:rPr>
        <w:t>n</w:t>
      </w:r>
    </w:p>
    <w:p w14:paraId="0E92F28F" w14:textId="4BA8653F" w:rsidR="009D6F27" w:rsidRPr="003E22F2" w:rsidRDefault="00A86F2D" w:rsidP="009D6F27">
      <w:pPr>
        <w:keepNext/>
        <w:keepLines/>
        <w:rPr>
          <w:rFonts w:eastAsia="SimSun"/>
          <w:sz w:val="22"/>
          <w:szCs w:val="22"/>
          <w:lang w:val="es-ES"/>
        </w:rPr>
      </w:pPr>
      <w:bookmarkStart w:id="12" w:name="lt_pId099"/>
      <w:r w:rsidRPr="003E22F2">
        <w:rPr>
          <w:rFonts w:eastAsia="SimSun"/>
          <w:sz w:val="22"/>
          <w:szCs w:val="22"/>
          <w:lang w:val="es-ES"/>
        </w:rPr>
        <w:t>El conocimiento de</w:t>
      </w:r>
      <w:r w:rsidR="00FF2FA1" w:rsidRPr="002901AF">
        <w:rPr>
          <w:rFonts w:eastAsia="SimSun"/>
          <w:sz w:val="22"/>
          <w:szCs w:val="22"/>
          <w:lang w:val="es-ES"/>
        </w:rPr>
        <w:t xml:space="preserve"> </w:t>
      </w:r>
      <w:r w:rsidRPr="003E22F2">
        <w:rPr>
          <w:rFonts w:eastAsia="SimSun"/>
          <w:sz w:val="22"/>
          <w:szCs w:val="22"/>
          <w:lang w:val="es-ES"/>
        </w:rPr>
        <w:t>l</w:t>
      </w:r>
      <w:r w:rsidR="00FF2FA1" w:rsidRPr="002901AF">
        <w:rPr>
          <w:rFonts w:eastAsia="SimSun"/>
          <w:sz w:val="22"/>
          <w:szCs w:val="22"/>
          <w:lang w:val="es-ES"/>
        </w:rPr>
        <w:t>a</w:t>
      </w:r>
      <w:r w:rsidRPr="003E22F2">
        <w:rPr>
          <w:rFonts w:eastAsia="SimSun"/>
          <w:sz w:val="22"/>
          <w:szCs w:val="22"/>
          <w:lang w:val="es-ES"/>
        </w:rPr>
        <w:t xml:space="preserve"> </w:t>
      </w:r>
      <w:r w:rsidR="00FF2FA1" w:rsidRPr="002901AF">
        <w:rPr>
          <w:rFonts w:eastAsia="SimSun"/>
          <w:sz w:val="22"/>
          <w:szCs w:val="22"/>
          <w:lang w:val="es-ES"/>
        </w:rPr>
        <w:t xml:space="preserve">situación </w:t>
      </w:r>
      <w:r w:rsidRPr="003E22F2">
        <w:rPr>
          <w:rFonts w:eastAsia="SimSun"/>
          <w:sz w:val="22"/>
          <w:szCs w:val="22"/>
          <w:lang w:val="es-ES"/>
        </w:rPr>
        <w:t>de seguridad de las redes (</w:t>
      </w:r>
      <w:r w:rsidR="009D6F27" w:rsidRPr="003E22F2">
        <w:rPr>
          <w:rFonts w:eastAsia="SimSun"/>
          <w:sz w:val="22"/>
          <w:szCs w:val="22"/>
          <w:lang w:val="es-ES"/>
        </w:rPr>
        <w:t xml:space="preserve">NSSA) </w:t>
      </w:r>
      <w:r w:rsidRPr="002901AF">
        <w:rPr>
          <w:rFonts w:eastAsia="SimSun"/>
          <w:sz w:val="22"/>
          <w:szCs w:val="22"/>
          <w:lang w:val="es-ES"/>
        </w:rPr>
        <w:t>se deriva del “conocimiento de la situación”</w:t>
      </w:r>
      <w:r w:rsidR="00DA094A" w:rsidRPr="002901AF">
        <w:rPr>
          <w:rFonts w:eastAsia="SimSun"/>
          <w:sz w:val="22"/>
          <w:szCs w:val="22"/>
          <w:lang w:val="es-ES"/>
        </w:rPr>
        <w:t>. S</w:t>
      </w:r>
      <w:r w:rsidRPr="002901AF">
        <w:rPr>
          <w:rFonts w:eastAsia="SimSun"/>
          <w:sz w:val="22"/>
          <w:szCs w:val="22"/>
          <w:lang w:val="es-ES"/>
        </w:rPr>
        <w:t>uele incluir cuatro procesos</w:t>
      </w:r>
      <w:bookmarkStart w:id="13" w:name="lt_pId100"/>
      <w:bookmarkEnd w:id="12"/>
      <w:r w:rsidR="00FA6382" w:rsidRPr="002901AF">
        <w:rPr>
          <w:rFonts w:eastAsia="SimSun"/>
          <w:sz w:val="22"/>
          <w:szCs w:val="22"/>
          <w:lang w:val="es-ES"/>
        </w:rPr>
        <w:t xml:space="preserve">, </w:t>
      </w:r>
      <w:r w:rsidR="00DA094A" w:rsidRPr="003E22F2">
        <w:rPr>
          <w:rFonts w:eastAsia="SimSun"/>
          <w:sz w:val="22"/>
          <w:szCs w:val="22"/>
          <w:lang w:val="es-ES"/>
        </w:rPr>
        <w:t>a saber,</w:t>
      </w:r>
      <w:bookmarkEnd w:id="13"/>
      <w:r w:rsidR="009D6F27" w:rsidRPr="003E22F2">
        <w:rPr>
          <w:rFonts w:eastAsia="SimSun"/>
          <w:sz w:val="22"/>
          <w:szCs w:val="22"/>
          <w:lang w:val="es-ES"/>
        </w:rPr>
        <w:t xml:space="preserve"> </w:t>
      </w:r>
      <w:bookmarkStart w:id="14" w:name="lt_pId101"/>
      <w:r w:rsidR="00DA094A" w:rsidRPr="003E22F2">
        <w:rPr>
          <w:rFonts w:eastAsia="SimSun"/>
          <w:sz w:val="22"/>
          <w:szCs w:val="22"/>
          <w:lang w:val="es-ES"/>
        </w:rPr>
        <w:t>obtención de datos, análisis de la situación de seguridad, evaluación de la situación de seguridad y proyección de tendencias de la situación de seguridad</w:t>
      </w:r>
      <w:r w:rsidR="00FA6382" w:rsidRPr="002901AF">
        <w:rPr>
          <w:rFonts w:eastAsia="SimSun"/>
          <w:sz w:val="22"/>
          <w:szCs w:val="22"/>
          <w:lang w:val="es-ES"/>
        </w:rPr>
        <w:t>,</w:t>
      </w:r>
      <w:r w:rsidR="00412816" w:rsidRPr="003E22F2">
        <w:rPr>
          <w:rFonts w:eastAsia="SimSun"/>
          <w:sz w:val="22"/>
          <w:szCs w:val="22"/>
          <w:lang w:val="es-ES"/>
        </w:rPr>
        <w:t xml:space="preserve"> </w:t>
      </w:r>
      <w:r w:rsidR="00FA6382" w:rsidRPr="002901AF">
        <w:rPr>
          <w:rFonts w:eastAsia="SimSun"/>
          <w:sz w:val="22"/>
          <w:szCs w:val="22"/>
          <w:lang w:val="es-ES"/>
        </w:rPr>
        <w:t>y normalmente incorpora</w:t>
      </w:r>
      <w:r w:rsidR="00412816" w:rsidRPr="003E22F2">
        <w:rPr>
          <w:rFonts w:eastAsia="SimSun"/>
          <w:sz w:val="22"/>
          <w:szCs w:val="22"/>
          <w:lang w:val="es-ES"/>
        </w:rPr>
        <w:t xml:space="preserve"> las capacidades siguientes</w:t>
      </w:r>
      <w:r w:rsidR="009D6F27" w:rsidRPr="003E22F2">
        <w:rPr>
          <w:rFonts w:eastAsia="SimSun"/>
          <w:sz w:val="22"/>
          <w:szCs w:val="22"/>
          <w:lang w:val="es-ES"/>
        </w:rPr>
        <w:t>:</w:t>
      </w:r>
      <w:bookmarkEnd w:id="14"/>
      <w:r w:rsidR="009D6F27" w:rsidRPr="003E22F2">
        <w:rPr>
          <w:rFonts w:eastAsia="SimSun"/>
          <w:sz w:val="22"/>
          <w:szCs w:val="22"/>
          <w:lang w:val="es-ES"/>
        </w:rPr>
        <w:t xml:space="preserve"> </w:t>
      </w:r>
      <w:bookmarkStart w:id="15" w:name="lt_pId102"/>
      <w:r w:rsidR="009D6F27" w:rsidRPr="003E22F2">
        <w:rPr>
          <w:rFonts w:eastAsia="SimSun"/>
          <w:sz w:val="22"/>
          <w:szCs w:val="22"/>
          <w:lang w:val="es-ES"/>
        </w:rPr>
        <w:t xml:space="preserve">1) </w:t>
      </w:r>
      <w:r w:rsidR="00412816" w:rsidRPr="002901AF">
        <w:rPr>
          <w:rFonts w:eastAsia="SimSun"/>
          <w:sz w:val="22"/>
          <w:szCs w:val="22"/>
          <w:lang w:val="es-ES"/>
        </w:rPr>
        <w:t xml:space="preserve">capacidad de detección y supervisión constante de diferentes amenazas de ataque, comportamientos </w:t>
      </w:r>
      <w:r w:rsidR="00A941B3" w:rsidRPr="002901AF">
        <w:rPr>
          <w:rFonts w:eastAsia="SimSun"/>
          <w:sz w:val="22"/>
          <w:szCs w:val="22"/>
          <w:lang w:val="es-ES"/>
        </w:rPr>
        <w:t>anómalos</w:t>
      </w:r>
      <w:r w:rsidR="00412816" w:rsidRPr="002901AF">
        <w:rPr>
          <w:rFonts w:eastAsia="SimSun"/>
          <w:sz w:val="22"/>
          <w:szCs w:val="22"/>
          <w:lang w:val="es-ES"/>
        </w:rPr>
        <w:t xml:space="preserve"> y su ámbito de influencia</w:t>
      </w:r>
      <w:r w:rsidR="009D6F27" w:rsidRPr="003E22F2">
        <w:rPr>
          <w:rFonts w:eastAsia="SimSun"/>
          <w:sz w:val="22"/>
          <w:szCs w:val="22"/>
          <w:lang w:val="es-ES"/>
        </w:rPr>
        <w:t>;</w:t>
      </w:r>
      <w:bookmarkEnd w:id="15"/>
      <w:r w:rsidR="009D6F27" w:rsidRPr="003E22F2">
        <w:rPr>
          <w:rFonts w:eastAsia="SimSun"/>
          <w:sz w:val="22"/>
          <w:szCs w:val="22"/>
          <w:lang w:val="es-ES"/>
        </w:rPr>
        <w:t xml:space="preserve"> </w:t>
      </w:r>
      <w:bookmarkStart w:id="16" w:name="lt_pId103"/>
      <w:r w:rsidR="009D6F27" w:rsidRPr="003E22F2">
        <w:rPr>
          <w:rFonts w:eastAsia="SimSun"/>
          <w:sz w:val="22"/>
          <w:szCs w:val="22"/>
          <w:lang w:val="es-ES"/>
        </w:rPr>
        <w:t xml:space="preserve">2) </w:t>
      </w:r>
      <w:r w:rsidR="00412816" w:rsidRPr="002901AF">
        <w:rPr>
          <w:rFonts w:eastAsia="SimSun"/>
          <w:sz w:val="22"/>
          <w:szCs w:val="22"/>
          <w:lang w:val="es-ES"/>
        </w:rPr>
        <w:t>capacidad de extracción de datos</w:t>
      </w:r>
      <w:r w:rsidR="009D6F27" w:rsidRPr="003E22F2">
        <w:rPr>
          <w:rFonts w:eastAsia="SimSun"/>
          <w:sz w:val="22"/>
          <w:szCs w:val="22"/>
          <w:lang w:val="es-ES"/>
        </w:rPr>
        <w:t xml:space="preserve">, </w:t>
      </w:r>
      <w:r w:rsidR="00412816" w:rsidRPr="002901AF">
        <w:rPr>
          <w:rFonts w:eastAsia="SimSun"/>
          <w:sz w:val="22"/>
          <w:szCs w:val="22"/>
          <w:lang w:val="es-ES"/>
        </w:rPr>
        <w:t xml:space="preserve">análisis de amenazas y trazabilidad de comportamientos </w:t>
      </w:r>
      <w:r w:rsidR="00A941B3" w:rsidRPr="002901AF">
        <w:rPr>
          <w:rFonts w:eastAsia="SimSun"/>
          <w:sz w:val="22"/>
          <w:szCs w:val="22"/>
          <w:lang w:val="es-ES"/>
        </w:rPr>
        <w:t>anómalos</w:t>
      </w:r>
      <w:r w:rsidR="009D6F27" w:rsidRPr="003E22F2">
        <w:rPr>
          <w:rFonts w:eastAsia="SimSun"/>
          <w:sz w:val="22"/>
          <w:szCs w:val="22"/>
          <w:lang w:val="es-ES"/>
        </w:rPr>
        <w:t>;</w:t>
      </w:r>
      <w:bookmarkEnd w:id="16"/>
      <w:r w:rsidR="009D6F27" w:rsidRPr="003E22F2">
        <w:rPr>
          <w:rFonts w:eastAsia="SimSun"/>
          <w:sz w:val="22"/>
          <w:szCs w:val="22"/>
          <w:lang w:val="es-ES"/>
        </w:rPr>
        <w:t xml:space="preserve"> </w:t>
      </w:r>
      <w:bookmarkStart w:id="17" w:name="lt_pId104"/>
      <w:r w:rsidR="009D6F27" w:rsidRPr="003E22F2">
        <w:rPr>
          <w:rFonts w:eastAsia="SimSun"/>
          <w:sz w:val="22"/>
          <w:szCs w:val="22"/>
          <w:lang w:val="es-ES"/>
        </w:rPr>
        <w:t xml:space="preserve">3) </w:t>
      </w:r>
      <w:r w:rsidR="00412816" w:rsidRPr="002901AF">
        <w:rPr>
          <w:rFonts w:eastAsia="SimSun"/>
          <w:sz w:val="22"/>
          <w:szCs w:val="22"/>
          <w:lang w:val="es-ES"/>
        </w:rPr>
        <w:t>capacidad de predicción y alerta temprana de situaciones relacionadas con la seguridad</w:t>
      </w:r>
      <w:r w:rsidR="009D6F27" w:rsidRPr="003E22F2">
        <w:rPr>
          <w:rFonts w:eastAsia="SimSun"/>
          <w:sz w:val="22"/>
          <w:szCs w:val="22"/>
          <w:lang w:val="es-ES"/>
        </w:rPr>
        <w:t>;</w:t>
      </w:r>
      <w:bookmarkEnd w:id="17"/>
      <w:r w:rsidR="009D6F27" w:rsidRPr="003E22F2">
        <w:rPr>
          <w:rFonts w:eastAsia="SimSun"/>
          <w:sz w:val="22"/>
          <w:szCs w:val="22"/>
          <w:lang w:val="es-ES"/>
        </w:rPr>
        <w:t xml:space="preserve"> </w:t>
      </w:r>
      <w:bookmarkStart w:id="18" w:name="lt_pId105"/>
      <w:r w:rsidR="009D6F27" w:rsidRPr="003E22F2">
        <w:rPr>
          <w:rFonts w:eastAsia="SimSun"/>
          <w:sz w:val="22"/>
          <w:szCs w:val="22"/>
          <w:lang w:val="es-ES"/>
        </w:rPr>
        <w:t xml:space="preserve">4) </w:t>
      </w:r>
      <w:r w:rsidR="00412816" w:rsidRPr="002901AF">
        <w:rPr>
          <w:rFonts w:eastAsia="SimSun"/>
          <w:sz w:val="22"/>
          <w:szCs w:val="22"/>
          <w:lang w:val="es-ES"/>
        </w:rPr>
        <w:t>capacidad de visualización de</w:t>
      </w:r>
      <w:r w:rsidR="00FF2FA1" w:rsidRPr="002901AF">
        <w:rPr>
          <w:rFonts w:eastAsia="SimSun"/>
          <w:sz w:val="22"/>
          <w:szCs w:val="22"/>
          <w:lang w:val="es-ES"/>
        </w:rPr>
        <w:t xml:space="preserve"> </w:t>
      </w:r>
      <w:r w:rsidR="00412816" w:rsidRPr="002901AF">
        <w:rPr>
          <w:rFonts w:eastAsia="SimSun"/>
          <w:sz w:val="22"/>
          <w:szCs w:val="22"/>
          <w:lang w:val="es-ES"/>
        </w:rPr>
        <w:t>l</w:t>
      </w:r>
      <w:r w:rsidR="00FF2FA1" w:rsidRPr="002901AF">
        <w:rPr>
          <w:rFonts w:eastAsia="SimSun"/>
          <w:sz w:val="22"/>
          <w:szCs w:val="22"/>
          <w:lang w:val="es-ES"/>
        </w:rPr>
        <w:t>a</w:t>
      </w:r>
      <w:r w:rsidR="00412816" w:rsidRPr="002901AF">
        <w:rPr>
          <w:rFonts w:eastAsia="SimSun"/>
          <w:sz w:val="22"/>
          <w:szCs w:val="22"/>
          <w:lang w:val="es-ES"/>
        </w:rPr>
        <w:t xml:space="preserve"> </w:t>
      </w:r>
      <w:r w:rsidR="00FF2FA1" w:rsidRPr="002901AF">
        <w:rPr>
          <w:rFonts w:eastAsia="SimSun"/>
          <w:sz w:val="22"/>
          <w:szCs w:val="22"/>
          <w:lang w:val="es-ES"/>
        </w:rPr>
        <w:t xml:space="preserve">situación </w:t>
      </w:r>
      <w:r w:rsidR="00412816" w:rsidRPr="002901AF">
        <w:rPr>
          <w:rFonts w:eastAsia="SimSun"/>
          <w:sz w:val="22"/>
          <w:szCs w:val="22"/>
          <w:lang w:val="es-ES"/>
        </w:rPr>
        <w:t>de seguridad</w:t>
      </w:r>
      <w:bookmarkEnd w:id="18"/>
      <w:r w:rsidR="00EB77B4">
        <w:rPr>
          <w:rFonts w:eastAsia="SimSun"/>
          <w:sz w:val="22"/>
          <w:szCs w:val="22"/>
          <w:lang w:val="es-ES"/>
        </w:rPr>
        <w:t>.</w:t>
      </w:r>
    </w:p>
    <w:p w14:paraId="367012A8" w14:textId="1E07C4BC" w:rsidR="009D6F27" w:rsidRPr="003E22F2" w:rsidRDefault="00A941B3" w:rsidP="009D6F27">
      <w:pPr>
        <w:rPr>
          <w:rFonts w:eastAsia="SimSun"/>
          <w:sz w:val="22"/>
          <w:szCs w:val="22"/>
          <w:lang w:val="es-ES"/>
        </w:rPr>
      </w:pPr>
      <w:bookmarkStart w:id="19" w:name="lt_pId106"/>
      <w:r w:rsidRPr="003E22F2">
        <w:rPr>
          <w:rFonts w:eastAsia="SimSun"/>
          <w:sz w:val="22"/>
          <w:szCs w:val="22"/>
          <w:lang w:val="es-ES"/>
        </w:rPr>
        <w:t>La plataforma de NSSA desempeña una función importante para lo</w:t>
      </w:r>
      <w:r w:rsidRPr="002901AF">
        <w:rPr>
          <w:rFonts w:eastAsia="SimSun"/>
          <w:sz w:val="22"/>
          <w:szCs w:val="22"/>
          <w:lang w:val="es-ES"/>
        </w:rPr>
        <w:t>s</w:t>
      </w:r>
      <w:r w:rsidRPr="003E22F2">
        <w:rPr>
          <w:rFonts w:eastAsia="SimSun"/>
          <w:sz w:val="22"/>
          <w:szCs w:val="22"/>
          <w:lang w:val="es-ES"/>
        </w:rPr>
        <w:t xml:space="preserve"> proveedores de servicios de computación en la nube en la medida en que mejora la protección de seguridad de la computaci</w:t>
      </w:r>
      <w:r w:rsidRPr="002901AF">
        <w:rPr>
          <w:rFonts w:eastAsia="SimSun"/>
          <w:sz w:val="22"/>
          <w:szCs w:val="22"/>
          <w:lang w:val="es-ES"/>
        </w:rPr>
        <w:t>ón en la nube, la capacidad para detectar violaciones de seguridad o comportamientos anómalos</w:t>
      </w:r>
      <w:r w:rsidR="009D6F27" w:rsidRPr="003E22F2">
        <w:rPr>
          <w:rFonts w:eastAsia="SimSun"/>
          <w:sz w:val="22"/>
          <w:szCs w:val="22"/>
          <w:lang w:val="es-ES"/>
        </w:rPr>
        <w:t xml:space="preserve">, </w:t>
      </w:r>
      <w:r w:rsidRPr="002901AF">
        <w:rPr>
          <w:rFonts w:eastAsia="SimSun"/>
          <w:sz w:val="22"/>
          <w:szCs w:val="22"/>
          <w:lang w:val="es-ES"/>
        </w:rPr>
        <w:t>la adopción de dec</w:t>
      </w:r>
      <w:r w:rsidR="00E0215A" w:rsidRPr="002901AF">
        <w:rPr>
          <w:rFonts w:eastAsia="SimSun"/>
          <w:sz w:val="22"/>
          <w:szCs w:val="22"/>
          <w:lang w:val="es-ES"/>
        </w:rPr>
        <w:t>isiones en materia de seguridad,</w:t>
      </w:r>
      <w:r w:rsidRPr="002901AF">
        <w:rPr>
          <w:rFonts w:eastAsia="SimSun"/>
          <w:sz w:val="22"/>
          <w:szCs w:val="22"/>
          <w:lang w:val="es-ES"/>
        </w:rPr>
        <w:t xml:space="preserve"> la capacidad de respuesta de emergencia</w:t>
      </w:r>
      <w:r w:rsidR="0073060E" w:rsidRPr="002901AF">
        <w:rPr>
          <w:rFonts w:eastAsia="SimSun"/>
          <w:sz w:val="22"/>
          <w:szCs w:val="22"/>
          <w:lang w:val="es-ES"/>
        </w:rPr>
        <w:t xml:space="preserve"> e, incluso, el mecanismo de alerta temprana de computación en la nube</w:t>
      </w:r>
      <w:r w:rsidR="009D6F27" w:rsidRPr="003E22F2">
        <w:rPr>
          <w:rFonts w:eastAsia="SimSun"/>
          <w:sz w:val="22"/>
          <w:szCs w:val="22"/>
          <w:lang w:val="es-ES"/>
        </w:rPr>
        <w:t>.</w:t>
      </w:r>
      <w:bookmarkEnd w:id="19"/>
    </w:p>
    <w:p w14:paraId="048889CB" w14:textId="650393CD" w:rsidR="009D6F27" w:rsidRPr="002901AF" w:rsidRDefault="0073060E" w:rsidP="009D6F27">
      <w:pPr>
        <w:rPr>
          <w:rFonts w:eastAsia="SimSun"/>
          <w:sz w:val="22"/>
          <w:szCs w:val="22"/>
          <w:lang w:val="es-ES"/>
        </w:rPr>
      </w:pPr>
      <w:bookmarkStart w:id="20" w:name="lt_pId107"/>
      <w:r w:rsidRPr="003E22F2">
        <w:rPr>
          <w:rFonts w:eastAsia="SimSun"/>
          <w:sz w:val="22"/>
          <w:szCs w:val="22"/>
          <w:lang w:val="es-ES"/>
        </w:rPr>
        <w:t>La Recomendación comienza presentando y desarrollando el concepto de NSSA; a continuación, se analizan las ventajas del NSSA para hacer frente a los problemas de seguridad de la com</w:t>
      </w:r>
      <w:r w:rsidRPr="002901AF">
        <w:rPr>
          <w:rFonts w:eastAsia="SimSun"/>
          <w:sz w:val="22"/>
          <w:szCs w:val="22"/>
          <w:lang w:val="es-ES"/>
        </w:rPr>
        <w:t>p</w:t>
      </w:r>
      <w:r w:rsidRPr="003E22F2">
        <w:rPr>
          <w:rFonts w:eastAsia="SimSun"/>
          <w:sz w:val="22"/>
          <w:szCs w:val="22"/>
          <w:lang w:val="es-ES"/>
        </w:rPr>
        <w:t>u</w:t>
      </w:r>
      <w:r w:rsidRPr="002901AF">
        <w:rPr>
          <w:rFonts w:eastAsia="SimSun"/>
          <w:sz w:val="22"/>
          <w:szCs w:val="22"/>
          <w:lang w:val="es-ES"/>
        </w:rPr>
        <w:t>t</w:t>
      </w:r>
      <w:r w:rsidRPr="003E22F2">
        <w:rPr>
          <w:rFonts w:eastAsia="SimSun"/>
          <w:sz w:val="22"/>
          <w:szCs w:val="22"/>
          <w:lang w:val="es-ES"/>
        </w:rPr>
        <w:t>aci</w:t>
      </w:r>
      <w:r w:rsidRPr="002901AF">
        <w:rPr>
          <w:rFonts w:eastAsia="SimSun"/>
          <w:sz w:val="22"/>
          <w:szCs w:val="22"/>
          <w:lang w:val="es-ES"/>
        </w:rPr>
        <w:t xml:space="preserve">ón en la nube y, por último, se </w:t>
      </w:r>
      <w:r w:rsidR="00E0215A" w:rsidRPr="002901AF">
        <w:rPr>
          <w:rFonts w:eastAsia="SimSun"/>
          <w:sz w:val="22"/>
          <w:szCs w:val="22"/>
          <w:lang w:val="es-ES"/>
        </w:rPr>
        <w:t>documentan</w:t>
      </w:r>
      <w:r w:rsidRPr="002901AF">
        <w:rPr>
          <w:rFonts w:eastAsia="SimSun"/>
          <w:sz w:val="22"/>
          <w:szCs w:val="22"/>
          <w:lang w:val="es-ES"/>
        </w:rPr>
        <w:t xml:space="preserve"> los requisitos de una plataforma de NSAA para la computación en la nube</w:t>
      </w:r>
      <w:r w:rsidR="009D6F27" w:rsidRPr="003E22F2">
        <w:rPr>
          <w:rFonts w:eastAsia="SimSun"/>
          <w:sz w:val="22"/>
          <w:szCs w:val="22"/>
          <w:lang w:val="es-ES"/>
        </w:rPr>
        <w:t>.</w:t>
      </w:r>
      <w:bookmarkEnd w:id="20"/>
    </w:p>
    <w:p w14:paraId="051AE8F2" w14:textId="11EDBC5D" w:rsidR="009D6F27" w:rsidRPr="003E22F2" w:rsidRDefault="00FA6382" w:rsidP="00BF0F7B">
      <w:pPr>
        <w:pStyle w:val="Heading1"/>
        <w:rPr>
          <w:szCs w:val="24"/>
          <w:lang w:val="es-ES"/>
        </w:rPr>
      </w:pPr>
      <w:r w:rsidRPr="002901AF">
        <w:rPr>
          <w:lang w:val="es-ES"/>
        </w:rPr>
        <w:t>5</w:t>
      </w:r>
      <w:r w:rsidRPr="003E22F2">
        <w:rPr>
          <w:lang w:val="es-ES"/>
        </w:rPr>
        <w:tab/>
      </w:r>
      <w:bookmarkStart w:id="21" w:name="lt_pId108"/>
      <w:r w:rsidR="0073060E" w:rsidRPr="003E22F2">
        <w:rPr>
          <w:szCs w:val="24"/>
          <w:lang w:val="es-ES"/>
        </w:rPr>
        <w:t>Proyecto de nueva Recomendaci</w:t>
      </w:r>
      <w:r w:rsidR="0073060E" w:rsidRPr="002901AF">
        <w:rPr>
          <w:szCs w:val="24"/>
          <w:lang w:val="es-ES"/>
        </w:rPr>
        <w:t>ón</w:t>
      </w:r>
      <w:r w:rsidR="009D6F27" w:rsidRPr="003E22F2">
        <w:rPr>
          <w:szCs w:val="24"/>
          <w:lang w:val="es-ES"/>
        </w:rPr>
        <w:t xml:space="preserve"> X.1771 (</w:t>
      </w:r>
      <w:proofErr w:type="spellStart"/>
      <w:proofErr w:type="gramStart"/>
      <w:r w:rsidR="009D6F27" w:rsidRPr="003E22F2">
        <w:rPr>
          <w:szCs w:val="24"/>
          <w:lang w:val="es-ES"/>
        </w:rPr>
        <w:t>X.rdda</w:t>
      </w:r>
      <w:proofErr w:type="spellEnd"/>
      <w:proofErr w:type="gramEnd"/>
      <w:r w:rsidR="009D6F27" w:rsidRPr="003E22F2">
        <w:rPr>
          <w:szCs w:val="24"/>
          <w:lang w:val="es-ES"/>
        </w:rPr>
        <w:t>) [</w:t>
      </w:r>
      <w:hyperlink r:id="rId17" w:history="1">
        <w:r w:rsidR="009D6F27" w:rsidRPr="00BF0F7B">
          <w:rPr>
            <w:rStyle w:val="Hyperlink"/>
            <w:szCs w:val="24"/>
            <w:lang w:val="es-ES"/>
          </w:rPr>
          <w:t>R37</w:t>
        </w:r>
      </w:hyperlink>
      <w:r w:rsidR="009D6F27" w:rsidRPr="003E22F2">
        <w:rPr>
          <w:szCs w:val="24"/>
          <w:lang w:val="es-ES"/>
        </w:rPr>
        <w:t>]</w:t>
      </w:r>
      <w:bookmarkEnd w:id="21"/>
    </w:p>
    <w:p w14:paraId="7467483A" w14:textId="4A67BEC2" w:rsidR="009D6F27" w:rsidRPr="00EB77B4" w:rsidRDefault="0073060E" w:rsidP="00EB77B4">
      <w:pPr>
        <w:rPr>
          <w:sz w:val="22"/>
          <w:szCs w:val="22"/>
          <w:lang w:val="es-ES"/>
        </w:rPr>
      </w:pPr>
      <w:bookmarkStart w:id="22" w:name="lt_pId109"/>
      <w:r w:rsidRPr="00EB77B4">
        <w:rPr>
          <w:sz w:val="22"/>
          <w:szCs w:val="22"/>
          <w:lang w:val="es-ES"/>
        </w:rPr>
        <w:t xml:space="preserve">Requisitos de la garantía de desidentificación de datos </w:t>
      </w:r>
      <w:bookmarkEnd w:id="22"/>
    </w:p>
    <w:p w14:paraId="394AE1BE" w14:textId="3D0E2E7A" w:rsidR="009D6F27" w:rsidRPr="003E22F2" w:rsidRDefault="001055B8" w:rsidP="009D6F27">
      <w:pPr>
        <w:pStyle w:val="Heading2"/>
        <w:rPr>
          <w:sz w:val="22"/>
          <w:szCs w:val="22"/>
          <w:lang w:val="es-ES"/>
        </w:rPr>
      </w:pPr>
      <w:r w:rsidRPr="002901AF">
        <w:rPr>
          <w:sz w:val="22"/>
          <w:szCs w:val="22"/>
          <w:lang w:val="es-ES"/>
        </w:rPr>
        <w:t>Resumen</w:t>
      </w:r>
    </w:p>
    <w:p w14:paraId="08C2F57E" w14:textId="45E653C0" w:rsidR="009D6F27" w:rsidRPr="003E22F2" w:rsidRDefault="001055B8" w:rsidP="009D6F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40"/>
        <w:jc w:val="both"/>
        <w:rPr>
          <w:rFonts w:eastAsia="MS Mincho"/>
          <w:sz w:val="22"/>
          <w:szCs w:val="22"/>
          <w:lang w:val="es-ES"/>
        </w:rPr>
      </w:pPr>
      <w:bookmarkStart w:id="23" w:name="lt_pId111"/>
      <w:r w:rsidRPr="003E22F2">
        <w:rPr>
          <w:rFonts w:eastAsia="MS Mincho"/>
          <w:sz w:val="22"/>
          <w:szCs w:val="22"/>
          <w:lang w:val="es-ES"/>
        </w:rPr>
        <w:t xml:space="preserve">La desidentificación de datos conlleva el riesgo de que se </w:t>
      </w:r>
      <w:r w:rsidR="00B007BC" w:rsidRPr="002901AF">
        <w:rPr>
          <w:rFonts w:eastAsia="MS Mincho"/>
          <w:sz w:val="22"/>
          <w:szCs w:val="22"/>
          <w:lang w:val="es-ES"/>
        </w:rPr>
        <w:t xml:space="preserve">utilicen para </w:t>
      </w:r>
      <w:proofErr w:type="spellStart"/>
      <w:r w:rsidRPr="002901AF">
        <w:rPr>
          <w:rFonts w:eastAsia="MS Mincho"/>
          <w:sz w:val="22"/>
          <w:szCs w:val="22"/>
          <w:lang w:val="es-ES"/>
        </w:rPr>
        <w:t>re</w:t>
      </w:r>
      <w:r w:rsidR="00B007BC" w:rsidRPr="002901AF">
        <w:rPr>
          <w:rFonts w:eastAsia="MS Mincho"/>
          <w:sz w:val="22"/>
          <w:szCs w:val="22"/>
          <w:lang w:val="es-ES"/>
        </w:rPr>
        <w:t>identif</w:t>
      </w:r>
      <w:r w:rsidR="00A64C3D" w:rsidRPr="002901AF">
        <w:rPr>
          <w:rFonts w:eastAsia="MS Mincho"/>
          <w:sz w:val="22"/>
          <w:szCs w:val="22"/>
          <w:lang w:val="es-ES"/>
        </w:rPr>
        <w:t>i</w:t>
      </w:r>
      <w:r w:rsidR="00B007BC" w:rsidRPr="002901AF">
        <w:rPr>
          <w:rFonts w:eastAsia="MS Mincho"/>
          <w:sz w:val="22"/>
          <w:szCs w:val="22"/>
          <w:lang w:val="es-ES"/>
        </w:rPr>
        <w:t>car</w:t>
      </w:r>
      <w:proofErr w:type="spellEnd"/>
      <w:r w:rsidRPr="002901AF">
        <w:rPr>
          <w:rFonts w:eastAsia="MS Mincho"/>
          <w:sz w:val="22"/>
          <w:szCs w:val="22"/>
          <w:lang w:val="es-ES"/>
        </w:rPr>
        <w:t xml:space="preserve"> a las personas. Por lo tanto, es importante evaluar la amenaza que supone que se utilicen los datos </w:t>
      </w:r>
      <w:proofErr w:type="spellStart"/>
      <w:r w:rsidRPr="002901AF">
        <w:rPr>
          <w:rFonts w:eastAsia="MS Mincho"/>
          <w:sz w:val="22"/>
          <w:szCs w:val="22"/>
          <w:lang w:val="es-ES"/>
        </w:rPr>
        <w:t>desidentificados</w:t>
      </w:r>
      <w:proofErr w:type="spellEnd"/>
      <w:r w:rsidRPr="002901AF">
        <w:rPr>
          <w:rFonts w:eastAsia="MS Mincho"/>
          <w:sz w:val="22"/>
          <w:szCs w:val="22"/>
          <w:lang w:val="es-ES"/>
        </w:rPr>
        <w:t xml:space="preserve"> para identificar a personas con métodos de </w:t>
      </w:r>
      <w:proofErr w:type="spellStart"/>
      <w:r w:rsidRPr="002901AF">
        <w:rPr>
          <w:rFonts w:eastAsia="MS Mincho"/>
          <w:sz w:val="22"/>
          <w:szCs w:val="22"/>
          <w:lang w:val="es-ES"/>
        </w:rPr>
        <w:t>reidentificación</w:t>
      </w:r>
      <w:proofErr w:type="spellEnd"/>
      <w:r w:rsidRPr="002901AF">
        <w:rPr>
          <w:rFonts w:eastAsia="MS Mincho"/>
          <w:sz w:val="22"/>
          <w:szCs w:val="22"/>
          <w:lang w:val="es-ES"/>
        </w:rPr>
        <w:t xml:space="preserve">. Se </w:t>
      </w:r>
      <w:r w:rsidR="005F5A58" w:rsidRPr="002901AF">
        <w:rPr>
          <w:rFonts w:eastAsia="MS Mincho"/>
          <w:sz w:val="22"/>
          <w:szCs w:val="22"/>
          <w:lang w:val="es-ES"/>
        </w:rPr>
        <w:t>pueden</w:t>
      </w:r>
      <w:r w:rsidRPr="002901AF">
        <w:rPr>
          <w:rFonts w:eastAsia="MS Mincho"/>
          <w:sz w:val="22"/>
          <w:szCs w:val="22"/>
          <w:lang w:val="es-ES"/>
        </w:rPr>
        <w:t xml:space="preserve"> seleccionar en consecuencia los métodos de desidentificación, que pueden utilizarse para la evaluación del riesgo de </w:t>
      </w:r>
      <w:proofErr w:type="spellStart"/>
      <w:r w:rsidRPr="002901AF">
        <w:rPr>
          <w:rFonts w:eastAsia="MS Mincho"/>
          <w:sz w:val="22"/>
          <w:szCs w:val="22"/>
          <w:lang w:val="es-ES"/>
        </w:rPr>
        <w:t>reidentificación</w:t>
      </w:r>
      <w:proofErr w:type="spellEnd"/>
      <w:r w:rsidRPr="002901AF">
        <w:rPr>
          <w:rFonts w:eastAsia="MS Mincho"/>
          <w:sz w:val="22"/>
          <w:szCs w:val="22"/>
          <w:lang w:val="es-ES"/>
        </w:rPr>
        <w:t>, de acuerdo con las consideraciones siguientes</w:t>
      </w:r>
      <w:bookmarkStart w:id="24" w:name="lt_pId113"/>
      <w:bookmarkEnd w:id="23"/>
      <w:r w:rsidR="009D6F27" w:rsidRPr="003E22F2">
        <w:rPr>
          <w:rFonts w:eastAsia="MS Mincho"/>
          <w:sz w:val="22"/>
          <w:szCs w:val="22"/>
          <w:lang w:val="es-ES"/>
        </w:rPr>
        <w:t>:</w:t>
      </w:r>
      <w:bookmarkEnd w:id="24"/>
    </w:p>
    <w:p w14:paraId="3A50907B" w14:textId="738F88AF" w:rsidR="009D6F27" w:rsidRPr="0027084B" w:rsidRDefault="0027084B" w:rsidP="0027084B">
      <w:pPr>
        <w:pStyle w:val="enumlev1"/>
        <w:rPr>
          <w:rFonts w:eastAsia="SimSun"/>
          <w:sz w:val="22"/>
          <w:szCs w:val="22"/>
          <w:lang w:val="es-ES" w:eastAsia="ko-KR"/>
        </w:rPr>
      </w:pPr>
      <w:bookmarkStart w:id="25" w:name="lt_pId114"/>
      <w:r w:rsidRPr="0027084B">
        <w:rPr>
          <w:rFonts w:eastAsia="SimSun"/>
          <w:sz w:val="22"/>
          <w:szCs w:val="22"/>
          <w:lang w:val="es-ES" w:eastAsia="ko-KR"/>
        </w:rPr>
        <w:t>–</w:t>
      </w:r>
      <w:r w:rsidRPr="0027084B">
        <w:rPr>
          <w:rFonts w:eastAsia="SimSun"/>
          <w:sz w:val="22"/>
          <w:szCs w:val="22"/>
          <w:lang w:val="es-ES" w:eastAsia="ko-KR"/>
        </w:rPr>
        <w:tab/>
      </w:r>
      <w:r w:rsidR="00EE4117" w:rsidRPr="0027084B">
        <w:rPr>
          <w:rFonts w:eastAsia="SimSun"/>
          <w:sz w:val="22"/>
          <w:szCs w:val="22"/>
          <w:lang w:val="es-ES" w:eastAsia="ko-KR"/>
        </w:rPr>
        <w:t>Evaluación de riesgos de los datos: composición de los datos, distribución de los datos, posesi</w:t>
      </w:r>
      <w:r w:rsidR="00961B5B" w:rsidRPr="0027084B">
        <w:rPr>
          <w:rFonts w:eastAsia="SimSun"/>
          <w:sz w:val="22"/>
          <w:szCs w:val="22"/>
          <w:lang w:val="es-ES" w:eastAsia="ko-KR"/>
        </w:rPr>
        <w:t>ó</w:t>
      </w:r>
      <w:r w:rsidR="00EE4117" w:rsidRPr="0027084B">
        <w:rPr>
          <w:rFonts w:eastAsia="SimSun"/>
          <w:sz w:val="22"/>
          <w:szCs w:val="22"/>
          <w:lang w:val="es-ES" w:eastAsia="ko-KR"/>
        </w:rPr>
        <w:t>n de otros datos</w:t>
      </w:r>
      <w:bookmarkEnd w:id="25"/>
      <w:r w:rsidR="009D6F27" w:rsidRPr="0027084B">
        <w:rPr>
          <w:rFonts w:eastAsia="SimSun"/>
          <w:sz w:val="22"/>
          <w:szCs w:val="22"/>
          <w:lang w:val="es-ES" w:eastAsia="ko-KR"/>
        </w:rPr>
        <w:t>,</w:t>
      </w:r>
    </w:p>
    <w:p w14:paraId="3FC390E1" w14:textId="73B85B1B" w:rsidR="009D6F27" w:rsidRPr="0027084B" w:rsidRDefault="0027084B" w:rsidP="0027084B">
      <w:pPr>
        <w:pStyle w:val="enumlev1"/>
        <w:rPr>
          <w:rFonts w:eastAsia="SimSun"/>
          <w:sz w:val="22"/>
          <w:szCs w:val="22"/>
          <w:lang w:val="es-ES" w:eastAsia="ko-KR"/>
        </w:rPr>
      </w:pPr>
      <w:r w:rsidRPr="0027084B">
        <w:rPr>
          <w:rFonts w:eastAsia="SimSun"/>
          <w:sz w:val="22"/>
          <w:szCs w:val="22"/>
          <w:lang w:val="es-ES" w:eastAsia="ko-KR"/>
        </w:rPr>
        <w:t>–</w:t>
      </w:r>
      <w:r w:rsidRPr="0027084B">
        <w:rPr>
          <w:rFonts w:eastAsia="SimSun"/>
          <w:sz w:val="22"/>
          <w:szCs w:val="22"/>
          <w:lang w:val="es-ES" w:eastAsia="ko-KR"/>
        </w:rPr>
        <w:tab/>
      </w:r>
      <w:r w:rsidR="00EE4117" w:rsidRPr="0027084B">
        <w:rPr>
          <w:rFonts w:eastAsia="SimSun"/>
          <w:sz w:val="22"/>
          <w:szCs w:val="22"/>
          <w:lang w:val="es-ES" w:eastAsia="ko-KR"/>
        </w:rPr>
        <w:t xml:space="preserve">Evaluación de riesgos del entorno de utilización de los datos: nivel de confianza del destinatario de los datos, impacto durante la </w:t>
      </w:r>
      <w:bookmarkStart w:id="26" w:name="lt_pId117"/>
      <w:proofErr w:type="spellStart"/>
      <w:r w:rsidR="009D6F27" w:rsidRPr="0027084B">
        <w:rPr>
          <w:rFonts w:eastAsia="SimSun"/>
          <w:sz w:val="22"/>
          <w:szCs w:val="22"/>
          <w:lang w:val="es-ES" w:eastAsia="ko-KR"/>
        </w:rPr>
        <w:t>reidentifica</w:t>
      </w:r>
      <w:r w:rsidR="00EE4117" w:rsidRPr="0027084B">
        <w:rPr>
          <w:rFonts w:eastAsia="SimSun"/>
          <w:sz w:val="22"/>
          <w:szCs w:val="22"/>
          <w:lang w:val="es-ES" w:eastAsia="ko-KR"/>
        </w:rPr>
        <w:t>ción</w:t>
      </w:r>
      <w:proofErr w:type="spellEnd"/>
      <w:r w:rsidR="00EE4117" w:rsidRPr="0027084B">
        <w:rPr>
          <w:rFonts w:eastAsia="SimSun"/>
          <w:sz w:val="22"/>
          <w:szCs w:val="22"/>
          <w:lang w:val="es-ES" w:eastAsia="ko-KR"/>
        </w:rPr>
        <w:t xml:space="preserve">, </w:t>
      </w:r>
      <w:proofErr w:type="spellStart"/>
      <w:r w:rsidR="009D6F27" w:rsidRPr="0027084B">
        <w:rPr>
          <w:rFonts w:eastAsia="SimSun"/>
          <w:sz w:val="22"/>
          <w:szCs w:val="22"/>
          <w:lang w:val="es-ES" w:eastAsia="ko-KR"/>
        </w:rPr>
        <w:t>re</w:t>
      </w:r>
      <w:r w:rsidR="00EE4117" w:rsidRPr="0027084B">
        <w:rPr>
          <w:rFonts w:eastAsia="SimSun"/>
          <w:sz w:val="22"/>
          <w:szCs w:val="22"/>
          <w:lang w:val="es-ES" w:eastAsia="ko-KR"/>
        </w:rPr>
        <w:t>identificació</w:t>
      </w:r>
      <w:r w:rsidR="009D6F27" w:rsidRPr="0027084B">
        <w:rPr>
          <w:rFonts w:eastAsia="SimSun"/>
          <w:sz w:val="22"/>
          <w:szCs w:val="22"/>
          <w:lang w:val="es-ES" w:eastAsia="ko-KR"/>
        </w:rPr>
        <w:t>n</w:t>
      </w:r>
      <w:proofErr w:type="spellEnd"/>
      <w:r w:rsidR="00EE4117" w:rsidRPr="0027084B">
        <w:rPr>
          <w:rFonts w:eastAsia="SimSun"/>
          <w:sz w:val="22"/>
          <w:szCs w:val="22"/>
          <w:lang w:val="es-ES" w:eastAsia="ko-KR"/>
        </w:rPr>
        <w:t xml:space="preserve"> involuntaria</w:t>
      </w:r>
      <w:r w:rsidR="009D6F27" w:rsidRPr="0027084B">
        <w:rPr>
          <w:rFonts w:eastAsia="SimSun"/>
          <w:sz w:val="22"/>
          <w:szCs w:val="22"/>
          <w:lang w:val="es-ES" w:eastAsia="ko-KR"/>
        </w:rPr>
        <w:t>,</w:t>
      </w:r>
      <w:bookmarkEnd w:id="26"/>
    </w:p>
    <w:p w14:paraId="4C99EB8B" w14:textId="53A1B7A9" w:rsidR="009D6F27" w:rsidRPr="0027084B" w:rsidRDefault="0027084B" w:rsidP="0027084B">
      <w:pPr>
        <w:pStyle w:val="enumlev1"/>
        <w:rPr>
          <w:rFonts w:eastAsia="SimSun"/>
          <w:sz w:val="22"/>
          <w:szCs w:val="22"/>
          <w:lang w:val="es-ES" w:eastAsia="ko-KR"/>
        </w:rPr>
      </w:pPr>
      <w:bookmarkStart w:id="27" w:name="lt_pId118"/>
      <w:r w:rsidRPr="0027084B">
        <w:rPr>
          <w:rFonts w:eastAsia="SimSun"/>
          <w:sz w:val="22"/>
          <w:szCs w:val="22"/>
          <w:lang w:val="es-ES" w:eastAsia="ko-KR"/>
        </w:rPr>
        <w:t>–</w:t>
      </w:r>
      <w:r w:rsidRPr="0027084B">
        <w:rPr>
          <w:rFonts w:eastAsia="SimSun"/>
          <w:sz w:val="22"/>
          <w:szCs w:val="22"/>
          <w:lang w:val="es-ES" w:eastAsia="ko-KR"/>
        </w:rPr>
        <w:tab/>
      </w:r>
      <w:r w:rsidR="00EE4117" w:rsidRPr="0027084B">
        <w:rPr>
          <w:rFonts w:eastAsia="SimSun"/>
          <w:sz w:val="22"/>
          <w:szCs w:val="22"/>
          <w:lang w:val="es-ES" w:eastAsia="ko-KR"/>
        </w:rPr>
        <w:t xml:space="preserve">Utilización y gestión de los datos de </w:t>
      </w:r>
      <w:r w:rsidR="009D6F27" w:rsidRPr="0027084B">
        <w:rPr>
          <w:rFonts w:eastAsia="SimSun"/>
          <w:sz w:val="22"/>
          <w:szCs w:val="22"/>
          <w:lang w:val="es-ES" w:eastAsia="ko-KR"/>
        </w:rPr>
        <w:t>de</w:t>
      </w:r>
      <w:r w:rsidR="00EE4117" w:rsidRPr="0027084B">
        <w:rPr>
          <w:rFonts w:eastAsia="SimSun"/>
          <w:sz w:val="22"/>
          <w:szCs w:val="22"/>
          <w:lang w:val="es-ES" w:eastAsia="ko-KR"/>
        </w:rPr>
        <w:t>s</w:t>
      </w:r>
      <w:r w:rsidR="009D6F27" w:rsidRPr="0027084B">
        <w:rPr>
          <w:rFonts w:eastAsia="SimSun"/>
          <w:sz w:val="22"/>
          <w:szCs w:val="22"/>
          <w:lang w:val="es-ES" w:eastAsia="ko-KR"/>
        </w:rPr>
        <w:t>identifica</w:t>
      </w:r>
      <w:r w:rsidR="00EE4117" w:rsidRPr="0027084B">
        <w:rPr>
          <w:rFonts w:eastAsia="SimSun"/>
          <w:sz w:val="22"/>
          <w:szCs w:val="22"/>
          <w:lang w:val="es-ES" w:eastAsia="ko-KR"/>
        </w:rPr>
        <w:t xml:space="preserve">ción: medidas de seguridad para la desidentificación de datos, </w:t>
      </w:r>
      <w:r w:rsidR="00961B5B" w:rsidRPr="0027084B">
        <w:rPr>
          <w:rFonts w:eastAsia="SimSun"/>
          <w:sz w:val="22"/>
          <w:szCs w:val="22"/>
          <w:lang w:val="es-ES" w:eastAsia="ko-KR"/>
        </w:rPr>
        <w:t>seguimiento</w:t>
      </w:r>
      <w:r w:rsidR="00EE4117" w:rsidRPr="0027084B">
        <w:rPr>
          <w:rFonts w:eastAsia="SimSun"/>
          <w:sz w:val="22"/>
          <w:szCs w:val="22"/>
          <w:lang w:val="es-ES" w:eastAsia="ko-KR"/>
        </w:rPr>
        <w:t xml:space="preserve"> de las posibilidades de </w:t>
      </w:r>
      <w:proofErr w:type="spellStart"/>
      <w:r w:rsidR="00EE4117" w:rsidRPr="0027084B">
        <w:rPr>
          <w:rFonts w:eastAsia="SimSun"/>
          <w:sz w:val="22"/>
          <w:szCs w:val="22"/>
          <w:lang w:val="es-ES" w:eastAsia="ko-KR"/>
        </w:rPr>
        <w:t>reidentificación</w:t>
      </w:r>
      <w:proofErr w:type="spellEnd"/>
      <w:r w:rsidR="00EE4117" w:rsidRPr="0027084B">
        <w:rPr>
          <w:rFonts w:eastAsia="SimSun"/>
          <w:sz w:val="22"/>
          <w:szCs w:val="22"/>
          <w:lang w:val="es-ES" w:eastAsia="ko-KR"/>
        </w:rPr>
        <w:t xml:space="preserve">, cumplimiento de </w:t>
      </w:r>
      <w:r w:rsidR="007429BF" w:rsidRPr="0027084B">
        <w:rPr>
          <w:rFonts w:eastAsia="SimSun"/>
          <w:sz w:val="22"/>
          <w:szCs w:val="22"/>
          <w:lang w:val="es-ES" w:eastAsia="ko-KR"/>
        </w:rPr>
        <w:t xml:space="preserve">los contratos de provisión o envío de datos </w:t>
      </w:r>
      <w:r w:rsidR="00EE4117" w:rsidRPr="0027084B">
        <w:rPr>
          <w:rFonts w:eastAsia="SimSun"/>
          <w:sz w:val="22"/>
          <w:szCs w:val="22"/>
          <w:lang w:val="es-ES" w:eastAsia="ko-KR"/>
        </w:rPr>
        <w:t>de desidentificación</w:t>
      </w:r>
      <w:bookmarkStart w:id="28" w:name="lt_pId119"/>
      <w:bookmarkEnd w:id="27"/>
      <w:r w:rsidR="009D6F27" w:rsidRPr="0027084B">
        <w:rPr>
          <w:rFonts w:eastAsia="SimSun"/>
          <w:sz w:val="22"/>
          <w:szCs w:val="22"/>
          <w:lang w:val="es-ES" w:eastAsia="ko-KR"/>
        </w:rPr>
        <w:t>.</w:t>
      </w:r>
      <w:bookmarkEnd w:id="28"/>
    </w:p>
    <w:p w14:paraId="47EE0B3D" w14:textId="4367A990" w:rsidR="009D6F27" w:rsidRPr="002901AF" w:rsidRDefault="001F483D" w:rsidP="009D6F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contextualSpacing/>
        <w:jc w:val="both"/>
        <w:rPr>
          <w:rFonts w:eastAsia="SimSun"/>
          <w:color w:val="000000"/>
          <w:sz w:val="22"/>
          <w:szCs w:val="22"/>
          <w:lang w:val="es-ES" w:eastAsia="ko-KR"/>
        </w:rPr>
      </w:pPr>
      <w:bookmarkStart w:id="29" w:name="lt_pId120"/>
      <w:r w:rsidRPr="002901AF">
        <w:rPr>
          <w:rFonts w:eastAsia="SimSun"/>
          <w:color w:val="000000"/>
          <w:sz w:val="22"/>
          <w:szCs w:val="22"/>
          <w:lang w:val="es-ES" w:eastAsia="ko-KR"/>
        </w:rPr>
        <w:t>En esta Recomendaci</w:t>
      </w:r>
      <w:r w:rsidR="00A43844" w:rsidRPr="002901AF">
        <w:rPr>
          <w:rFonts w:eastAsia="SimSun"/>
          <w:color w:val="000000"/>
          <w:sz w:val="22"/>
          <w:szCs w:val="22"/>
          <w:lang w:val="es-ES" w:eastAsia="ko-KR"/>
        </w:rPr>
        <w:t>ó</w:t>
      </w:r>
      <w:r w:rsidRPr="002901AF">
        <w:rPr>
          <w:rFonts w:eastAsia="SimSun"/>
          <w:color w:val="000000"/>
          <w:sz w:val="22"/>
          <w:szCs w:val="22"/>
          <w:lang w:val="es-ES" w:eastAsia="ko-KR"/>
        </w:rPr>
        <w:t>n se ofrece una definición de la garantía de desidentificación de datos y un conjunto de requisitos para su gestión, entre los que figuran la evaluación de riesgos de los datos, la evaluación de riesgos del entorno de utilización de los datos y la utilización y gesti</w:t>
      </w:r>
      <w:r w:rsidR="00B007BC" w:rsidRPr="002901AF">
        <w:rPr>
          <w:rFonts w:eastAsia="SimSun"/>
          <w:color w:val="000000"/>
          <w:sz w:val="22"/>
          <w:szCs w:val="22"/>
          <w:lang w:val="es-ES" w:eastAsia="ko-KR"/>
        </w:rPr>
        <w:t>ón de los datos</w:t>
      </w:r>
      <w:r w:rsidRPr="002901AF">
        <w:rPr>
          <w:rFonts w:eastAsia="SimSun"/>
          <w:color w:val="000000"/>
          <w:sz w:val="22"/>
          <w:szCs w:val="22"/>
          <w:lang w:val="es-ES" w:eastAsia="ko-KR"/>
        </w:rPr>
        <w:t xml:space="preserve"> </w:t>
      </w:r>
      <w:proofErr w:type="spellStart"/>
      <w:r w:rsidRPr="002901AF">
        <w:rPr>
          <w:rFonts w:eastAsia="SimSun"/>
          <w:color w:val="000000"/>
          <w:sz w:val="22"/>
          <w:szCs w:val="22"/>
          <w:lang w:val="es-ES" w:eastAsia="ko-KR"/>
        </w:rPr>
        <w:t>desidentifica</w:t>
      </w:r>
      <w:bookmarkStart w:id="30" w:name="lt_pId121"/>
      <w:bookmarkEnd w:id="29"/>
      <w:r w:rsidR="00B007BC" w:rsidRPr="002901AF">
        <w:rPr>
          <w:rFonts w:eastAsia="SimSun"/>
          <w:color w:val="000000"/>
          <w:sz w:val="22"/>
          <w:szCs w:val="22"/>
          <w:lang w:val="es-ES" w:eastAsia="ko-KR"/>
        </w:rPr>
        <w:t>dos</w:t>
      </w:r>
      <w:proofErr w:type="spellEnd"/>
      <w:r w:rsidR="009D6F27" w:rsidRPr="003E22F2">
        <w:rPr>
          <w:rFonts w:eastAsia="SimSun"/>
          <w:color w:val="000000"/>
          <w:sz w:val="22"/>
          <w:szCs w:val="22"/>
          <w:lang w:val="es-ES" w:eastAsia="ko-KR"/>
        </w:rPr>
        <w:t>.</w:t>
      </w:r>
      <w:bookmarkEnd w:id="30"/>
    </w:p>
    <w:p w14:paraId="1231F18A" w14:textId="47E3A6A5" w:rsidR="009D6F27" w:rsidRPr="003E22F2" w:rsidRDefault="00FA6382" w:rsidP="00BF0F7B">
      <w:pPr>
        <w:pStyle w:val="Heading1"/>
        <w:rPr>
          <w:szCs w:val="24"/>
          <w:lang w:val="es-ES"/>
        </w:rPr>
      </w:pPr>
      <w:r w:rsidRPr="002901AF">
        <w:rPr>
          <w:lang w:val="es-ES"/>
        </w:rPr>
        <w:lastRenderedPageBreak/>
        <w:t>6</w:t>
      </w:r>
      <w:r w:rsidRPr="00BF0F7B">
        <w:rPr>
          <w:szCs w:val="24"/>
          <w:lang w:val="es-ES"/>
        </w:rPr>
        <w:tab/>
      </w:r>
      <w:bookmarkStart w:id="31" w:name="lt_pId122"/>
      <w:proofErr w:type="gramStart"/>
      <w:r w:rsidR="00A43844" w:rsidRPr="00BF0F7B">
        <w:rPr>
          <w:szCs w:val="24"/>
          <w:lang w:val="es-ES"/>
        </w:rPr>
        <w:t>Proyecto</w:t>
      </w:r>
      <w:proofErr w:type="gramEnd"/>
      <w:r w:rsidR="00A43844" w:rsidRPr="00BF0F7B">
        <w:rPr>
          <w:szCs w:val="24"/>
          <w:lang w:val="es-ES"/>
        </w:rPr>
        <w:t xml:space="preserve"> de nueva Recomendación </w:t>
      </w:r>
      <w:r w:rsidR="009D6F27" w:rsidRPr="00BF0F7B">
        <w:rPr>
          <w:szCs w:val="24"/>
          <w:lang w:val="es-ES"/>
        </w:rPr>
        <w:t>X.1817 (X.5Gsec-message) [</w:t>
      </w:r>
      <w:hyperlink r:id="rId18" w:history="1">
        <w:r w:rsidR="009D6F27" w:rsidRPr="00BF0F7B">
          <w:rPr>
            <w:rStyle w:val="Hyperlink"/>
            <w:szCs w:val="24"/>
            <w:lang w:val="es-ES"/>
          </w:rPr>
          <w:t>R33</w:t>
        </w:r>
      </w:hyperlink>
      <w:r w:rsidR="009D6F27" w:rsidRPr="00BF0F7B">
        <w:rPr>
          <w:szCs w:val="24"/>
          <w:lang w:val="es-ES"/>
        </w:rPr>
        <w:t>]</w:t>
      </w:r>
      <w:bookmarkEnd w:id="31"/>
    </w:p>
    <w:p w14:paraId="210BEE76" w14:textId="7BA424AE" w:rsidR="009D6F27" w:rsidRPr="003E22F2" w:rsidRDefault="00A43844" w:rsidP="009D6F27">
      <w:pPr>
        <w:rPr>
          <w:sz w:val="22"/>
          <w:szCs w:val="22"/>
          <w:lang w:val="es-ES"/>
        </w:rPr>
      </w:pPr>
      <w:bookmarkStart w:id="32" w:name="lt_pId123"/>
      <w:r w:rsidRPr="003E22F2">
        <w:rPr>
          <w:sz w:val="22"/>
          <w:szCs w:val="22"/>
          <w:lang w:val="es-ES"/>
        </w:rPr>
        <w:t xml:space="preserve">Requisitos de seguridad del servicio de mensajería </w:t>
      </w:r>
      <w:r w:rsidR="009D6F27" w:rsidRPr="003E22F2">
        <w:rPr>
          <w:sz w:val="22"/>
          <w:szCs w:val="22"/>
          <w:lang w:val="es-ES"/>
        </w:rPr>
        <w:t>5G</w:t>
      </w:r>
      <w:bookmarkEnd w:id="32"/>
    </w:p>
    <w:p w14:paraId="61C7E89A" w14:textId="6A77C4B3" w:rsidR="009D6F27" w:rsidRPr="003E22F2" w:rsidRDefault="00FC30C9" w:rsidP="009D6F27">
      <w:pPr>
        <w:pStyle w:val="Heading2"/>
        <w:keepNext w:val="0"/>
        <w:keepLines w:val="0"/>
        <w:rPr>
          <w:sz w:val="22"/>
          <w:szCs w:val="22"/>
          <w:lang w:val="es-ES"/>
        </w:rPr>
      </w:pPr>
      <w:r w:rsidRPr="002901AF">
        <w:rPr>
          <w:sz w:val="22"/>
          <w:szCs w:val="22"/>
          <w:lang w:val="es-ES"/>
        </w:rPr>
        <w:t>Resumen</w:t>
      </w:r>
    </w:p>
    <w:p w14:paraId="4D333D94" w14:textId="1761DD5A" w:rsidR="009D6F27" w:rsidRPr="003E22F2" w:rsidRDefault="00FC30C9" w:rsidP="009D6F27">
      <w:pPr>
        <w:jc w:val="both"/>
        <w:rPr>
          <w:rFonts w:eastAsia="MS Mincho"/>
          <w:sz w:val="22"/>
          <w:szCs w:val="22"/>
          <w:lang w:val="es-ES"/>
        </w:rPr>
      </w:pPr>
      <w:bookmarkStart w:id="33" w:name="lt_pId125"/>
      <w:r w:rsidRPr="003E22F2">
        <w:rPr>
          <w:rFonts w:eastAsia="SimSun"/>
          <w:sz w:val="22"/>
          <w:szCs w:val="22"/>
          <w:lang w:val="es-ES" w:eastAsia="zh-CN"/>
        </w:rPr>
        <w:t>En esta Recomendación se establecen los r</w:t>
      </w:r>
      <w:r w:rsidRPr="003E22F2">
        <w:rPr>
          <w:sz w:val="22"/>
          <w:szCs w:val="22"/>
          <w:lang w:val="es-ES"/>
        </w:rPr>
        <w:t>equisitos de seguridad del servicio de mensajería 5G</w:t>
      </w:r>
      <w:r w:rsidR="009D6F27" w:rsidRPr="003E22F2">
        <w:rPr>
          <w:rFonts w:eastAsia="SimSun"/>
          <w:sz w:val="22"/>
          <w:szCs w:val="22"/>
          <w:lang w:val="es-ES" w:eastAsia="zh-CN"/>
        </w:rPr>
        <w:t xml:space="preserve">, </w:t>
      </w:r>
      <w:r w:rsidRPr="003E22F2">
        <w:rPr>
          <w:rFonts w:eastAsia="SimSun"/>
          <w:sz w:val="22"/>
          <w:szCs w:val="22"/>
          <w:lang w:val="es-ES" w:eastAsia="zh-CN"/>
        </w:rPr>
        <w:t xml:space="preserve">incluidos el uso, la gestión y el control de los requisitos de seguridad para el servicio de mensajería </w:t>
      </w:r>
      <w:r w:rsidR="009D6F27" w:rsidRPr="003E22F2">
        <w:rPr>
          <w:rFonts w:eastAsia="SimSun"/>
          <w:sz w:val="22"/>
          <w:szCs w:val="22"/>
          <w:lang w:val="es-ES" w:eastAsia="zh-CN"/>
        </w:rPr>
        <w:t>5G.</w:t>
      </w:r>
      <w:bookmarkEnd w:id="33"/>
    </w:p>
    <w:p w14:paraId="141D5494" w14:textId="77777777" w:rsidR="009D6F27" w:rsidRPr="003E22F2" w:rsidRDefault="009D6F27" w:rsidP="00EC3DE5">
      <w:pPr>
        <w:rPr>
          <w:lang w:val="es-ES"/>
        </w:rPr>
      </w:pPr>
    </w:p>
    <w:p w14:paraId="6198A7E1" w14:textId="386D5F7F" w:rsidR="00A87D62" w:rsidRPr="00BF0F7B" w:rsidRDefault="00A87D62">
      <w:pPr>
        <w:tabs>
          <w:tab w:val="clear" w:pos="794"/>
          <w:tab w:val="clear" w:pos="1191"/>
          <w:tab w:val="clear" w:pos="1588"/>
          <w:tab w:val="clear" w:pos="1985"/>
        </w:tabs>
        <w:overflowPunct/>
        <w:autoSpaceDE/>
        <w:autoSpaceDN/>
        <w:adjustRightInd/>
        <w:spacing w:before="0"/>
        <w:textAlignment w:val="auto"/>
        <w:rPr>
          <w:lang w:val="es-ES"/>
        </w:rPr>
      </w:pPr>
      <w:r w:rsidRPr="00BF0F7B">
        <w:rPr>
          <w:lang w:val="es-ES"/>
        </w:rPr>
        <w:br w:type="page"/>
      </w:r>
    </w:p>
    <w:p w14:paraId="6F8BF9C4" w14:textId="072DD74B" w:rsidR="0061440B" w:rsidRPr="00BF0F7B" w:rsidRDefault="0061440B" w:rsidP="00BF0F7B">
      <w:pPr>
        <w:pStyle w:val="AnnexTitle"/>
        <w:rPr>
          <w:sz w:val="28"/>
          <w:szCs w:val="28"/>
          <w:lang w:val="es-ES"/>
        </w:rPr>
      </w:pPr>
      <w:r w:rsidRPr="00BF0F7B">
        <w:rPr>
          <w:sz w:val="28"/>
          <w:szCs w:val="28"/>
          <w:lang w:val="es-ES"/>
        </w:rPr>
        <w:lastRenderedPageBreak/>
        <w:t>Anexo 2</w:t>
      </w:r>
    </w:p>
    <w:p w14:paraId="67F9CE1C" w14:textId="0157C834" w:rsidR="0061440B" w:rsidRPr="00BF0F7B" w:rsidRDefault="0061440B" w:rsidP="00BF0F7B">
      <w:pPr>
        <w:pStyle w:val="AnnexTitle"/>
        <w:rPr>
          <w:sz w:val="28"/>
          <w:szCs w:val="28"/>
          <w:lang w:val="es-ES"/>
        </w:rPr>
      </w:pPr>
      <w:r w:rsidRPr="00BF0F7B">
        <w:rPr>
          <w:sz w:val="28"/>
          <w:szCs w:val="28"/>
          <w:lang w:val="es-ES"/>
        </w:rPr>
        <w:t xml:space="preserve">Asunto: Respuesta del Estado Miembro a la Circular </w:t>
      </w:r>
      <w:r w:rsidR="009D526C" w:rsidRPr="00BF0F7B">
        <w:rPr>
          <w:sz w:val="28"/>
          <w:szCs w:val="28"/>
          <w:lang w:val="es-ES"/>
        </w:rPr>
        <w:t xml:space="preserve">79 </w:t>
      </w:r>
      <w:r w:rsidRPr="00BF0F7B">
        <w:rPr>
          <w:sz w:val="28"/>
          <w:szCs w:val="28"/>
          <w:lang w:val="es-ES"/>
        </w:rPr>
        <w:t>de la TSB:</w:t>
      </w:r>
      <w:r w:rsidRPr="00BF0F7B">
        <w:rPr>
          <w:sz w:val="28"/>
          <w:szCs w:val="28"/>
          <w:lang w:val="es-ES"/>
        </w:rPr>
        <w:br/>
        <w:t xml:space="preserve">Consulta sobre los proyectos determinados de nuevas Recomendaciones </w:t>
      </w:r>
      <w:r w:rsidR="00370469">
        <w:rPr>
          <w:sz w:val="28"/>
          <w:szCs w:val="28"/>
          <w:lang w:val="es-ES"/>
        </w:rPr>
        <w:br/>
      </w:r>
      <w:r w:rsidR="009D526C" w:rsidRPr="00BF0F7B">
        <w:rPr>
          <w:sz w:val="28"/>
          <w:szCs w:val="28"/>
          <w:lang w:val="es-ES"/>
        </w:rPr>
        <w:t>UIT-T X.1333 Cor.1, X.1353 (</w:t>
      </w:r>
      <w:proofErr w:type="spellStart"/>
      <w:r w:rsidR="009D526C" w:rsidRPr="00BF0F7B">
        <w:rPr>
          <w:sz w:val="28"/>
          <w:szCs w:val="28"/>
          <w:lang w:val="es-ES"/>
        </w:rPr>
        <w:t>X.ztd-iot</w:t>
      </w:r>
      <w:proofErr w:type="spellEnd"/>
      <w:r w:rsidR="009D526C" w:rsidRPr="00BF0F7B">
        <w:rPr>
          <w:sz w:val="28"/>
          <w:szCs w:val="28"/>
          <w:lang w:val="es-ES"/>
        </w:rPr>
        <w:t>), X.1471 (</w:t>
      </w:r>
      <w:proofErr w:type="gramStart"/>
      <w:r w:rsidR="009D526C" w:rsidRPr="00BF0F7B">
        <w:rPr>
          <w:sz w:val="28"/>
          <w:szCs w:val="28"/>
          <w:lang w:val="es-ES"/>
        </w:rPr>
        <w:t>X.websec</w:t>
      </w:r>
      <w:proofErr w:type="gramEnd"/>
      <w:r w:rsidR="009D526C" w:rsidRPr="00BF0F7B">
        <w:rPr>
          <w:sz w:val="28"/>
          <w:szCs w:val="28"/>
          <w:lang w:val="es-ES"/>
        </w:rPr>
        <w:t>-7), X.1645 (</w:t>
      </w:r>
      <w:proofErr w:type="spellStart"/>
      <w:r w:rsidR="009D526C" w:rsidRPr="00BF0F7B">
        <w:rPr>
          <w:sz w:val="28"/>
          <w:szCs w:val="28"/>
          <w:lang w:val="es-ES"/>
        </w:rPr>
        <w:t>X.nssa-cc</w:t>
      </w:r>
      <w:proofErr w:type="spellEnd"/>
      <w:r w:rsidR="009D526C" w:rsidRPr="00BF0F7B">
        <w:rPr>
          <w:sz w:val="28"/>
          <w:szCs w:val="28"/>
          <w:lang w:val="es-ES"/>
        </w:rPr>
        <w:t>), X.</w:t>
      </w:r>
      <w:r w:rsidR="00AF4268" w:rsidRPr="00BF0F7B">
        <w:rPr>
          <w:sz w:val="28"/>
          <w:szCs w:val="28"/>
          <w:lang w:val="es-ES"/>
        </w:rPr>
        <w:t>1771 (</w:t>
      </w:r>
      <w:proofErr w:type="spellStart"/>
      <w:r w:rsidR="00AF4268" w:rsidRPr="00BF0F7B">
        <w:rPr>
          <w:sz w:val="28"/>
          <w:szCs w:val="28"/>
          <w:lang w:val="es-ES"/>
        </w:rPr>
        <w:t>X.rdda</w:t>
      </w:r>
      <w:proofErr w:type="spellEnd"/>
      <w:r w:rsidR="00AF4268" w:rsidRPr="00BF0F7B">
        <w:rPr>
          <w:sz w:val="28"/>
          <w:szCs w:val="28"/>
          <w:lang w:val="es-ES"/>
        </w:rPr>
        <w:t>) y</w:t>
      </w:r>
      <w:r w:rsidR="009D526C" w:rsidRPr="00BF0F7B">
        <w:rPr>
          <w:sz w:val="28"/>
          <w:szCs w:val="28"/>
          <w:lang w:val="es-ES"/>
        </w:rPr>
        <w:t xml:space="preserve"> X.1817 (X.5Gsec-message)</w:t>
      </w:r>
    </w:p>
    <w:tbl>
      <w:tblPr>
        <w:tblW w:w="9957" w:type="dxa"/>
        <w:tblInd w:w="-176" w:type="dxa"/>
        <w:tblLayout w:type="fixed"/>
        <w:tblLook w:val="04A0" w:firstRow="1" w:lastRow="0" w:firstColumn="1" w:lastColumn="0" w:noHBand="0" w:noVBand="1"/>
      </w:tblPr>
      <w:tblGrid>
        <w:gridCol w:w="1310"/>
        <w:gridCol w:w="4356"/>
        <w:gridCol w:w="1314"/>
        <w:gridCol w:w="2977"/>
      </w:tblGrid>
      <w:tr w:rsidR="0061440B" w:rsidRPr="002901AF" w14:paraId="7FF1B04B" w14:textId="77777777" w:rsidTr="00EC3DE5">
        <w:tc>
          <w:tcPr>
            <w:tcW w:w="1310" w:type="dxa"/>
            <w:shd w:val="clear" w:color="auto" w:fill="auto"/>
          </w:tcPr>
          <w:p w14:paraId="7564F663" w14:textId="77777777" w:rsidR="0061440B" w:rsidRPr="002901AF" w:rsidRDefault="0061440B" w:rsidP="00A523F3">
            <w:pPr>
              <w:ind w:right="92"/>
              <w:jc w:val="right"/>
              <w:rPr>
                <w:b/>
                <w:bCs/>
                <w:lang w:val="es-ES"/>
              </w:rPr>
            </w:pPr>
            <w:r w:rsidRPr="002901AF">
              <w:rPr>
                <w:b/>
                <w:bCs/>
                <w:lang w:val="es-ES"/>
              </w:rPr>
              <w:t>A:</w:t>
            </w:r>
          </w:p>
        </w:tc>
        <w:tc>
          <w:tcPr>
            <w:tcW w:w="4356" w:type="dxa"/>
            <w:tcBorders>
              <w:right w:val="single" w:sz="8" w:space="0" w:color="auto"/>
            </w:tcBorders>
            <w:shd w:val="clear" w:color="auto" w:fill="auto"/>
          </w:tcPr>
          <w:p w14:paraId="3D4D3B96" w14:textId="06EDCFEE" w:rsidR="0061440B" w:rsidRPr="002901AF" w:rsidRDefault="0061440B" w:rsidP="00EC3DE5">
            <w:pPr>
              <w:rPr>
                <w:lang w:val="es-ES"/>
              </w:rPr>
            </w:pPr>
            <w:bookmarkStart w:id="34" w:name="lt_pId115"/>
            <w:r w:rsidRPr="002901AF">
              <w:rPr>
                <w:lang w:val="es-ES"/>
              </w:rPr>
              <w:t xml:space="preserve">Director </w:t>
            </w:r>
            <w:bookmarkStart w:id="35" w:name="lt_pId116"/>
            <w:bookmarkEnd w:id="34"/>
            <w:r w:rsidRPr="002901AF">
              <w:rPr>
                <w:lang w:val="es-ES"/>
              </w:rPr>
              <w:t xml:space="preserve">de la Oficina de </w:t>
            </w:r>
            <w:r w:rsidR="00120570" w:rsidRPr="002901AF">
              <w:rPr>
                <w:lang w:val="es-ES"/>
              </w:rPr>
              <w:br/>
            </w:r>
            <w:r w:rsidRPr="002901AF">
              <w:rPr>
                <w:lang w:val="es-ES"/>
              </w:rPr>
              <w:t>Normalización de las Telecomunicaciones,</w:t>
            </w:r>
            <w:bookmarkEnd w:id="35"/>
            <w:r w:rsidRPr="002901AF">
              <w:rPr>
                <w:lang w:val="es-ES"/>
              </w:rPr>
              <w:t xml:space="preserve"> </w:t>
            </w:r>
            <w:r w:rsidRPr="002901AF">
              <w:rPr>
                <w:lang w:val="es-ES"/>
              </w:rPr>
              <w:br/>
              <w:t>Unión Internacional de Telecomunicaciones</w:t>
            </w:r>
            <w:r w:rsidRPr="002901AF">
              <w:rPr>
                <w:lang w:val="es-ES"/>
              </w:rPr>
              <w:br/>
              <w:t xml:space="preserve">Place des </w:t>
            </w:r>
            <w:proofErr w:type="spellStart"/>
            <w:r w:rsidRPr="002901AF">
              <w:rPr>
                <w:lang w:val="es-ES"/>
              </w:rPr>
              <w:t>Nations</w:t>
            </w:r>
            <w:proofErr w:type="spellEnd"/>
            <w:r w:rsidRPr="002901AF">
              <w:rPr>
                <w:lang w:val="es-ES"/>
              </w:rPr>
              <w:br/>
              <w:t>CH 1211 Ginebra 20, Suiza</w:t>
            </w:r>
          </w:p>
        </w:tc>
        <w:tc>
          <w:tcPr>
            <w:tcW w:w="1314" w:type="dxa"/>
            <w:tcBorders>
              <w:left w:val="single" w:sz="4" w:space="0" w:color="auto"/>
            </w:tcBorders>
            <w:shd w:val="clear" w:color="auto" w:fill="auto"/>
            <w:tcMar>
              <w:left w:w="115" w:type="dxa"/>
              <w:right w:w="115" w:type="dxa"/>
            </w:tcMar>
          </w:tcPr>
          <w:p w14:paraId="56F3BAA3" w14:textId="77777777" w:rsidR="0061440B" w:rsidRPr="002901AF" w:rsidRDefault="0061440B" w:rsidP="00A523F3">
            <w:pPr>
              <w:ind w:right="92"/>
              <w:jc w:val="right"/>
              <w:rPr>
                <w:b/>
                <w:bCs/>
                <w:lang w:val="es-ES"/>
              </w:rPr>
            </w:pPr>
            <w:r w:rsidRPr="002901AF">
              <w:rPr>
                <w:b/>
                <w:bCs/>
                <w:lang w:val="es-ES"/>
              </w:rPr>
              <w:t>De:</w:t>
            </w:r>
          </w:p>
        </w:tc>
        <w:tc>
          <w:tcPr>
            <w:tcW w:w="2977" w:type="dxa"/>
            <w:shd w:val="clear" w:color="auto" w:fill="auto"/>
          </w:tcPr>
          <w:p w14:paraId="5F4BF48D" w14:textId="77777777" w:rsidR="0061440B" w:rsidRPr="002901AF" w:rsidRDefault="0061440B" w:rsidP="00EC3DE5">
            <w:pPr>
              <w:rPr>
                <w:lang w:val="es-ES"/>
              </w:rPr>
            </w:pPr>
            <w:r w:rsidRPr="002901AF">
              <w:rPr>
                <w:highlight w:val="green"/>
                <w:lang w:val="es-ES"/>
              </w:rPr>
              <w:t>[Nombre]</w:t>
            </w:r>
            <w:r w:rsidRPr="002901AF">
              <w:rPr>
                <w:highlight w:val="green"/>
                <w:lang w:val="es-ES"/>
              </w:rPr>
              <w:br/>
              <w:t>[Cargo oficial/Título]</w:t>
            </w:r>
            <w:r w:rsidRPr="002901AF">
              <w:rPr>
                <w:highlight w:val="green"/>
                <w:lang w:val="es-ES"/>
              </w:rPr>
              <w:br/>
              <w:t>[Dirección]</w:t>
            </w:r>
          </w:p>
        </w:tc>
      </w:tr>
      <w:tr w:rsidR="0061440B" w:rsidRPr="002901AF" w14:paraId="323AA660" w14:textId="77777777" w:rsidTr="00EC3DE5">
        <w:tc>
          <w:tcPr>
            <w:tcW w:w="1310" w:type="dxa"/>
            <w:shd w:val="clear" w:color="auto" w:fill="auto"/>
          </w:tcPr>
          <w:p w14:paraId="76051CBD" w14:textId="77777777" w:rsidR="0061440B" w:rsidRPr="002901AF" w:rsidRDefault="0061440B" w:rsidP="000D538C">
            <w:pPr>
              <w:spacing w:before="0"/>
              <w:jc w:val="right"/>
              <w:rPr>
                <w:lang w:val="es-ES"/>
              </w:rPr>
            </w:pPr>
            <w:r w:rsidRPr="002901AF">
              <w:rPr>
                <w:b/>
                <w:bCs/>
                <w:lang w:val="es-ES"/>
              </w:rPr>
              <w:t>Fax</w:t>
            </w:r>
            <w:r w:rsidRPr="002901AF">
              <w:rPr>
                <w:lang w:val="es-ES"/>
              </w:rPr>
              <w:t>:</w:t>
            </w:r>
          </w:p>
          <w:p w14:paraId="3D2C634A" w14:textId="77777777" w:rsidR="0061440B" w:rsidRPr="002901AF" w:rsidRDefault="0061440B" w:rsidP="000D538C">
            <w:pPr>
              <w:spacing w:before="0"/>
              <w:jc w:val="right"/>
              <w:rPr>
                <w:lang w:val="es-ES"/>
              </w:rPr>
            </w:pPr>
            <w:r w:rsidRPr="002901AF">
              <w:rPr>
                <w:b/>
                <w:bCs/>
                <w:lang w:val="es-ES"/>
              </w:rPr>
              <w:t>Correo-e</w:t>
            </w:r>
            <w:r w:rsidRPr="002901AF">
              <w:rPr>
                <w:lang w:val="es-ES"/>
              </w:rPr>
              <w:t>:</w:t>
            </w:r>
          </w:p>
        </w:tc>
        <w:tc>
          <w:tcPr>
            <w:tcW w:w="4356" w:type="dxa"/>
            <w:tcBorders>
              <w:right w:val="single" w:sz="8" w:space="0" w:color="auto"/>
            </w:tcBorders>
            <w:shd w:val="clear" w:color="auto" w:fill="auto"/>
          </w:tcPr>
          <w:p w14:paraId="6AE9E59F" w14:textId="77777777" w:rsidR="0061440B" w:rsidRPr="002901AF" w:rsidRDefault="0061440B" w:rsidP="000D538C">
            <w:pPr>
              <w:spacing w:before="0"/>
              <w:rPr>
                <w:lang w:val="es-ES"/>
              </w:rPr>
            </w:pPr>
            <w:r w:rsidRPr="002901AF">
              <w:rPr>
                <w:lang w:val="es-ES"/>
              </w:rPr>
              <w:t>+41-22-</w:t>
            </w:r>
            <w:r w:rsidRPr="002901AF">
              <w:rPr>
                <w:rFonts w:ascii="Calibri" w:hAnsi="Calibri"/>
                <w:szCs w:val="24"/>
                <w:lang w:val="es-ES"/>
              </w:rPr>
              <w:t>730</w:t>
            </w:r>
            <w:r w:rsidRPr="002901AF">
              <w:rPr>
                <w:lang w:val="es-ES"/>
              </w:rPr>
              <w:t>-5853</w:t>
            </w:r>
          </w:p>
          <w:p w14:paraId="2A1AF980" w14:textId="77777777" w:rsidR="0061440B" w:rsidRPr="002901AF" w:rsidRDefault="00FC44BB" w:rsidP="000D538C">
            <w:pPr>
              <w:spacing w:before="0"/>
              <w:rPr>
                <w:lang w:val="es-ES"/>
              </w:rPr>
            </w:pPr>
            <w:hyperlink r:id="rId19" w:history="1">
              <w:r w:rsidR="0061440B" w:rsidRPr="002901AF">
                <w:rPr>
                  <w:rStyle w:val="Hyperlink"/>
                  <w:lang w:val="es-ES"/>
                </w:rPr>
                <w:t>tsbdir@itu.int</w:t>
              </w:r>
            </w:hyperlink>
            <w:r w:rsidR="0061440B" w:rsidRPr="002901AF">
              <w:rPr>
                <w:lang w:val="es-ES"/>
              </w:rPr>
              <w:t xml:space="preserve"> </w:t>
            </w:r>
          </w:p>
        </w:tc>
        <w:tc>
          <w:tcPr>
            <w:tcW w:w="1314" w:type="dxa"/>
            <w:tcBorders>
              <w:left w:val="single" w:sz="4" w:space="0" w:color="auto"/>
            </w:tcBorders>
            <w:shd w:val="clear" w:color="auto" w:fill="auto"/>
          </w:tcPr>
          <w:p w14:paraId="67E27D56" w14:textId="77777777" w:rsidR="0061440B" w:rsidRPr="002901AF" w:rsidRDefault="0061440B" w:rsidP="000D538C">
            <w:pPr>
              <w:spacing w:before="0"/>
              <w:jc w:val="right"/>
              <w:rPr>
                <w:lang w:val="es-ES"/>
              </w:rPr>
            </w:pPr>
            <w:r w:rsidRPr="002901AF">
              <w:rPr>
                <w:b/>
                <w:bCs/>
                <w:lang w:val="es-ES"/>
              </w:rPr>
              <w:t>Fax</w:t>
            </w:r>
            <w:r w:rsidRPr="002901AF">
              <w:rPr>
                <w:lang w:val="es-ES"/>
              </w:rPr>
              <w:t>:</w:t>
            </w:r>
          </w:p>
          <w:p w14:paraId="76EF4446" w14:textId="77777777" w:rsidR="0061440B" w:rsidRPr="002901AF" w:rsidRDefault="0061440B" w:rsidP="000D538C">
            <w:pPr>
              <w:spacing w:before="0"/>
              <w:jc w:val="right"/>
              <w:rPr>
                <w:lang w:val="es-ES"/>
              </w:rPr>
            </w:pPr>
            <w:r w:rsidRPr="002901AF">
              <w:rPr>
                <w:b/>
                <w:bCs/>
                <w:lang w:val="es-ES"/>
              </w:rPr>
              <w:t>Correo-e:</w:t>
            </w:r>
          </w:p>
        </w:tc>
        <w:tc>
          <w:tcPr>
            <w:tcW w:w="2977" w:type="dxa"/>
            <w:shd w:val="clear" w:color="auto" w:fill="auto"/>
          </w:tcPr>
          <w:p w14:paraId="541B312E" w14:textId="77777777" w:rsidR="0061440B" w:rsidRPr="002901AF" w:rsidRDefault="0061440B" w:rsidP="0061440B">
            <w:pPr>
              <w:ind w:right="92"/>
              <w:rPr>
                <w:lang w:val="es-ES"/>
              </w:rPr>
            </w:pPr>
          </w:p>
        </w:tc>
      </w:tr>
      <w:tr w:rsidR="0061440B" w:rsidRPr="002901AF" w14:paraId="41E2430C" w14:textId="77777777" w:rsidTr="00EC3DE5">
        <w:tc>
          <w:tcPr>
            <w:tcW w:w="1310" w:type="dxa"/>
            <w:shd w:val="clear" w:color="auto" w:fill="auto"/>
          </w:tcPr>
          <w:p w14:paraId="0F0D8399" w14:textId="77777777" w:rsidR="0061440B" w:rsidRPr="002901AF" w:rsidRDefault="0061440B" w:rsidP="000D538C">
            <w:pPr>
              <w:spacing w:before="0"/>
              <w:rPr>
                <w:lang w:val="es-ES"/>
              </w:rPr>
            </w:pPr>
          </w:p>
        </w:tc>
        <w:tc>
          <w:tcPr>
            <w:tcW w:w="4356" w:type="dxa"/>
            <w:tcBorders>
              <w:right w:val="single" w:sz="8" w:space="0" w:color="auto"/>
            </w:tcBorders>
            <w:shd w:val="clear" w:color="auto" w:fill="auto"/>
          </w:tcPr>
          <w:p w14:paraId="147E4C71" w14:textId="77777777" w:rsidR="0061440B" w:rsidRPr="002901AF" w:rsidRDefault="0061440B" w:rsidP="000D538C">
            <w:pPr>
              <w:spacing w:before="0"/>
              <w:rPr>
                <w:lang w:val="es-ES"/>
              </w:rPr>
            </w:pPr>
          </w:p>
        </w:tc>
        <w:tc>
          <w:tcPr>
            <w:tcW w:w="1314" w:type="dxa"/>
            <w:tcBorders>
              <w:left w:val="single" w:sz="4" w:space="0" w:color="auto"/>
            </w:tcBorders>
            <w:shd w:val="clear" w:color="auto" w:fill="auto"/>
          </w:tcPr>
          <w:p w14:paraId="4C4745F2" w14:textId="77777777" w:rsidR="0061440B" w:rsidRPr="002901AF" w:rsidRDefault="0061440B" w:rsidP="000D538C">
            <w:pPr>
              <w:spacing w:before="0"/>
              <w:jc w:val="right"/>
              <w:rPr>
                <w:lang w:val="es-ES"/>
              </w:rPr>
            </w:pPr>
            <w:r w:rsidRPr="002901AF">
              <w:rPr>
                <w:b/>
                <w:bCs/>
                <w:lang w:val="es-ES"/>
              </w:rPr>
              <w:t>Fecha:</w:t>
            </w:r>
          </w:p>
        </w:tc>
        <w:tc>
          <w:tcPr>
            <w:tcW w:w="2977" w:type="dxa"/>
            <w:shd w:val="clear" w:color="auto" w:fill="auto"/>
          </w:tcPr>
          <w:p w14:paraId="655325E9" w14:textId="77777777" w:rsidR="0061440B" w:rsidRPr="002901AF" w:rsidRDefault="0061440B" w:rsidP="000D538C">
            <w:pPr>
              <w:spacing w:before="0"/>
              <w:rPr>
                <w:lang w:val="es-ES"/>
              </w:rPr>
            </w:pPr>
            <w:r w:rsidRPr="002901AF">
              <w:rPr>
                <w:highlight w:val="green"/>
                <w:lang w:val="es-ES"/>
              </w:rPr>
              <w:t>[Lugar,] [Fecha]</w:t>
            </w:r>
          </w:p>
        </w:tc>
      </w:tr>
    </w:tbl>
    <w:p w14:paraId="2032F050" w14:textId="04E79778" w:rsidR="0061440B" w:rsidRPr="002901AF" w:rsidRDefault="0061440B" w:rsidP="00A523F3">
      <w:pPr>
        <w:spacing w:before="320"/>
        <w:rPr>
          <w:lang w:val="es-ES"/>
        </w:rPr>
      </w:pPr>
      <w:r w:rsidRPr="002901AF">
        <w:rPr>
          <w:lang w:val="es-ES"/>
        </w:rPr>
        <w:t>Muy Señora mía/Muy Señor mío:</w:t>
      </w:r>
    </w:p>
    <w:p w14:paraId="5D39F571" w14:textId="2483E12A" w:rsidR="0061440B" w:rsidRPr="002901AF" w:rsidRDefault="0061440B" w:rsidP="00A523F3">
      <w:pPr>
        <w:spacing w:after="240"/>
        <w:rPr>
          <w:lang w:val="es-ES"/>
        </w:rPr>
      </w:pPr>
      <w:r w:rsidRPr="002901AF">
        <w:rPr>
          <w:lang w:val="es-ES"/>
        </w:rPr>
        <w:t>En lo que respecta a la consulta a los Estados Miembros sobre los proyectos determinados que se enumeran en la Circular </w:t>
      </w:r>
      <w:r w:rsidR="00AF4268" w:rsidRPr="002901AF">
        <w:rPr>
          <w:lang w:val="es-ES"/>
        </w:rPr>
        <w:t>79</w:t>
      </w:r>
      <w:r w:rsidRPr="002901AF">
        <w:rPr>
          <w:lang w:val="es-ES"/>
        </w:rPr>
        <w:t xml:space="preserve"> de la TSB, deseo informarle de la opinión de esta Administración, que se refleja en el siguiente cuadro: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7568"/>
      </w:tblGrid>
      <w:tr w:rsidR="0061440B" w:rsidRPr="002901AF" w14:paraId="01A3D6DF" w14:textId="77777777" w:rsidTr="00C13F27">
        <w:trPr>
          <w:cantSplit/>
          <w:tblHeader/>
        </w:trPr>
        <w:tc>
          <w:tcPr>
            <w:tcW w:w="2061" w:type="dxa"/>
            <w:shd w:val="clear" w:color="auto" w:fill="auto"/>
            <w:vAlign w:val="center"/>
          </w:tcPr>
          <w:p w14:paraId="1389DBBA" w14:textId="77777777" w:rsidR="0061440B" w:rsidRPr="002901AF" w:rsidRDefault="0061440B" w:rsidP="00A523F3">
            <w:pPr>
              <w:pStyle w:val="Tablehead0"/>
              <w:rPr>
                <w:lang w:val="es-ES"/>
              </w:rPr>
            </w:pPr>
          </w:p>
        </w:tc>
        <w:tc>
          <w:tcPr>
            <w:tcW w:w="7568" w:type="dxa"/>
            <w:shd w:val="clear" w:color="auto" w:fill="auto"/>
            <w:vAlign w:val="center"/>
          </w:tcPr>
          <w:p w14:paraId="2ABF22B9" w14:textId="77777777" w:rsidR="0061440B" w:rsidRPr="002901AF" w:rsidRDefault="0061440B" w:rsidP="00A523F3">
            <w:pPr>
              <w:pStyle w:val="Tablehead0"/>
              <w:rPr>
                <w:lang w:val="es-ES"/>
              </w:rPr>
            </w:pPr>
            <w:bookmarkStart w:id="36" w:name="lt_pId134"/>
            <w:r w:rsidRPr="002901AF">
              <w:rPr>
                <w:lang w:val="es-ES"/>
              </w:rPr>
              <w:t>Seleccione una de las dos casillas</w:t>
            </w:r>
            <w:bookmarkEnd w:id="36"/>
            <w:r w:rsidRPr="002901AF">
              <w:rPr>
                <w:lang w:val="es-ES"/>
              </w:rPr>
              <w:t xml:space="preserve"> para cada texto</w:t>
            </w:r>
          </w:p>
        </w:tc>
      </w:tr>
      <w:tr w:rsidR="0061440B" w:rsidRPr="002901AF" w14:paraId="5072DA5D" w14:textId="77777777" w:rsidTr="00C13F27">
        <w:trPr>
          <w:cantSplit/>
          <w:trHeight w:val="748"/>
        </w:trPr>
        <w:tc>
          <w:tcPr>
            <w:tcW w:w="2061" w:type="dxa"/>
            <w:vMerge w:val="restart"/>
            <w:shd w:val="clear" w:color="auto" w:fill="auto"/>
            <w:vAlign w:val="center"/>
          </w:tcPr>
          <w:p w14:paraId="0576DD51" w14:textId="051127B9" w:rsidR="0061440B" w:rsidRPr="002901AF" w:rsidRDefault="0061440B">
            <w:pPr>
              <w:pStyle w:val="Tablehead0"/>
              <w:rPr>
                <w:lang w:val="es-ES"/>
              </w:rPr>
            </w:pPr>
            <w:r w:rsidRPr="002901AF">
              <w:rPr>
                <w:lang w:val="es-ES"/>
              </w:rPr>
              <w:t xml:space="preserve">Proyecto de </w:t>
            </w:r>
            <w:proofErr w:type="spellStart"/>
            <w:r w:rsidR="00AF4268" w:rsidRPr="002901AF">
              <w:rPr>
                <w:lang w:val="es-ES"/>
              </w:rPr>
              <w:t>Corrigéndum</w:t>
            </w:r>
            <w:proofErr w:type="spellEnd"/>
            <w:r w:rsidR="00AF4268" w:rsidRPr="002901AF">
              <w:rPr>
                <w:lang w:val="es-ES"/>
              </w:rPr>
              <w:t xml:space="preserve"> 1 a la </w:t>
            </w:r>
            <w:r w:rsidRPr="002901AF">
              <w:rPr>
                <w:lang w:val="es-ES"/>
              </w:rPr>
              <w:t>Recomendación UIT-T X.</w:t>
            </w:r>
            <w:r w:rsidR="00AF4268" w:rsidRPr="002901AF">
              <w:rPr>
                <w:lang w:val="es-ES"/>
              </w:rPr>
              <w:t>1333</w:t>
            </w:r>
          </w:p>
        </w:tc>
        <w:tc>
          <w:tcPr>
            <w:tcW w:w="7568" w:type="dxa"/>
            <w:shd w:val="clear" w:color="auto" w:fill="auto"/>
            <w:vAlign w:val="center"/>
          </w:tcPr>
          <w:p w14:paraId="3C1517A9" w14:textId="43AE666E" w:rsidR="0061440B" w:rsidRPr="002901AF" w:rsidRDefault="0061440B" w:rsidP="00A523F3">
            <w:pPr>
              <w:pStyle w:val="Tabletext0"/>
              <w:ind w:left="567" w:hanging="567"/>
              <w:rPr>
                <w:lang w:val="es-ES"/>
              </w:rPr>
            </w:pPr>
            <w:r w:rsidRPr="002901AF">
              <w:rPr>
                <w:lang w:val="es-ES"/>
              </w:rPr>
              <w:fldChar w:fldCharType="begin">
                <w:ffData>
                  <w:name w:val="Check1"/>
                  <w:enabled/>
                  <w:calcOnExit w:val="0"/>
                  <w:checkBox>
                    <w:sizeAuto/>
                    <w:default w:val="0"/>
                  </w:checkBox>
                </w:ffData>
              </w:fldChar>
            </w:r>
            <w:r w:rsidRPr="002901AF">
              <w:rPr>
                <w:lang w:val="es-ES"/>
              </w:rPr>
              <w:instrText xml:space="preserve"> FORMCHECKBOX </w:instrText>
            </w:r>
            <w:r w:rsidR="00FC44BB">
              <w:rPr>
                <w:lang w:val="es-ES"/>
              </w:rPr>
            </w:r>
            <w:r w:rsidR="00FC44BB">
              <w:rPr>
                <w:lang w:val="es-ES"/>
              </w:rPr>
              <w:fldChar w:fldCharType="separate"/>
            </w:r>
            <w:r w:rsidRPr="002901AF">
              <w:rPr>
                <w:lang w:val="es-ES"/>
              </w:rPr>
              <w:fldChar w:fldCharType="end"/>
            </w:r>
            <w:r w:rsidRPr="002901AF">
              <w:rPr>
                <w:lang w:val="es-ES"/>
              </w:rPr>
              <w:tab/>
            </w:r>
            <w:r w:rsidR="00A523F3" w:rsidRPr="002901AF">
              <w:rPr>
                <w:lang w:val="es-ES"/>
              </w:rPr>
              <w:tab/>
            </w:r>
            <w:r w:rsidRPr="002901AF">
              <w:rPr>
                <w:b/>
                <w:bCs/>
                <w:lang w:val="es-ES"/>
              </w:rPr>
              <w:t xml:space="preserve">Otorga autoridad </w:t>
            </w:r>
            <w:r w:rsidRPr="002901AF">
              <w:rPr>
                <w:lang w:val="es-ES"/>
              </w:rPr>
              <w:t>a la Comisión de Estudio 17 a fin de examinar este texto para aprobación (en cuyo caso seleccionará una de las dos opciones ⃝):</w:t>
            </w:r>
          </w:p>
          <w:p w14:paraId="10398C51" w14:textId="7E8E0BB0" w:rsidR="0061440B" w:rsidRPr="002901AF" w:rsidRDefault="00A523F3" w:rsidP="0052698F">
            <w:pPr>
              <w:pStyle w:val="Tabletext0"/>
              <w:tabs>
                <w:tab w:val="clear" w:pos="284"/>
              </w:tabs>
              <w:ind w:left="567" w:hanging="567"/>
              <w:rPr>
                <w:lang w:val="es-ES"/>
              </w:rPr>
            </w:pPr>
            <w:r w:rsidRPr="002901AF">
              <w:rPr>
                <w:lang w:val="es-ES"/>
              </w:rPr>
              <w:tab/>
            </w:r>
            <w:r w:rsidR="0061440B" w:rsidRPr="002901AF">
              <w:rPr>
                <w:lang w:val="es-ES"/>
              </w:rPr>
              <w:t>⃝</w:t>
            </w:r>
            <w:r w:rsidRPr="002901AF">
              <w:rPr>
                <w:lang w:val="es-ES"/>
              </w:rPr>
              <w:tab/>
            </w:r>
            <w:r w:rsidR="0061440B" w:rsidRPr="002901AF">
              <w:rPr>
                <w:lang w:val="es-ES"/>
              </w:rPr>
              <w:t>Sin comentarios o cambios sugeridos</w:t>
            </w:r>
          </w:p>
          <w:p w14:paraId="0AC8B275" w14:textId="592C5178" w:rsidR="0061440B" w:rsidRPr="002901AF" w:rsidRDefault="00A523F3" w:rsidP="0052698F">
            <w:pPr>
              <w:pStyle w:val="Tabletext0"/>
              <w:tabs>
                <w:tab w:val="clear" w:pos="284"/>
              </w:tabs>
              <w:rPr>
                <w:lang w:val="es-ES"/>
              </w:rPr>
            </w:pPr>
            <w:r w:rsidRPr="002901AF">
              <w:rPr>
                <w:lang w:val="es-ES"/>
              </w:rPr>
              <w:tab/>
            </w:r>
            <w:r w:rsidR="0061440B" w:rsidRPr="002901AF">
              <w:rPr>
                <w:lang w:val="es-ES"/>
              </w:rPr>
              <w:t>⃝</w:t>
            </w:r>
            <w:r w:rsidR="0061440B" w:rsidRPr="002901AF">
              <w:rPr>
                <w:lang w:val="es-ES"/>
              </w:rPr>
              <w:tab/>
              <w:t>Se adjuntan los comentarios o cambios sugeridos</w:t>
            </w:r>
          </w:p>
        </w:tc>
      </w:tr>
      <w:tr w:rsidR="0061440B" w:rsidRPr="002901AF" w14:paraId="7EC44212" w14:textId="77777777" w:rsidTr="00C13F27">
        <w:trPr>
          <w:cantSplit/>
          <w:trHeight w:val="747"/>
        </w:trPr>
        <w:tc>
          <w:tcPr>
            <w:tcW w:w="2061" w:type="dxa"/>
            <w:vMerge/>
            <w:shd w:val="clear" w:color="auto" w:fill="auto"/>
            <w:vAlign w:val="center"/>
          </w:tcPr>
          <w:p w14:paraId="613013E6" w14:textId="77777777" w:rsidR="0061440B" w:rsidRPr="002901AF" w:rsidRDefault="0061440B" w:rsidP="0061440B">
            <w:pPr>
              <w:ind w:right="92"/>
              <w:rPr>
                <w:b/>
                <w:bCs/>
                <w:lang w:val="es-ES"/>
              </w:rPr>
            </w:pPr>
          </w:p>
        </w:tc>
        <w:tc>
          <w:tcPr>
            <w:tcW w:w="7568" w:type="dxa"/>
            <w:shd w:val="clear" w:color="auto" w:fill="auto"/>
            <w:vAlign w:val="center"/>
          </w:tcPr>
          <w:p w14:paraId="0C7850E6" w14:textId="73595FA5" w:rsidR="0061440B" w:rsidRPr="002901AF" w:rsidRDefault="0061440B" w:rsidP="00A523F3">
            <w:pPr>
              <w:pStyle w:val="Tabletext0"/>
              <w:ind w:left="567" w:hanging="567"/>
              <w:rPr>
                <w:lang w:val="es-ES"/>
              </w:rPr>
            </w:pPr>
            <w:r w:rsidRPr="002901AF">
              <w:rPr>
                <w:lang w:val="es-ES"/>
              </w:rPr>
              <w:fldChar w:fldCharType="begin">
                <w:ffData>
                  <w:name w:val="Check1"/>
                  <w:enabled/>
                  <w:calcOnExit w:val="0"/>
                  <w:checkBox>
                    <w:sizeAuto/>
                    <w:default w:val="0"/>
                  </w:checkBox>
                </w:ffData>
              </w:fldChar>
            </w:r>
            <w:r w:rsidRPr="002901AF">
              <w:rPr>
                <w:lang w:val="es-ES"/>
              </w:rPr>
              <w:instrText xml:space="preserve"> FORMCHECKBOX </w:instrText>
            </w:r>
            <w:r w:rsidR="00FC44BB">
              <w:rPr>
                <w:lang w:val="es-ES"/>
              </w:rPr>
            </w:r>
            <w:r w:rsidR="00FC44BB">
              <w:rPr>
                <w:lang w:val="es-ES"/>
              </w:rPr>
              <w:fldChar w:fldCharType="separate"/>
            </w:r>
            <w:r w:rsidRPr="002901AF">
              <w:rPr>
                <w:lang w:val="es-ES"/>
              </w:rPr>
              <w:fldChar w:fldCharType="end"/>
            </w:r>
            <w:r w:rsidRPr="002901AF">
              <w:rPr>
                <w:lang w:val="es-ES"/>
              </w:rPr>
              <w:tab/>
            </w:r>
            <w:r w:rsidR="00A523F3" w:rsidRPr="002901AF">
              <w:rPr>
                <w:lang w:val="es-ES"/>
              </w:rPr>
              <w:tab/>
            </w:r>
            <w:r w:rsidRPr="002901AF">
              <w:rPr>
                <w:b/>
                <w:bCs/>
                <w:lang w:val="es-ES"/>
              </w:rPr>
              <w:t xml:space="preserve">No otorga autoridad </w:t>
            </w:r>
            <w:r w:rsidRPr="002901AF">
              <w:rPr>
                <w:lang w:val="es-ES"/>
              </w:rPr>
              <w:t>a la Comisión de Estudio 17 a fin de examinar este texto para aprobación (se adjuntan los motivos en que se fundamenta esta opinión y las modificaciones que podrían permitir el proseguimiento de los trabajos)</w:t>
            </w:r>
          </w:p>
        </w:tc>
      </w:tr>
      <w:tr w:rsidR="0061440B" w:rsidRPr="002901AF" w14:paraId="1162CC5C" w14:textId="77777777" w:rsidTr="00C13F27">
        <w:trPr>
          <w:cantSplit/>
          <w:trHeight w:val="748"/>
        </w:trPr>
        <w:tc>
          <w:tcPr>
            <w:tcW w:w="2061" w:type="dxa"/>
            <w:vMerge w:val="restart"/>
            <w:shd w:val="clear" w:color="auto" w:fill="auto"/>
            <w:vAlign w:val="center"/>
          </w:tcPr>
          <w:p w14:paraId="4A27A76C" w14:textId="36F2BCCE" w:rsidR="0061440B" w:rsidRPr="002901AF" w:rsidRDefault="0061440B">
            <w:pPr>
              <w:pStyle w:val="Tablehead0"/>
              <w:rPr>
                <w:bCs/>
                <w:lang w:val="es-ES"/>
              </w:rPr>
            </w:pPr>
            <w:r w:rsidRPr="002901AF">
              <w:rPr>
                <w:bCs/>
                <w:lang w:val="es-ES"/>
              </w:rPr>
              <w:t>Proyecto de nueva Recomendación UIT-T X.</w:t>
            </w:r>
            <w:r w:rsidR="00AF4268" w:rsidRPr="002901AF">
              <w:rPr>
                <w:bCs/>
                <w:lang w:val="es-ES"/>
              </w:rPr>
              <w:t xml:space="preserve">1353 </w:t>
            </w:r>
            <w:r w:rsidRPr="002901AF">
              <w:rPr>
                <w:bCs/>
                <w:lang w:val="es-ES"/>
              </w:rPr>
              <w:br/>
            </w:r>
            <w:bookmarkStart w:id="37" w:name="lt_pId128"/>
            <w:r w:rsidRPr="002901AF">
              <w:rPr>
                <w:bCs/>
                <w:lang w:val="es-ES"/>
              </w:rPr>
              <w:t>(</w:t>
            </w:r>
            <w:proofErr w:type="spellStart"/>
            <w:r w:rsidR="00BD760C" w:rsidRPr="002901AF">
              <w:rPr>
                <w:bCs/>
                <w:lang w:val="es-ES"/>
              </w:rPr>
              <w:t>X.</w:t>
            </w:r>
            <w:r w:rsidR="00AF4268" w:rsidRPr="002901AF">
              <w:rPr>
                <w:bCs/>
                <w:szCs w:val="24"/>
                <w:lang w:val="es-ES"/>
              </w:rPr>
              <w:t>ztd-iot</w:t>
            </w:r>
            <w:bookmarkEnd w:id="37"/>
            <w:proofErr w:type="spellEnd"/>
            <w:r w:rsidRPr="002901AF">
              <w:rPr>
                <w:bCs/>
                <w:lang w:val="es-ES"/>
              </w:rPr>
              <w:t>)</w:t>
            </w:r>
          </w:p>
        </w:tc>
        <w:tc>
          <w:tcPr>
            <w:tcW w:w="7568" w:type="dxa"/>
            <w:shd w:val="clear" w:color="auto" w:fill="auto"/>
            <w:vAlign w:val="center"/>
          </w:tcPr>
          <w:p w14:paraId="6E4EAFE0" w14:textId="46B72AF0" w:rsidR="0061440B" w:rsidRPr="002901AF" w:rsidRDefault="0061440B" w:rsidP="00A523F3">
            <w:pPr>
              <w:pStyle w:val="Tabletext0"/>
              <w:ind w:left="567" w:hanging="567"/>
              <w:rPr>
                <w:lang w:val="es-ES"/>
              </w:rPr>
            </w:pPr>
            <w:r w:rsidRPr="002901AF">
              <w:rPr>
                <w:lang w:val="es-ES"/>
              </w:rPr>
              <w:fldChar w:fldCharType="begin">
                <w:ffData>
                  <w:name w:val="Check1"/>
                  <w:enabled/>
                  <w:calcOnExit w:val="0"/>
                  <w:checkBox>
                    <w:sizeAuto/>
                    <w:default w:val="0"/>
                  </w:checkBox>
                </w:ffData>
              </w:fldChar>
            </w:r>
            <w:r w:rsidRPr="002901AF">
              <w:rPr>
                <w:lang w:val="es-ES"/>
              </w:rPr>
              <w:instrText xml:space="preserve"> FORMCHECKBOX </w:instrText>
            </w:r>
            <w:r w:rsidR="00FC44BB">
              <w:rPr>
                <w:lang w:val="es-ES"/>
              </w:rPr>
            </w:r>
            <w:r w:rsidR="00FC44BB">
              <w:rPr>
                <w:lang w:val="es-ES"/>
              </w:rPr>
              <w:fldChar w:fldCharType="separate"/>
            </w:r>
            <w:r w:rsidRPr="002901AF">
              <w:rPr>
                <w:lang w:val="es-ES"/>
              </w:rPr>
              <w:fldChar w:fldCharType="end"/>
            </w:r>
            <w:r w:rsidRPr="002901AF">
              <w:rPr>
                <w:lang w:val="es-ES"/>
              </w:rPr>
              <w:tab/>
            </w:r>
            <w:r w:rsidR="00A523F3" w:rsidRPr="002901AF">
              <w:rPr>
                <w:lang w:val="es-ES"/>
              </w:rPr>
              <w:tab/>
            </w:r>
            <w:r w:rsidRPr="002901AF">
              <w:rPr>
                <w:b/>
                <w:bCs/>
                <w:lang w:val="es-ES"/>
              </w:rPr>
              <w:t xml:space="preserve">Otorga autoridad </w:t>
            </w:r>
            <w:r w:rsidRPr="002901AF">
              <w:rPr>
                <w:lang w:val="es-ES"/>
              </w:rPr>
              <w:t>a la Comisión de Estudio 17 a fin de examinar este texto para aprobación (en cuyo caso seleccionará una de las dos opciones ⃝):</w:t>
            </w:r>
          </w:p>
          <w:p w14:paraId="5BBE15D1" w14:textId="0987D65A" w:rsidR="0061440B" w:rsidRPr="002901AF" w:rsidRDefault="00A523F3" w:rsidP="0052698F">
            <w:pPr>
              <w:pStyle w:val="Tabletext0"/>
              <w:tabs>
                <w:tab w:val="clear" w:pos="284"/>
              </w:tabs>
              <w:rPr>
                <w:lang w:val="es-ES"/>
              </w:rPr>
            </w:pPr>
            <w:r w:rsidRPr="002901AF">
              <w:rPr>
                <w:lang w:val="es-ES"/>
              </w:rPr>
              <w:tab/>
            </w:r>
            <w:r w:rsidR="0061440B" w:rsidRPr="002901AF">
              <w:rPr>
                <w:lang w:val="es-ES"/>
              </w:rPr>
              <w:t>⃝</w:t>
            </w:r>
            <w:r w:rsidRPr="002901AF">
              <w:rPr>
                <w:lang w:val="es-ES"/>
              </w:rPr>
              <w:tab/>
            </w:r>
            <w:r w:rsidR="0061440B" w:rsidRPr="002901AF">
              <w:rPr>
                <w:lang w:val="es-ES"/>
              </w:rPr>
              <w:t>Sin comentarios o cambios sugeridos</w:t>
            </w:r>
          </w:p>
          <w:p w14:paraId="2657CD11" w14:textId="3B370241" w:rsidR="0061440B" w:rsidRPr="002901AF" w:rsidRDefault="00A523F3" w:rsidP="0052698F">
            <w:pPr>
              <w:pStyle w:val="Tabletext0"/>
              <w:tabs>
                <w:tab w:val="clear" w:pos="284"/>
              </w:tabs>
              <w:rPr>
                <w:lang w:val="es-ES"/>
              </w:rPr>
            </w:pPr>
            <w:r w:rsidRPr="002901AF">
              <w:rPr>
                <w:lang w:val="es-ES"/>
              </w:rPr>
              <w:tab/>
            </w:r>
            <w:r w:rsidR="0061440B" w:rsidRPr="002901AF">
              <w:rPr>
                <w:lang w:val="es-ES"/>
              </w:rPr>
              <w:t>⃝</w:t>
            </w:r>
            <w:r w:rsidR="0061440B" w:rsidRPr="002901AF">
              <w:rPr>
                <w:lang w:val="es-ES"/>
              </w:rPr>
              <w:tab/>
              <w:t>Se adjuntan los comentarios o cambios sugeridos</w:t>
            </w:r>
          </w:p>
        </w:tc>
      </w:tr>
      <w:tr w:rsidR="0061440B" w:rsidRPr="002901AF" w14:paraId="3668B431" w14:textId="77777777" w:rsidTr="00C13F27">
        <w:trPr>
          <w:cantSplit/>
          <w:trHeight w:val="747"/>
        </w:trPr>
        <w:tc>
          <w:tcPr>
            <w:tcW w:w="2061" w:type="dxa"/>
            <w:vMerge/>
            <w:shd w:val="clear" w:color="auto" w:fill="auto"/>
            <w:vAlign w:val="center"/>
          </w:tcPr>
          <w:p w14:paraId="1646AE54" w14:textId="77777777" w:rsidR="0061440B" w:rsidRPr="002901AF" w:rsidRDefault="0061440B" w:rsidP="0061440B">
            <w:pPr>
              <w:ind w:right="92"/>
              <w:rPr>
                <w:b/>
                <w:bCs/>
                <w:lang w:val="es-ES"/>
              </w:rPr>
            </w:pPr>
          </w:p>
        </w:tc>
        <w:tc>
          <w:tcPr>
            <w:tcW w:w="7568" w:type="dxa"/>
            <w:shd w:val="clear" w:color="auto" w:fill="auto"/>
            <w:vAlign w:val="center"/>
          </w:tcPr>
          <w:p w14:paraId="309A9C3E" w14:textId="1A0BA9E1" w:rsidR="0061440B" w:rsidRPr="002901AF" w:rsidRDefault="0061440B" w:rsidP="00A523F3">
            <w:pPr>
              <w:pStyle w:val="Tabletext0"/>
              <w:ind w:left="567" w:hanging="567"/>
              <w:rPr>
                <w:lang w:val="es-ES"/>
              </w:rPr>
            </w:pPr>
            <w:r w:rsidRPr="002901AF">
              <w:rPr>
                <w:lang w:val="es-ES"/>
              </w:rPr>
              <w:fldChar w:fldCharType="begin">
                <w:ffData>
                  <w:name w:val="Check1"/>
                  <w:enabled/>
                  <w:calcOnExit w:val="0"/>
                  <w:checkBox>
                    <w:sizeAuto/>
                    <w:default w:val="0"/>
                  </w:checkBox>
                </w:ffData>
              </w:fldChar>
            </w:r>
            <w:r w:rsidRPr="002901AF">
              <w:rPr>
                <w:lang w:val="es-ES"/>
              </w:rPr>
              <w:instrText xml:space="preserve"> FORMCHECKBOX </w:instrText>
            </w:r>
            <w:r w:rsidR="00FC44BB">
              <w:rPr>
                <w:lang w:val="es-ES"/>
              </w:rPr>
            </w:r>
            <w:r w:rsidR="00FC44BB">
              <w:rPr>
                <w:lang w:val="es-ES"/>
              </w:rPr>
              <w:fldChar w:fldCharType="separate"/>
            </w:r>
            <w:r w:rsidRPr="002901AF">
              <w:rPr>
                <w:lang w:val="es-ES"/>
              </w:rPr>
              <w:fldChar w:fldCharType="end"/>
            </w:r>
            <w:r w:rsidRPr="002901AF">
              <w:rPr>
                <w:lang w:val="es-ES"/>
              </w:rPr>
              <w:tab/>
            </w:r>
            <w:r w:rsidR="00A523F3" w:rsidRPr="002901AF">
              <w:rPr>
                <w:lang w:val="es-ES"/>
              </w:rPr>
              <w:tab/>
            </w:r>
            <w:r w:rsidRPr="002901AF">
              <w:rPr>
                <w:b/>
                <w:bCs/>
                <w:lang w:val="es-ES"/>
              </w:rPr>
              <w:t xml:space="preserve">No otorga autoridad </w:t>
            </w:r>
            <w:r w:rsidRPr="002901AF">
              <w:rPr>
                <w:lang w:val="es-ES"/>
              </w:rPr>
              <w:t>a la Comisión de Estudio 17 a fin de examinar este texto para aprobación (se adjuntan los motivos en que se fundamenta esta opinión y las modificaciones que podrían permitir el proseguimiento de los trabajos)</w:t>
            </w:r>
          </w:p>
        </w:tc>
      </w:tr>
      <w:tr w:rsidR="00BE1380" w:rsidRPr="002901AF" w14:paraId="7539F49A" w14:textId="77777777" w:rsidTr="00241BEA">
        <w:trPr>
          <w:cantSplit/>
          <w:trHeight w:val="748"/>
        </w:trPr>
        <w:tc>
          <w:tcPr>
            <w:tcW w:w="2061" w:type="dxa"/>
            <w:vMerge w:val="restart"/>
            <w:shd w:val="clear" w:color="auto" w:fill="auto"/>
            <w:vAlign w:val="center"/>
          </w:tcPr>
          <w:p w14:paraId="46CDF83A" w14:textId="61CE26B9" w:rsidR="00BE1380" w:rsidRPr="002901AF" w:rsidRDefault="00BE1380">
            <w:pPr>
              <w:pStyle w:val="Tablehead0"/>
              <w:rPr>
                <w:lang w:val="es-ES"/>
              </w:rPr>
            </w:pPr>
            <w:r w:rsidRPr="002901AF">
              <w:rPr>
                <w:lang w:val="es-ES"/>
              </w:rPr>
              <w:t xml:space="preserve">Proyecto de nueva Recomendación UIT-T </w:t>
            </w:r>
            <w:r w:rsidRPr="002901AF">
              <w:rPr>
                <w:bCs/>
                <w:szCs w:val="24"/>
                <w:lang w:val="es-ES"/>
              </w:rPr>
              <w:t>X.1471 (</w:t>
            </w:r>
            <w:proofErr w:type="gramStart"/>
            <w:r w:rsidRPr="002901AF">
              <w:rPr>
                <w:bCs/>
                <w:szCs w:val="24"/>
                <w:lang w:val="es-ES"/>
              </w:rPr>
              <w:t>X.websec</w:t>
            </w:r>
            <w:proofErr w:type="gramEnd"/>
            <w:r w:rsidRPr="002901AF">
              <w:rPr>
                <w:bCs/>
                <w:szCs w:val="24"/>
                <w:lang w:val="es-ES"/>
              </w:rPr>
              <w:t>-7)</w:t>
            </w:r>
          </w:p>
        </w:tc>
        <w:tc>
          <w:tcPr>
            <w:tcW w:w="7568" w:type="dxa"/>
            <w:shd w:val="clear" w:color="auto" w:fill="auto"/>
            <w:vAlign w:val="center"/>
          </w:tcPr>
          <w:p w14:paraId="66B8A9BA" w14:textId="77777777" w:rsidR="00BE1380" w:rsidRPr="002901AF" w:rsidRDefault="00BE1380" w:rsidP="00241BEA">
            <w:pPr>
              <w:pStyle w:val="Tabletext0"/>
              <w:ind w:left="567" w:hanging="567"/>
              <w:rPr>
                <w:lang w:val="es-ES"/>
              </w:rPr>
            </w:pPr>
            <w:r w:rsidRPr="002901AF">
              <w:rPr>
                <w:lang w:val="es-ES"/>
              </w:rPr>
              <w:fldChar w:fldCharType="begin">
                <w:ffData>
                  <w:name w:val="Check1"/>
                  <w:enabled/>
                  <w:calcOnExit w:val="0"/>
                  <w:checkBox>
                    <w:sizeAuto/>
                    <w:default w:val="0"/>
                  </w:checkBox>
                </w:ffData>
              </w:fldChar>
            </w:r>
            <w:r w:rsidRPr="002901AF">
              <w:rPr>
                <w:lang w:val="es-ES"/>
              </w:rPr>
              <w:instrText xml:space="preserve"> FORMCHECKBOX </w:instrText>
            </w:r>
            <w:r w:rsidR="00FC44BB">
              <w:rPr>
                <w:lang w:val="es-ES"/>
              </w:rPr>
            </w:r>
            <w:r w:rsidR="00FC44BB">
              <w:rPr>
                <w:lang w:val="es-ES"/>
              </w:rPr>
              <w:fldChar w:fldCharType="separate"/>
            </w:r>
            <w:r w:rsidRPr="002901AF">
              <w:rPr>
                <w:lang w:val="es-ES"/>
              </w:rPr>
              <w:fldChar w:fldCharType="end"/>
            </w:r>
            <w:r w:rsidRPr="002901AF">
              <w:rPr>
                <w:lang w:val="es-ES"/>
              </w:rPr>
              <w:tab/>
            </w:r>
            <w:r w:rsidRPr="002901AF">
              <w:rPr>
                <w:lang w:val="es-ES"/>
              </w:rPr>
              <w:tab/>
            </w:r>
            <w:r w:rsidRPr="002901AF">
              <w:rPr>
                <w:b/>
                <w:bCs/>
                <w:lang w:val="es-ES"/>
              </w:rPr>
              <w:t xml:space="preserve">Otorga autoridad </w:t>
            </w:r>
            <w:r w:rsidRPr="002901AF">
              <w:rPr>
                <w:lang w:val="es-ES"/>
              </w:rPr>
              <w:t>a la Comisión de Estudio 17 a fin de examinar este texto para aprobación (en cuyo caso seleccionará una de las dos opciones ⃝):</w:t>
            </w:r>
          </w:p>
          <w:p w14:paraId="55542A8C" w14:textId="77777777" w:rsidR="00BE1380" w:rsidRPr="002901AF" w:rsidRDefault="00BE1380" w:rsidP="00241BEA">
            <w:pPr>
              <w:pStyle w:val="Tabletext0"/>
              <w:tabs>
                <w:tab w:val="clear" w:pos="284"/>
              </w:tabs>
              <w:ind w:left="567" w:hanging="567"/>
              <w:rPr>
                <w:lang w:val="es-ES"/>
              </w:rPr>
            </w:pPr>
            <w:r w:rsidRPr="002901AF">
              <w:rPr>
                <w:lang w:val="es-ES"/>
              </w:rPr>
              <w:tab/>
              <w:t>⃝</w:t>
            </w:r>
            <w:r w:rsidRPr="002901AF">
              <w:rPr>
                <w:lang w:val="es-ES"/>
              </w:rPr>
              <w:tab/>
              <w:t>Sin comentarios o cambios sugeridos</w:t>
            </w:r>
          </w:p>
          <w:p w14:paraId="18F11EDE" w14:textId="77777777" w:rsidR="00BE1380" w:rsidRPr="002901AF" w:rsidRDefault="00BE1380" w:rsidP="00241BEA">
            <w:pPr>
              <w:pStyle w:val="Tabletext0"/>
              <w:tabs>
                <w:tab w:val="clear" w:pos="284"/>
              </w:tabs>
              <w:rPr>
                <w:lang w:val="es-ES"/>
              </w:rPr>
            </w:pPr>
            <w:r w:rsidRPr="002901AF">
              <w:rPr>
                <w:lang w:val="es-ES"/>
              </w:rPr>
              <w:tab/>
              <w:t>⃝</w:t>
            </w:r>
            <w:r w:rsidRPr="002901AF">
              <w:rPr>
                <w:lang w:val="es-ES"/>
              </w:rPr>
              <w:tab/>
              <w:t>Se adjuntan los comentarios o cambios sugeridos</w:t>
            </w:r>
          </w:p>
        </w:tc>
      </w:tr>
      <w:tr w:rsidR="00BE1380" w:rsidRPr="002901AF" w14:paraId="47AB4ECC" w14:textId="77777777" w:rsidTr="00241BEA">
        <w:trPr>
          <w:cantSplit/>
          <w:trHeight w:val="747"/>
        </w:trPr>
        <w:tc>
          <w:tcPr>
            <w:tcW w:w="2061" w:type="dxa"/>
            <w:vMerge/>
            <w:shd w:val="clear" w:color="auto" w:fill="auto"/>
            <w:vAlign w:val="center"/>
          </w:tcPr>
          <w:p w14:paraId="4B699C80" w14:textId="77777777" w:rsidR="00BE1380" w:rsidRPr="002901AF" w:rsidRDefault="00BE1380" w:rsidP="00241BEA">
            <w:pPr>
              <w:ind w:right="92"/>
              <w:rPr>
                <w:b/>
                <w:bCs/>
                <w:lang w:val="es-ES"/>
              </w:rPr>
            </w:pPr>
          </w:p>
        </w:tc>
        <w:tc>
          <w:tcPr>
            <w:tcW w:w="7568" w:type="dxa"/>
            <w:shd w:val="clear" w:color="auto" w:fill="auto"/>
            <w:vAlign w:val="center"/>
          </w:tcPr>
          <w:p w14:paraId="2DA5AB59" w14:textId="77777777" w:rsidR="00BE1380" w:rsidRPr="002901AF" w:rsidRDefault="00BE1380" w:rsidP="00241BEA">
            <w:pPr>
              <w:pStyle w:val="Tabletext0"/>
              <w:ind w:left="567" w:hanging="567"/>
              <w:rPr>
                <w:lang w:val="es-ES"/>
              </w:rPr>
            </w:pPr>
            <w:r w:rsidRPr="002901AF">
              <w:rPr>
                <w:lang w:val="es-ES"/>
              </w:rPr>
              <w:fldChar w:fldCharType="begin">
                <w:ffData>
                  <w:name w:val="Check1"/>
                  <w:enabled/>
                  <w:calcOnExit w:val="0"/>
                  <w:checkBox>
                    <w:sizeAuto/>
                    <w:default w:val="0"/>
                  </w:checkBox>
                </w:ffData>
              </w:fldChar>
            </w:r>
            <w:r w:rsidRPr="002901AF">
              <w:rPr>
                <w:lang w:val="es-ES"/>
              </w:rPr>
              <w:instrText xml:space="preserve"> FORMCHECKBOX </w:instrText>
            </w:r>
            <w:r w:rsidR="00FC44BB">
              <w:rPr>
                <w:lang w:val="es-ES"/>
              </w:rPr>
            </w:r>
            <w:r w:rsidR="00FC44BB">
              <w:rPr>
                <w:lang w:val="es-ES"/>
              </w:rPr>
              <w:fldChar w:fldCharType="separate"/>
            </w:r>
            <w:r w:rsidRPr="002901AF">
              <w:rPr>
                <w:lang w:val="es-ES"/>
              </w:rPr>
              <w:fldChar w:fldCharType="end"/>
            </w:r>
            <w:r w:rsidRPr="002901AF">
              <w:rPr>
                <w:lang w:val="es-ES"/>
              </w:rPr>
              <w:tab/>
            </w:r>
            <w:r w:rsidRPr="002901AF">
              <w:rPr>
                <w:lang w:val="es-ES"/>
              </w:rPr>
              <w:tab/>
            </w:r>
            <w:r w:rsidRPr="002901AF">
              <w:rPr>
                <w:b/>
                <w:bCs/>
                <w:lang w:val="es-ES"/>
              </w:rPr>
              <w:t xml:space="preserve">No otorga autoridad </w:t>
            </w:r>
            <w:r w:rsidRPr="002901AF">
              <w:rPr>
                <w:lang w:val="es-ES"/>
              </w:rPr>
              <w:t>a la Comisión de Estudio 17 a fin de examinar este texto para aprobación (se adjuntan los motivos en que se fundamenta esta opinión y las modificaciones que podrían permitir el proseguimiento de los trabajos)</w:t>
            </w:r>
          </w:p>
        </w:tc>
      </w:tr>
      <w:tr w:rsidR="00BE1380" w:rsidRPr="002901AF" w14:paraId="2B02B45F" w14:textId="77777777" w:rsidTr="00241BEA">
        <w:trPr>
          <w:cantSplit/>
          <w:trHeight w:val="748"/>
        </w:trPr>
        <w:tc>
          <w:tcPr>
            <w:tcW w:w="2061" w:type="dxa"/>
            <w:vMerge w:val="restart"/>
            <w:shd w:val="clear" w:color="auto" w:fill="auto"/>
            <w:vAlign w:val="center"/>
          </w:tcPr>
          <w:p w14:paraId="62BD73E0" w14:textId="73D81617" w:rsidR="00BE1380" w:rsidRPr="002901AF" w:rsidRDefault="00BE1380" w:rsidP="00241BEA">
            <w:pPr>
              <w:pStyle w:val="Tablehead0"/>
              <w:rPr>
                <w:lang w:val="es-ES"/>
              </w:rPr>
            </w:pPr>
            <w:r w:rsidRPr="002901AF">
              <w:rPr>
                <w:lang w:val="es-ES"/>
              </w:rPr>
              <w:lastRenderedPageBreak/>
              <w:t xml:space="preserve">Proyecto de nueva Recomendación UIT-T </w:t>
            </w:r>
            <w:r w:rsidRPr="002901AF">
              <w:rPr>
                <w:bCs/>
                <w:szCs w:val="24"/>
                <w:lang w:val="es-ES"/>
              </w:rPr>
              <w:t xml:space="preserve">X.1645 </w:t>
            </w:r>
            <w:r w:rsidRPr="002901AF">
              <w:rPr>
                <w:bCs/>
                <w:szCs w:val="24"/>
                <w:lang w:val="es-ES"/>
              </w:rPr>
              <w:br/>
            </w:r>
            <w:bookmarkStart w:id="38" w:name="lt_pId174"/>
            <w:r w:rsidRPr="002901AF">
              <w:rPr>
                <w:bCs/>
                <w:szCs w:val="24"/>
                <w:lang w:val="es-ES"/>
              </w:rPr>
              <w:t>(</w:t>
            </w:r>
            <w:proofErr w:type="spellStart"/>
            <w:proofErr w:type="gramStart"/>
            <w:r w:rsidRPr="002901AF">
              <w:rPr>
                <w:bCs/>
                <w:szCs w:val="24"/>
                <w:lang w:val="es-ES"/>
              </w:rPr>
              <w:t>X.nssa</w:t>
            </w:r>
            <w:proofErr w:type="gramEnd"/>
            <w:r w:rsidRPr="002901AF">
              <w:rPr>
                <w:bCs/>
                <w:szCs w:val="24"/>
                <w:lang w:val="es-ES"/>
              </w:rPr>
              <w:t>-cc</w:t>
            </w:r>
            <w:proofErr w:type="spellEnd"/>
            <w:r w:rsidRPr="002901AF">
              <w:rPr>
                <w:bCs/>
                <w:szCs w:val="24"/>
                <w:lang w:val="es-ES"/>
              </w:rPr>
              <w:t>)</w:t>
            </w:r>
            <w:bookmarkEnd w:id="38"/>
          </w:p>
        </w:tc>
        <w:tc>
          <w:tcPr>
            <w:tcW w:w="7568" w:type="dxa"/>
            <w:shd w:val="clear" w:color="auto" w:fill="auto"/>
            <w:vAlign w:val="center"/>
          </w:tcPr>
          <w:p w14:paraId="19133A3C" w14:textId="77777777" w:rsidR="00BE1380" w:rsidRPr="002901AF" w:rsidRDefault="00BE1380" w:rsidP="00241BEA">
            <w:pPr>
              <w:pStyle w:val="Tabletext0"/>
              <w:ind w:left="567" w:hanging="567"/>
              <w:rPr>
                <w:lang w:val="es-ES"/>
              </w:rPr>
            </w:pPr>
            <w:r w:rsidRPr="002901AF">
              <w:rPr>
                <w:lang w:val="es-ES"/>
              </w:rPr>
              <w:fldChar w:fldCharType="begin">
                <w:ffData>
                  <w:name w:val="Check1"/>
                  <w:enabled/>
                  <w:calcOnExit w:val="0"/>
                  <w:checkBox>
                    <w:sizeAuto/>
                    <w:default w:val="0"/>
                  </w:checkBox>
                </w:ffData>
              </w:fldChar>
            </w:r>
            <w:r w:rsidRPr="002901AF">
              <w:rPr>
                <w:lang w:val="es-ES"/>
              </w:rPr>
              <w:instrText xml:space="preserve"> FORMCHECKBOX </w:instrText>
            </w:r>
            <w:r w:rsidR="00FC44BB">
              <w:rPr>
                <w:lang w:val="es-ES"/>
              </w:rPr>
            </w:r>
            <w:r w:rsidR="00FC44BB">
              <w:rPr>
                <w:lang w:val="es-ES"/>
              </w:rPr>
              <w:fldChar w:fldCharType="separate"/>
            </w:r>
            <w:r w:rsidRPr="002901AF">
              <w:rPr>
                <w:lang w:val="es-ES"/>
              </w:rPr>
              <w:fldChar w:fldCharType="end"/>
            </w:r>
            <w:r w:rsidRPr="002901AF">
              <w:rPr>
                <w:lang w:val="es-ES"/>
              </w:rPr>
              <w:tab/>
            </w:r>
            <w:r w:rsidRPr="002901AF">
              <w:rPr>
                <w:lang w:val="es-ES"/>
              </w:rPr>
              <w:tab/>
            </w:r>
            <w:r w:rsidRPr="002901AF">
              <w:rPr>
                <w:b/>
                <w:bCs/>
                <w:lang w:val="es-ES"/>
              </w:rPr>
              <w:t xml:space="preserve">Otorga autoridad </w:t>
            </w:r>
            <w:r w:rsidRPr="002901AF">
              <w:rPr>
                <w:lang w:val="es-ES"/>
              </w:rPr>
              <w:t>a la Comisión de Estudio 17 a fin de examinar este texto para aprobación (en cuyo caso seleccionará una de las dos opciones ⃝):</w:t>
            </w:r>
          </w:p>
          <w:p w14:paraId="11ADCBD1" w14:textId="77777777" w:rsidR="00BE1380" w:rsidRPr="002901AF" w:rsidRDefault="00BE1380" w:rsidP="00241BEA">
            <w:pPr>
              <w:pStyle w:val="Tabletext0"/>
              <w:tabs>
                <w:tab w:val="clear" w:pos="284"/>
              </w:tabs>
              <w:ind w:left="567" w:hanging="567"/>
              <w:rPr>
                <w:lang w:val="es-ES"/>
              </w:rPr>
            </w:pPr>
            <w:r w:rsidRPr="002901AF">
              <w:rPr>
                <w:lang w:val="es-ES"/>
              </w:rPr>
              <w:tab/>
              <w:t>⃝</w:t>
            </w:r>
            <w:r w:rsidRPr="002901AF">
              <w:rPr>
                <w:lang w:val="es-ES"/>
              </w:rPr>
              <w:tab/>
              <w:t>Sin comentarios o cambios sugeridos</w:t>
            </w:r>
          </w:p>
          <w:p w14:paraId="5370D75C" w14:textId="77777777" w:rsidR="00BE1380" w:rsidRPr="002901AF" w:rsidRDefault="00BE1380" w:rsidP="00241BEA">
            <w:pPr>
              <w:pStyle w:val="Tabletext0"/>
              <w:tabs>
                <w:tab w:val="clear" w:pos="284"/>
              </w:tabs>
              <w:rPr>
                <w:lang w:val="es-ES"/>
              </w:rPr>
            </w:pPr>
            <w:r w:rsidRPr="002901AF">
              <w:rPr>
                <w:lang w:val="es-ES"/>
              </w:rPr>
              <w:tab/>
              <w:t>⃝</w:t>
            </w:r>
            <w:r w:rsidRPr="002901AF">
              <w:rPr>
                <w:lang w:val="es-ES"/>
              </w:rPr>
              <w:tab/>
              <w:t>Se adjuntan los comentarios o cambios sugeridos</w:t>
            </w:r>
          </w:p>
        </w:tc>
      </w:tr>
      <w:tr w:rsidR="00BE1380" w:rsidRPr="002901AF" w14:paraId="13BEF026" w14:textId="77777777" w:rsidTr="00241BEA">
        <w:trPr>
          <w:cantSplit/>
          <w:trHeight w:val="747"/>
        </w:trPr>
        <w:tc>
          <w:tcPr>
            <w:tcW w:w="2061" w:type="dxa"/>
            <w:vMerge/>
            <w:shd w:val="clear" w:color="auto" w:fill="auto"/>
            <w:vAlign w:val="center"/>
          </w:tcPr>
          <w:p w14:paraId="21CE7316" w14:textId="77777777" w:rsidR="00BE1380" w:rsidRPr="002901AF" w:rsidRDefault="00BE1380" w:rsidP="00241BEA">
            <w:pPr>
              <w:ind w:right="92"/>
              <w:rPr>
                <w:b/>
                <w:bCs/>
                <w:lang w:val="es-ES"/>
              </w:rPr>
            </w:pPr>
          </w:p>
        </w:tc>
        <w:tc>
          <w:tcPr>
            <w:tcW w:w="7568" w:type="dxa"/>
            <w:shd w:val="clear" w:color="auto" w:fill="auto"/>
            <w:vAlign w:val="center"/>
          </w:tcPr>
          <w:p w14:paraId="0821CCEA" w14:textId="77777777" w:rsidR="00BE1380" w:rsidRPr="002901AF" w:rsidRDefault="00BE1380" w:rsidP="00241BEA">
            <w:pPr>
              <w:pStyle w:val="Tabletext0"/>
              <w:ind w:left="567" w:hanging="567"/>
              <w:rPr>
                <w:lang w:val="es-ES"/>
              </w:rPr>
            </w:pPr>
            <w:r w:rsidRPr="002901AF">
              <w:rPr>
                <w:lang w:val="es-ES"/>
              </w:rPr>
              <w:fldChar w:fldCharType="begin">
                <w:ffData>
                  <w:name w:val="Check1"/>
                  <w:enabled/>
                  <w:calcOnExit w:val="0"/>
                  <w:checkBox>
                    <w:sizeAuto/>
                    <w:default w:val="0"/>
                  </w:checkBox>
                </w:ffData>
              </w:fldChar>
            </w:r>
            <w:r w:rsidRPr="002901AF">
              <w:rPr>
                <w:lang w:val="es-ES"/>
              </w:rPr>
              <w:instrText xml:space="preserve"> FORMCHECKBOX </w:instrText>
            </w:r>
            <w:r w:rsidR="00FC44BB">
              <w:rPr>
                <w:lang w:val="es-ES"/>
              </w:rPr>
            </w:r>
            <w:r w:rsidR="00FC44BB">
              <w:rPr>
                <w:lang w:val="es-ES"/>
              </w:rPr>
              <w:fldChar w:fldCharType="separate"/>
            </w:r>
            <w:r w:rsidRPr="002901AF">
              <w:rPr>
                <w:lang w:val="es-ES"/>
              </w:rPr>
              <w:fldChar w:fldCharType="end"/>
            </w:r>
            <w:r w:rsidRPr="002901AF">
              <w:rPr>
                <w:lang w:val="es-ES"/>
              </w:rPr>
              <w:tab/>
            </w:r>
            <w:r w:rsidRPr="002901AF">
              <w:rPr>
                <w:lang w:val="es-ES"/>
              </w:rPr>
              <w:tab/>
            </w:r>
            <w:r w:rsidRPr="002901AF">
              <w:rPr>
                <w:b/>
                <w:bCs/>
                <w:lang w:val="es-ES"/>
              </w:rPr>
              <w:t xml:space="preserve">No otorga autoridad </w:t>
            </w:r>
            <w:r w:rsidRPr="002901AF">
              <w:rPr>
                <w:lang w:val="es-ES"/>
              </w:rPr>
              <w:t>a la Comisión de Estudio 17 a fin de examinar este texto para aprobación (se adjuntan los motivos en que se fundamenta esta opinión y las modificaciones que podrían permitir el proseguimiento de los trabajos)</w:t>
            </w:r>
          </w:p>
        </w:tc>
      </w:tr>
      <w:tr w:rsidR="00BE1380" w:rsidRPr="002901AF" w14:paraId="606FAC1E" w14:textId="77777777" w:rsidTr="00241BEA">
        <w:trPr>
          <w:cantSplit/>
          <w:trHeight w:val="748"/>
        </w:trPr>
        <w:tc>
          <w:tcPr>
            <w:tcW w:w="2061" w:type="dxa"/>
            <w:vMerge w:val="restart"/>
            <w:shd w:val="clear" w:color="auto" w:fill="auto"/>
            <w:vAlign w:val="center"/>
          </w:tcPr>
          <w:p w14:paraId="123077D3" w14:textId="693406B9" w:rsidR="00BE1380" w:rsidRPr="002901AF" w:rsidRDefault="00BE1380" w:rsidP="00241BEA">
            <w:pPr>
              <w:pStyle w:val="Tablehead0"/>
              <w:rPr>
                <w:lang w:val="es-ES"/>
              </w:rPr>
            </w:pPr>
            <w:r w:rsidRPr="002901AF">
              <w:rPr>
                <w:lang w:val="es-ES"/>
              </w:rPr>
              <w:t xml:space="preserve">Proyecto de nueva Recomendación UIT-T </w:t>
            </w:r>
            <w:r w:rsidRPr="002901AF">
              <w:rPr>
                <w:bCs/>
                <w:szCs w:val="24"/>
                <w:lang w:val="es-ES"/>
              </w:rPr>
              <w:t xml:space="preserve">X.1771 </w:t>
            </w:r>
            <w:r w:rsidRPr="002901AF">
              <w:rPr>
                <w:bCs/>
                <w:szCs w:val="24"/>
                <w:lang w:val="es-ES"/>
              </w:rPr>
              <w:br/>
            </w:r>
            <w:bookmarkStart w:id="39" w:name="lt_pId182"/>
            <w:r w:rsidRPr="002901AF">
              <w:rPr>
                <w:bCs/>
                <w:szCs w:val="24"/>
                <w:lang w:val="es-ES"/>
              </w:rPr>
              <w:t>(</w:t>
            </w:r>
            <w:proofErr w:type="spellStart"/>
            <w:proofErr w:type="gramStart"/>
            <w:r w:rsidRPr="002901AF">
              <w:rPr>
                <w:bCs/>
                <w:szCs w:val="24"/>
                <w:lang w:val="es-ES"/>
              </w:rPr>
              <w:t>X.rdda</w:t>
            </w:r>
            <w:proofErr w:type="spellEnd"/>
            <w:proofErr w:type="gramEnd"/>
            <w:r w:rsidRPr="002901AF">
              <w:rPr>
                <w:bCs/>
                <w:szCs w:val="24"/>
                <w:lang w:val="es-ES"/>
              </w:rPr>
              <w:t>)</w:t>
            </w:r>
            <w:bookmarkEnd w:id="39"/>
          </w:p>
        </w:tc>
        <w:tc>
          <w:tcPr>
            <w:tcW w:w="7568" w:type="dxa"/>
            <w:shd w:val="clear" w:color="auto" w:fill="auto"/>
            <w:vAlign w:val="center"/>
          </w:tcPr>
          <w:p w14:paraId="687189C1" w14:textId="77777777" w:rsidR="00BE1380" w:rsidRPr="002901AF" w:rsidRDefault="00BE1380" w:rsidP="00241BEA">
            <w:pPr>
              <w:pStyle w:val="Tabletext0"/>
              <w:ind w:left="567" w:hanging="567"/>
              <w:rPr>
                <w:lang w:val="es-ES"/>
              </w:rPr>
            </w:pPr>
            <w:r w:rsidRPr="002901AF">
              <w:rPr>
                <w:lang w:val="es-ES"/>
              </w:rPr>
              <w:fldChar w:fldCharType="begin">
                <w:ffData>
                  <w:name w:val="Check1"/>
                  <w:enabled/>
                  <w:calcOnExit w:val="0"/>
                  <w:checkBox>
                    <w:sizeAuto/>
                    <w:default w:val="0"/>
                  </w:checkBox>
                </w:ffData>
              </w:fldChar>
            </w:r>
            <w:r w:rsidRPr="002901AF">
              <w:rPr>
                <w:lang w:val="es-ES"/>
              </w:rPr>
              <w:instrText xml:space="preserve"> FORMCHECKBOX </w:instrText>
            </w:r>
            <w:r w:rsidR="00FC44BB">
              <w:rPr>
                <w:lang w:val="es-ES"/>
              </w:rPr>
            </w:r>
            <w:r w:rsidR="00FC44BB">
              <w:rPr>
                <w:lang w:val="es-ES"/>
              </w:rPr>
              <w:fldChar w:fldCharType="separate"/>
            </w:r>
            <w:r w:rsidRPr="002901AF">
              <w:rPr>
                <w:lang w:val="es-ES"/>
              </w:rPr>
              <w:fldChar w:fldCharType="end"/>
            </w:r>
            <w:r w:rsidRPr="002901AF">
              <w:rPr>
                <w:lang w:val="es-ES"/>
              </w:rPr>
              <w:tab/>
            </w:r>
            <w:r w:rsidRPr="002901AF">
              <w:rPr>
                <w:lang w:val="es-ES"/>
              </w:rPr>
              <w:tab/>
            </w:r>
            <w:r w:rsidRPr="002901AF">
              <w:rPr>
                <w:b/>
                <w:bCs/>
                <w:lang w:val="es-ES"/>
              </w:rPr>
              <w:t xml:space="preserve">Otorga autoridad </w:t>
            </w:r>
            <w:r w:rsidRPr="002901AF">
              <w:rPr>
                <w:lang w:val="es-ES"/>
              </w:rPr>
              <w:t>a la Comisión de Estudio 17 a fin de examinar este texto para aprobación (en cuyo caso seleccionará una de las dos opciones ⃝):</w:t>
            </w:r>
          </w:p>
          <w:p w14:paraId="66BEA27A" w14:textId="77777777" w:rsidR="00BE1380" w:rsidRPr="002901AF" w:rsidRDefault="00BE1380" w:rsidP="00241BEA">
            <w:pPr>
              <w:pStyle w:val="Tabletext0"/>
              <w:tabs>
                <w:tab w:val="clear" w:pos="284"/>
              </w:tabs>
              <w:ind w:left="567" w:hanging="567"/>
              <w:rPr>
                <w:lang w:val="es-ES"/>
              </w:rPr>
            </w:pPr>
            <w:r w:rsidRPr="002901AF">
              <w:rPr>
                <w:lang w:val="es-ES"/>
              </w:rPr>
              <w:tab/>
              <w:t>⃝</w:t>
            </w:r>
            <w:r w:rsidRPr="002901AF">
              <w:rPr>
                <w:lang w:val="es-ES"/>
              </w:rPr>
              <w:tab/>
              <w:t>Sin comentarios o cambios sugeridos</w:t>
            </w:r>
          </w:p>
          <w:p w14:paraId="3A6C1BB4" w14:textId="77777777" w:rsidR="00BE1380" w:rsidRPr="002901AF" w:rsidRDefault="00BE1380" w:rsidP="00241BEA">
            <w:pPr>
              <w:pStyle w:val="Tabletext0"/>
              <w:tabs>
                <w:tab w:val="clear" w:pos="284"/>
              </w:tabs>
              <w:rPr>
                <w:lang w:val="es-ES"/>
              </w:rPr>
            </w:pPr>
            <w:r w:rsidRPr="002901AF">
              <w:rPr>
                <w:lang w:val="es-ES"/>
              </w:rPr>
              <w:tab/>
              <w:t>⃝</w:t>
            </w:r>
            <w:r w:rsidRPr="002901AF">
              <w:rPr>
                <w:lang w:val="es-ES"/>
              </w:rPr>
              <w:tab/>
              <w:t>Se adjuntan los comentarios o cambios sugeridos</w:t>
            </w:r>
          </w:p>
        </w:tc>
      </w:tr>
      <w:tr w:rsidR="00BE1380" w:rsidRPr="002901AF" w14:paraId="1D13D985" w14:textId="77777777" w:rsidTr="00241BEA">
        <w:trPr>
          <w:cantSplit/>
          <w:trHeight w:val="747"/>
        </w:trPr>
        <w:tc>
          <w:tcPr>
            <w:tcW w:w="2061" w:type="dxa"/>
            <w:vMerge/>
            <w:shd w:val="clear" w:color="auto" w:fill="auto"/>
            <w:vAlign w:val="center"/>
          </w:tcPr>
          <w:p w14:paraId="372AF209" w14:textId="77777777" w:rsidR="00BE1380" w:rsidRPr="002901AF" w:rsidRDefault="00BE1380" w:rsidP="00241BEA">
            <w:pPr>
              <w:ind w:right="92"/>
              <w:rPr>
                <w:b/>
                <w:bCs/>
                <w:lang w:val="es-ES"/>
              </w:rPr>
            </w:pPr>
          </w:p>
        </w:tc>
        <w:tc>
          <w:tcPr>
            <w:tcW w:w="7568" w:type="dxa"/>
            <w:shd w:val="clear" w:color="auto" w:fill="auto"/>
            <w:vAlign w:val="center"/>
          </w:tcPr>
          <w:p w14:paraId="059415C5" w14:textId="77777777" w:rsidR="00BE1380" w:rsidRPr="002901AF" w:rsidRDefault="00BE1380" w:rsidP="00241BEA">
            <w:pPr>
              <w:pStyle w:val="Tabletext0"/>
              <w:ind w:left="567" w:hanging="567"/>
              <w:rPr>
                <w:lang w:val="es-ES"/>
              </w:rPr>
            </w:pPr>
            <w:r w:rsidRPr="002901AF">
              <w:rPr>
                <w:lang w:val="es-ES"/>
              </w:rPr>
              <w:fldChar w:fldCharType="begin">
                <w:ffData>
                  <w:name w:val="Check1"/>
                  <w:enabled/>
                  <w:calcOnExit w:val="0"/>
                  <w:checkBox>
                    <w:sizeAuto/>
                    <w:default w:val="0"/>
                  </w:checkBox>
                </w:ffData>
              </w:fldChar>
            </w:r>
            <w:r w:rsidRPr="002901AF">
              <w:rPr>
                <w:lang w:val="es-ES"/>
              </w:rPr>
              <w:instrText xml:space="preserve"> FORMCHECKBOX </w:instrText>
            </w:r>
            <w:r w:rsidR="00FC44BB">
              <w:rPr>
                <w:lang w:val="es-ES"/>
              </w:rPr>
            </w:r>
            <w:r w:rsidR="00FC44BB">
              <w:rPr>
                <w:lang w:val="es-ES"/>
              </w:rPr>
              <w:fldChar w:fldCharType="separate"/>
            </w:r>
            <w:r w:rsidRPr="002901AF">
              <w:rPr>
                <w:lang w:val="es-ES"/>
              </w:rPr>
              <w:fldChar w:fldCharType="end"/>
            </w:r>
            <w:r w:rsidRPr="002901AF">
              <w:rPr>
                <w:lang w:val="es-ES"/>
              </w:rPr>
              <w:tab/>
            </w:r>
            <w:r w:rsidRPr="002901AF">
              <w:rPr>
                <w:lang w:val="es-ES"/>
              </w:rPr>
              <w:tab/>
            </w:r>
            <w:r w:rsidRPr="002901AF">
              <w:rPr>
                <w:b/>
                <w:bCs/>
                <w:lang w:val="es-ES"/>
              </w:rPr>
              <w:t xml:space="preserve">No otorga autoridad </w:t>
            </w:r>
            <w:r w:rsidRPr="002901AF">
              <w:rPr>
                <w:lang w:val="es-ES"/>
              </w:rPr>
              <w:t>a la Comisión de Estudio 17 a fin de examinar este texto para aprobación (se adjuntan los motivos en que se fundamenta esta opinión y las modificaciones que podrían permitir el proseguimiento de los trabajos)</w:t>
            </w:r>
          </w:p>
        </w:tc>
      </w:tr>
      <w:tr w:rsidR="0061440B" w:rsidRPr="002901AF" w14:paraId="1B6CE248" w14:textId="77777777" w:rsidTr="00C13F27">
        <w:trPr>
          <w:cantSplit/>
          <w:trHeight w:val="747"/>
        </w:trPr>
        <w:tc>
          <w:tcPr>
            <w:tcW w:w="2061" w:type="dxa"/>
            <w:vMerge w:val="restart"/>
            <w:shd w:val="clear" w:color="auto" w:fill="auto"/>
            <w:vAlign w:val="center"/>
          </w:tcPr>
          <w:p w14:paraId="69D58215" w14:textId="3C77AEBC" w:rsidR="0061440B" w:rsidRPr="002901AF" w:rsidRDefault="0061440B">
            <w:pPr>
              <w:pStyle w:val="Tablehead0"/>
              <w:rPr>
                <w:bCs/>
                <w:lang w:val="es-ES"/>
              </w:rPr>
            </w:pPr>
            <w:r w:rsidRPr="002901AF">
              <w:rPr>
                <w:bCs/>
                <w:lang w:val="es-ES"/>
              </w:rPr>
              <w:t>Proyecto de nueva Recomendación UIT-T X.</w:t>
            </w:r>
            <w:r w:rsidR="00AF4268" w:rsidRPr="002901AF">
              <w:rPr>
                <w:bCs/>
                <w:lang w:val="es-ES"/>
              </w:rPr>
              <w:t xml:space="preserve">1817 </w:t>
            </w:r>
            <w:r w:rsidRPr="002901AF">
              <w:rPr>
                <w:bCs/>
                <w:lang w:val="es-ES"/>
              </w:rPr>
              <w:t>(X.5Gsec-</w:t>
            </w:r>
            <w:r w:rsidR="00AF4268" w:rsidRPr="002901AF">
              <w:rPr>
                <w:bCs/>
                <w:lang w:val="es-ES"/>
              </w:rPr>
              <w:t>message</w:t>
            </w:r>
            <w:r w:rsidRPr="002901AF">
              <w:rPr>
                <w:bCs/>
                <w:lang w:val="es-ES"/>
              </w:rPr>
              <w:t>)</w:t>
            </w:r>
          </w:p>
        </w:tc>
        <w:tc>
          <w:tcPr>
            <w:tcW w:w="7568" w:type="dxa"/>
            <w:shd w:val="clear" w:color="auto" w:fill="auto"/>
            <w:vAlign w:val="center"/>
          </w:tcPr>
          <w:p w14:paraId="3EEC4801" w14:textId="485E3CFF" w:rsidR="0061440B" w:rsidRPr="002901AF" w:rsidRDefault="0061440B" w:rsidP="000A4629">
            <w:pPr>
              <w:pStyle w:val="Tabletext0"/>
              <w:ind w:left="567" w:hanging="567"/>
              <w:rPr>
                <w:lang w:val="es-ES"/>
              </w:rPr>
            </w:pPr>
            <w:r w:rsidRPr="002901AF">
              <w:rPr>
                <w:lang w:val="es-ES"/>
              </w:rPr>
              <w:fldChar w:fldCharType="begin">
                <w:ffData>
                  <w:name w:val="Check1"/>
                  <w:enabled/>
                  <w:calcOnExit w:val="0"/>
                  <w:checkBox>
                    <w:sizeAuto/>
                    <w:default w:val="0"/>
                  </w:checkBox>
                </w:ffData>
              </w:fldChar>
            </w:r>
            <w:r w:rsidRPr="002901AF">
              <w:rPr>
                <w:lang w:val="es-ES"/>
              </w:rPr>
              <w:instrText xml:space="preserve"> FORMCHECKBOX </w:instrText>
            </w:r>
            <w:r w:rsidR="00FC44BB">
              <w:rPr>
                <w:lang w:val="es-ES"/>
              </w:rPr>
            </w:r>
            <w:r w:rsidR="00FC44BB">
              <w:rPr>
                <w:lang w:val="es-ES"/>
              </w:rPr>
              <w:fldChar w:fldCharType="separate"/>
            </w:r>
            <w:r w:rsidRPr="002901AF">
              <w:rPr>
                <w:lang w:val="es-ES"/>
              </w:rPr>
              <w:fldChar w:fldCharType="end"/>
            </w:r>
            <w:r w:rsidRPr="002901AF">
              <w:rPr>
                <w:lang w:val="es-ES"/>
              </w:rPr>
              <w:tab/>
            </w:r>
            <w:r w:rsidR="00A523F3" w:rsidRPr="002901AF">
              <w:rPr>
                <w:lang w:val="es-ES"/>
              </w:rPr>
              <w:tab/>
            </w:r>
            <w:r w:rsidRPr="002901AF">
              <w:rPr>
                <w:b/>
                <w:bCs/>
                <w:lang w:val="es-ES"/>
              </w:rPr>
              <w:t xml:space="preserve">Otorga autoridad </w:t>
            </w:r>
            <w:r w:rsidRPr="002901AF">
              <w:rPr>
                <w:lang w:val="es-ES"/>
              </w:rPr>
              <w:t>a la Comisión de Estudio 17 a fin de examinar este texto para aprobación (en cuyo caso seleccionará una de las dos opciones ⃝):</w:t>
            </w:r>
          </w:p>
          <w:p w14:paraId="0993292E" w14:textId="210F37E0" w:rsidR="0061440B" w:rsidRPr="002901AF" w:rsidRDefault="00A523F3" w:rsidP="0052698F">
            <w:pPr>
              <w:pStyle w:val="Tabletext0"/>
              <w:tabs>
                <w:tab w:val="clear" w:pos="284"/>
              </w:tabs>
              <w:rPr>
                <w:lang w:val="es-ES"/>
              </w:rPr>
            </w:pPr>
            <w:r w:rsidRPr="002901AF">
              <w:rPr>
                <w:lang w:val="es-ES"/>
              </w:rPr>
              <w:tab/>
            </w:r>
            <w:r w:rsidR="0061440B" w:rsidRPr="002901AF">
              <w:rPr>
                <w:lang w:val="es-ES"/>
              </w:rPr>
              <w:t>⃝</w:t>
            </w:r>
            <w:r w:rsidR="0061440B" w:rsidRPr="002901AF">
              <w:rPr>
                <w:lang w:val="es-ES"/>
              </w:rPr>
              <w:tab/>
              <w:t>Sin comentarios o cambios sugeridos</w:t>
            </w:r>
          </w:p>
          <w:p w14:paraId="6D9F82E1" w14:textId="5FDF5355" w:rsidR="0061440B" w:rsidRPr="002901AF" w:rsidRDefault="00A523F3" w:rsidP="0052698F">
            <w:pPr>
              <w:pStyle w:val="Tabletext0"/>
              <w:tabs>
                <w:tab w:val="clear" w:pos="284"/>
              </w:tabs>
              <w:rPr>
                <w:lang w:val="es-ES"/>
              </w:rPr>
            </w:pPr>
            <w:r w:rsidRPr="002901AF">
              <w:rPr>
                <w:lang w:val="es-ES"/>
              </w:rPr>
              <w:tab/>
            </w:r>
            <w:r w:rsidR="0061440B" w:rsidRPr="002901AF">
              <w:rPr>
                <w:lang w:val="es-ES"/>
              </w:rPr>
              <w:t>⃝</w:t>
            </w:r>
            <w:r w:rsidR="0061440B" w:rsidRPr="002901AF">
              <w:rPr>
                <w:lang w:val="es-ES"/>
              </w:rPr>
              <w:tab/>
              <w:t>Se adjuntan los comentarios o cambios sugeridos</w:t>
            </w:r>
          </w:p>
        </w:tc>
      </w:tr>
      <w:tr w:rsidR="0061440B" w:rsidRPr="002901AF" w14:paraId="5D3496B5" w14:textId="77777777" w:rsidTr="00C13F27">
        <w:trPr>
          <w:cantSplit/>
          <w:trHeight w:val="747"/>
        </w:trPr>
        <w:tc>
          <w:tcPr>
            <w:tcW w:w="2061" w:type="dxa"/>
            <w:vMerge/>
            <w:shd w:val="clear" w:color="auto" w:fill="auto"/>
            <w:vAlign w:val="center"/>
          </w:tcPr>
          <w:p w14:paraId="3B31B767" w14:textId="77777777" w:rsidR="0061440B" w:rsidRPr="002901AF" w:rsidRDefault="0061440B" w:rsidP="0061440B">
            <w:pPr>
              <w:ind w:right="92"/>
              <w:rPr>
                <w:b/>
                <w:bCs/>
                <w:lang w:val="es-ES"/>
              </w:rPr>
            </w:pPr>
          </w:p>
        </w:tc>
        <w:tc>
          <w:tcPr>
            <w:tcW w:w="7568" w:type="dxa"/>
            <w:shd w:val="clear" w:color="auto" w:fill="auto"/>
            <w:vAlign w:val="center"/>
          </w:tcPr>
          <w:p w14:paraId="7D55BCB0" w14:textId="158CBE3F" w:rsidR="0061440B" w:rsidRPr="002901AF" w:rsidRDefault="0061440B" w:rsidP="000A4629">
            <w:pPr>
              <w:pStyle w:val="Tabletext0"/>
              <w:ind w:left="567" w:hanging="567"/>
              <w:rPr>
                <w:lang w:val="es-ES"/>
              </w:rPr>
            </w:pPr>
            <w:r w:rsidRPr="002901AF">
              <w:rPr>
                <w:lang w:val="es-ES"/>
              </w:rPr>
              <w:fldChar w:fldCharType="begin">
                <w:ffData>
                  <w:name w:val="Check1"/>
                  <w:enabled/>
                  <w:calcOnExit w:val="0"/>
                  <w:checkBox>
                    <w:sizeAuto/>
                    <w:default w:val="0"/>
                  </w:checkBox>
                </w:ffData>
              </w:fldChar>
            </w:r>
            <w:r w:rsidRPr="002901AF">
              <w:rPr>
                <w:lang w:val="es-ES"/>
              </w:rPr>
              <w:instrText xml:space="preserve"> FORMCHECKBOX </w:instrText>
            </w:r>
            <w:r w:rsidR="00FC44BB">
              <w:rPr>
                <w:lang w:val="es-ES"/>
              </w:rPr>
            </w:r>
            <w:r w:rsidR="00FC44BB">
              <w:rPr>
                <w:lang w:val="es-ES"/>
              </w:rPr>
              <w:fldChar w:fldCharType="separate"/>
            </w:r>
            <w:r w:rsidRPr="002901AF">
              <w:rPr>
                <w:lang w:val="es-ES"/>
              </w:rPr>
              <w:fldChar w:fldCharType="end"/>
            </w:r>
            <w:r w:rsidRPr="002901AF">
              <w:rPr>
                <w:lang w:val="es-ES"/>
              </w:rPr>
              <w:tab/>
            </w:r>
            <w:r w:rsidR="00A523F3" w:rsidRPr="002901AF">
              <w:rPr>
                <w:lang w:val="es-ES"/>
              </w:rPr>
              <w:tab/>
            </w:r>
            <w:r w:rsidRPr="002901AF">
              <w:rPr>
                <w:b/>
                <w:bCs/>
                <w:lang w:val="es-ES"/>
              </w:rPr>
              <w:t xml:space="preserve">No otorga autoridad </w:t>
            </w:r>
            <w:r w:rsidRPr="002901AF">
              <w:rPr>
                <w:lang w:val="es-ES"/>
              </w:rPr>
              <w:t>a la Comisión de Estudio 17 a fin de examinar este texto para aprobación (se adjuntan los motivos en que se fundamenta esta opinión y las modificaciones que podrían permitir el proseguimiento de los trabajos)</w:t>
            </w:r>
          </w:p>
        </w:tc>
      </w:tr>
    </w:tbl>
    <w:p w14:paraId="19DF5FD4" w14:textId="77777777" w:rsidR="0061440B" w:rsidRPr="002901AF" w:rsidRDefault="0061440B" w:rsidP="00A87D62">
      <w:pPr>
        <w:spacing w:before="480"/>
        <w:rPr>
          <w:lang w:val="es-ES"/>
        </w:rPr>
      </w:pPr>
      <w:r w:rsidRPr="002901AF">
        <w:rPr>
          <w:lang w:val="es-ES"/>
        </w:rPr>
        <w:t>Atentamente,</w:t>
      </w:r>
    </w:p>
    <w:p w14:paraId="296C11E6" w14:textId="192EC078" w:rsidR="0061440B" w:rsidRPr="002901AF" w:rsidRDefault="0061440B" w:rsidP="00A87D62">
      <w:pPr>
        <w:spacing w:before="480"/>
        <w:rPr>
          <w:lang w:val="es-ES"/>
        </w:rPr>
      </w:pPr>
      <w:r w:rsidRPr="002901AF">
        <w:rPr>
          <w:highlight w:val="green"/>
          <w:lang w:val="es-ES"/>
        </w:rPr>
        <w:t>[Nombre]</w:t>
      </w:r>
      <w:r w:rsidRPr="002901AF">
        <w:rPr>
          <w:highlight w:val="green"/>
          <w:lang w:val="es-ES"/>
        </w:rPr>
        <w:br/>
        <w:t>[Cargo oficial/Título]</w:t>
      </w:r>
      <w:r w:rsidRPr="002901AF">
        <w:rPr>
          <w:lang w:val="es-ES"/>
        </w:rPr>
        <w:br/>
        <w:t xml:space="preserve">Administración de </w:t>
      </w:r>
      <w:r w:rsidRPr="002901AF">
        <w:rPr>
          <w:highlight w:val="green"/>
          <w:lang w:val="es-ES"/>
        </w:rPr>
        <w:t>[Estado Miembro]</w:t>
      </w:r>
    </w:p>
    <w:p w14:paraId="03AD8997" w14:textId="77777777" w:rsidR="0052698F" w:rsidRPr="002901AF" w:rsidRDefault="0052698F" w:rsidP="00411C49">
      <w:pPr>
        <w:pStyle w:val="Reasons"/>
        <w:rPr>
          <w:lang w:val="es-ES"/>
        </w:rPr>
      </w:pPr>
    </w:p>
    <w:p w14:paraId="33842A31" w14:textId="77777777" w:rsidR="0052698F" w:rsidRPr="002901AF" w:rsidRDefault="0052698F">
      <w:pPr>
        <w:jc w:val="center"/>
        <w:rPr>
          <w:lang w:val="es-ES"/>
        </w:rPr>
      </w:pPr>
      <w:r w:rsidRPr="002901AF">
        <w:rPr>
          <w:lang w:val="es-ES"/>
        </w:rPr>
        <w:t>______________</w:t>
      </w:r>
    </w:p>
    <w:p w14:paraId="319A700B" w14:textId="1E176C96" w:rsidR="0052698F" w:rsidRPr="002901AF" w:rsidRDefault="0052698F" w:rsidP="0052698F">
      <w:pPr>
        <w:spacing w:before="480"/>
        <w:jc w:val="center"/>
        <w:rPr>
          <w:lang w:val="es-ES"/>
        </w:rPr>
      </w:pPr>
    </w:p>
    <w:sectPr w:rsidR="0052698F" w:rsidRPr="002901AF" w:rsidSect="00B87E9E">
      <w:headerReference w:type="default" r:id="rId20"/>
      <w:footerReference w:type="first" r:id="rId21"/>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606C" w14:textId="77777777" w:rsidR="0061440B" w:rsidRDefault="0061440B">
      <w:r>
        <w:separator/>
      </w:r>
    </w:p>
  </w:endnote>
  <w:endnote w:type="continuationSeparator" w:id="0">
    <w:p w14:paraId="10B6888A" w14:textId="77777777" w:rsidR="0061440B" w:rsidRDefault="0061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9E87"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E025" w14:textId="77777777" w:rsidR="0061440B" w:rsidRDefault="0061440B">
      <w:r>
        <w:t>____________________</w:t>
      </w:r>
    </w:p>
  </w:footnote>
  <w:footnote w:type="continuationSeparator" w:id="0">
    <w:p w14:paraId="67B10D9E" w14:textId="77777777" w:rsidR="0061440B" w:rsidRDefault="00614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3EA6" w14:textId="41A4DC98"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2901AF">
      <w:rPr>
        <w:rStyle w:val="PageNumber"/>
        <w:noProof/>
        <w:sz w:val="18"/>
        <w:szCs w:val="18"/>
      </w:rPr>
      <w:t>5</w:t>
    </w:r>
    <w:r w:rsidR="00B87E9E" w:rsidRPr="00303D62">
      <w:rPr>
        <w:rStyle w:val="PageNumber"/>
        <w:sz w:val="18"/>
        <w:szCs w:val="18"/>
      </w:rPr>
      <w:fldChar w:fldCharType="end"/>
    </w:r>
    <w:r w:rsidRPr="00303D62">
      <w:rPr>
        <w:rStyle w:val="PageNumber"/>
        <w:sz w:val="18"/>
        <w:szCs w:val="18"/>
      </w:rPr>
      <w:t xml:space="preserve"> -</w:t>
    </w:r>
  </w:p>
  <w:p w14:paraId="192981BE" w14:textId="7C86D8FE" w:rsidR="00A87D62" w:rsidRPr="00303D62" w:rsidRDefault="00A87D62">
    <w:pPr>
      <w:pStyle w:val="Header"/>
      <w:rPr>
        <w:sz w:val="18"/>
        <w:szCs w:val="18"/>
      </w:rPr>
    </w:pPr>
    <w:r>
      <w:rPr>
        <w:rStyle w:val="PageNumber"/>
        <w:sz w:val="18"/>
        <w:szCs w:val="18"/>
      </w:rPr>
      <w:t xml:space="preserve">Circular TSB </w:t>
    </w:r>
    <w:r w:rsidR="000E1839">
      <w:rPr>
        <w:rStyle w:val="PageNumber"/>
        <w:sz w:val="18"/>
        <w:szCs w:val="18"/>
      </w:rPr>
      <w:t>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E3A97"/>
    <w:multiLevelType w:val="hybridMultilevel"/>
    <w:tmpl w:val="C4E89FB8"/>
    <w:lvl w:ilvl="0" w:tplc="B51EBE60">
      <w:start w:val="3"/>
      <w:numFmt w:val="bullet"/>
      <w:lvlText w:val="-"/>
      <w:lvlJc w:val="left"/>
      <w:pPr>
        <w:ind w:left="644" w:hanging="360"/>
      </w:pPr>
      <w:rPr>
        <w:rFonts w:ascii="Times New Roman" w:eastAsia="Malgun Gothic" w:hAnsi="Times New Roman" w:cs="Times New Roman" w:hint="default"/>
      </w:rPr>
    </w:lvl>
    <w:lvl w:ilvl="1" w:tplc="FB8272E6" w:tentative="1">
      <w:start w:val="1"/>
      <w:numFmt w:val="bullet"/>
      <w:lvlText w:val=""/>
      <w:lvlJc w:val="left"/>
      <w:pPr>
        <w:ind w:left="1084" w:hanging="400"/>
      </w:pPr>
      <w:rPr>
        <w:rFonts w:ascii="Wingdings" w:hAnsi="Wingdings" w:hint="default"/>
      </w:rPr>
    </w:lvl>
    <w:lvl w:ilvl="2" w:tplc="77B6F4E8" w:tentative="1">
      <w:start w:val="1"/>
      <w:numFmt w:val="bullet"/>
      <w:lvlText w:val=""/>
      <w:lvlJc w:val="left"/>
      <w:pPr>
        <w:ind w:left="1484" w:hanging="400"/>
      </w:pPr>
      <w:rPr>
        <w:rFonts w:ascii="Wingdings" w:hAnsi="Wingdings" w:hint="default"/>
      </w:rPr>
    </w:lvl>
    <w:lvl w:ilvl="3" w:tplc="06ECF5C6" w:tentative="1">
      <w:start w:val="1"/>
      <w:numFmt w:val="bullet"/>
      <w:lvlText w:val=""/>
      <w:lvlJc w:val="left"/>
      <w:pPr>
        <w:ind w:left="1884" w:hanging="400"/>
      </w:pPr>
      <w:rPr>
        <w:rFonts w:ascii="Wingdings" w:hAnsi="Wingdings" w:hint="default"/>
      </w:rPr>
    </w:lvl>
    <w:lvl w:ilvl="4" w:tplc="74E4F176" w:tentative="1">
      <w:start w:val="1"/>
      <w:numFmt w:val="bullet"/>
      <w:lvlText w:val=""/>
      <w:lvlJc w:val="left"/>
      <w:pPr>
        <w:ind w:left="2284" w:hanging="400"/>
      </w:pPr>
      <w:rPr>
        <w:rFonts w:ascii="Wingdings" w:hAnsi="Wingdings" w:hint="default"/>
      </w:rPr>
    </w:lvl>
    <w:lvl w:ilvl="5" w:tplc="BBF2D614" w:tentative="1">
      <w:start w:val="1"/>
      <w:numFmt w:val="bullet"/>
      <w:lvlText w:val=""/>
      <w:lvlJc w:val="left"/>
      <w:pPr>
        <w:ind w:left="2684" w:hanging="400"/>
      </w:pPr>
      <w:rPr>
        <w:rFonts w:ascii="Wingdings" w:hAnsi="Wingdings" w:hint="default"/>
      </w:rPr>
    </w:lvl>
    <w:lvl w:ilvl="6" w:tplc="59CEB00A" w:tentative="1">
      <w:start w:val="1"/>
      <w:numFmt w:val="bullet"/>
      <w:lvlText w:val=""/>
      <w:lvlJc w:val="left"/>
      <w:pPr>
        <w:ind w:left="3084" w:hanging="400"/>
      </w:pPr>
      <w:rPr>
        <w:rFonts w:ascii="Wingdings" w:hAnsi="Wingdings" w:hint="default"/>
      </w:rPr>
    </w:lvl>
    <w:lvl w:ilvl="7" w:tplc="EB9A2A52" w:tentative="1">
      <w:start w:val="1"/>
      <w:numFmt w:val="bullet"/>
      <w:lvlText w:val=""/>
      <w:lvlJc w:val="left"/>
      <w:pPr>
        <w:ind w:left="3484" w:hanging="400"/>
      </w:pPr>
      <w:rPr>
        <w:rFonts w:ascii="Wingdings" w:hAnsi="Wingdings" w:hint="default"/>
      </w:rPr>
    </w:lvl>
    <w:lvl w:ilvl="8" w:tplc="FBB4AC98" w:tentative="1">
      <w:start w:val="1"/>
      <w:numFmt w:val="bullet"/>
      <w:lvlText w:val=""/>
      <w:lvlJc w:val="left"/>
      <w:pPr>
        <w:ind w:left="3884" w:hanging="40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6B1E3E"/>
    <w:multiLevelType w:val="hybridMultilevel"/>
    <w:tmpl w:val="54C0B476"/>
    <w:lvl w:ilvl="0" w:tplc="6EE01B86">
      <w:start w:val="1"/>
      <w:numFmt w:val="decimal"/>
      <w:lvlText w:val="%1"/>
      <w:lvlJc w:val="left"/>
      <w:pPr>
        <w:ind w:left="360" w:hanging="360"/>
      </w:pPr>
      <w:rPr>
        <w:rFonts w:hint="default"/>
      </w:rPr>
    </w:lvl>
    <w:lvl w:ilvl="1" w:tplc="42F4062C" w:tentative="1">
      <w:start w:val="1"/>
      <w:numFmt w:val="lowerLetter"/>
      <w:lvlText w:val="%2."/>
      <w:lvlJc w:val="left"/>
      <w:pPr>
        <w:ind w:left="1440" w:hanging="360"/>
      </w:pPr>
    </w:lvl>
    <w:lvl w:ilvl="2" w:tplc="1D20AD30" w:tentative="1">
      <w:start w:val="1"/>
      <w:numFmt w:val="lowerRoman"/>
      <w:lvlText w:val="%3."/>
      <w:lvlJc w:val="right"/>
      <w:pPr>
        <w:ind w:left="2160" w:hanging="180"/>
      </w:pPr>
    </w:lvl>
    <w:lvl w:ilvl="3" w:tplc="786A16AC" w:tentative="1">
      <w:start w:val="1"/>
      <w:numFmt w:val="decimal"/>
      <w:lvlText w:val="%4."/>
      <w:lvlJc w:val="left"/>
      <w:pPr>
        <w:ind w:left="2880" w:hanging="360"/>
      </w:pPr>
    </w:lvl>
    <w:lvl w:ilvl="4" w:tplc="20D272D2" w:tentative="1">
      <w:start w:val="1"/>
      <w:numFmt w:val="lowerLetter"/>
      <w:lvlText w:val="%5."/>
      <w:lvlJc w:val="left"/>
      <w:pPr>
        <w:ind w:left="3600" w:hanging="360"/>
      </w:pPr>
    </w:lvl>
    <w:lvl w:ilvl="5" w:tplc="66D08EEC" w:tentative="1">
      <w:start w:val="1"/>
      <w:numFmt w:val="lowerRoman"/>
      <w:lvlText w:val="%6."/>
      <w:lvlJc w:val="right"/>
      <w:pPr>
        <w:ind w:left="4320" w:hanging="180"/>
      </w:pPr>
    </w:lvl>
    <w:lvl w:ilvl="6" w:tplc="92D45EC6" w:tentative="1">
      <w:start w:val="1"/>
      <w:numFmt w:val="decimal"/>
      <w:lvlText w:val="%7."/>
      <w:lvlJc w:val="left"/>
      <w:pPr>
        <w:ind w:left="5040" w:hanging="360"/>
      </w:pPr>
    </w:lvl>
    <w:lvl w:ilvl="7" w:tplc="3D58A37E" w:tentative="1">
      <w:start w:val="1"/>
      <w:numFmt w:val="lowerLetter"/>
      <w:lvlText w:val="%8."/>
      <w:lvlJc w:val="left"/>
      <w:pPr>
        <w:ind w:left="5760" w:hanging="360"/>
      </w:pPr>
    </w:lvl>
    <w:lvl w:ilvl="8" w:tplc="BEFA2340" w:tentative="1">
      <w:start w:val="1"/>
      <w:numFmt w:val="lowerRoman"/>
      <w:lvlText w:val="%9."/>
      <w:lvlJc w:val="right"/>
      <w:pPr>
        <w:ind w:left="6480" w:hanging="180"/>
      </w:p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339388825">
    <w:abstractNumId w:val="1"/>
  </w:num>
  <w:num w:numId="2" w16cid:durableId="1679503251">
    <w:abstractNumId w:val="5"/>
  </w:num>
  <w:num w:numId="3" w16cid:durableId="195625129">
    <w:abstractNumId w:val="3"/>
  </w:num>
  <w:num w:numId="4" w16cid:durableId="408696271">
    <w:abstractNumId w:val="2"/>
  </w:num>
  <w:num w:numId="5" w16cid:durableId="306206541">
    <w:abstractNumId w:val="4"/>
  </w:num>
  <w:num w:numId="6" w16cid:durableId="1744375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40B"/>
    <w:rsid w:val="00002529"/>
    <w:rsid w:val="00085662"/>
    <w:rsid w:val="000A4629"/>
    <w:rsid w:val="000C382F"/>
    <w:rsid w:val="000D23FC"/>
    <w:rsid w:val="000D538C"/>
    <w:rsid w:val="000E1839"/>
    <w:rsid w:val="001055B8"/>
    <w:rsid w:val="001173CC"/>
    <w:rsid w:val="00120570"/>
    <w:rsid w:val="00135302"/>
    <w:rsid w:val="0014464D"/>
    <w:rsid w:val="001A54CC"/>
    <w:rsid w:val="001B0B79"/>
    <w:rsid w:val="001F483D"/>
    <w:rsid w:val="00257FB4"/>
    <w:rsid w:val="0027084B"/>
    <w:rsid w:val="002901AF"/>
    <w:rsid w:val="002A0D4E"/>
    <w:rsid w:val="002E496E"/>
    <w:rsid w:val="00302B3A"/>
    <w:rsid w:val="00303D62"/>
    <w:rsid w:val="00335367"/>
    <w:rsid w:val="00337871"/>
    <w:rsid w:val="00370469"/>
    <w:rsid w:val="00370C2D"/>
    <w:rsid w:val="00397C85"/>
    <w:rsid w:val="003A353B"/>
    <w:rsid w:val="003D1A70"/>
    <w:rsid w:val="003D1E8D"/>
    <w:rsid w:val="003D673B"/>
    <w:rsid w:val="003E22F2"/>
    <w:rsid w:val="003F2855"/>
    <w:rsid w:val="00401C20"/>
    <w:rsid w:val="00412816"/>
    <w:rsid w:val="004A7957"/>
    <w:rsid w:val="004C1012"/>
    <w:rsid w:val="004C4144"/>
    <w:rsid w:val="004C72B2"/>
    <w:rsid w:val="004E3BE5"/>
    <w:rsid w:val="004E3E9B"/>
    <w:rsid w:val="0050400E"/>
    <w:rsid w:val="0052698F"/>
    <w:rsid w:val="0055719E"/>
    <w:rsid w:val="005B6A2D"/>
    <w:rsid w:val="005F5A58"/>
    <w:rsid w:val="006012DF"/>
    <w:rsid w:val="0061440B"/>
    <w:rsid w:val="00694C97"/>
    <w:rsid w:val="0069693C"/>
    <w:rsid w:val="006969B4"/>
    <w:rsid w:val="006E4F7B"/>
    <w:rsid w:val="007032F9"/>
    <w:rsid w:val="0073060E"/>
    <w:rsid w:val="007429BF"/>
    <w:rsid w:val="007565DB"/>
    <w:rsid w:val="00781E2A"/>
    <w:rsid w:val="007933A2"/>
    <w:rsid w:val="007B6316"/>
    <w:rsid w:val="00812B31"/>
    <w:rsid w:val="00814503"/>
    <w:rsid w:val="008258C2"/>
    <w:rsid w:val="008505BD"/>
    <w:rsid w:val="00850C78"/>
    <w:rsid w:val="008577DB"/>
    <w:rsid w:val="00863855"/>
    <w:rsid w:val="00864406"/>
    <w:rsid w:val="00876165"/>
    <w:rsid w:val="00884D12"/>
    <w:rsid w:val="00896CCA"/>
    <w:rsid w:val="008C17AD"/>
    <w:rsid w:val="008D02CD"/>
    <w:rsid w:val="008F33C3"/>
    <w:rsid w:val="0091370C"/>
    <w:rsid w:val="0095172A"/>
    <w:rsid w:val="00961B5B"/>
    <w:rsid w:val="009A0BA0"/>
    <w:rsid w:val="009A6E45"/>
    <w:rsid w:val="009D526C"/>
    <w:rsid w:val="009D6F27"/>
    <w:rsid w:val="009F3653"/>
    <w:rsid w:val="00A43844"/>
    <w:rsid w:val="00A523F3"/>
    <w:rsid w:val="00A54E47"/>
    <w:rsid w:val="00A64C3D"/>
    <w:rsid w:val="00A86F2D"/>
    <w:rsid w:val="00A87D62"/>
    <w:rsid w:val="00A941B3"/>
    <w:rsid w:val="00AA5922"/>
    <w:rsid w:val="00AB1984"/>
    <w:rsid w:val="00AB6E3A"/>
    <w:rsid w:val="00AC07CF"/>
    <w:rsid w:val="00AD75E0"/>
    <w:rsid w:val="00AE7093"/>
    <w:rsid w:val="00AF4268"/>
    <w:rsid w:val="00B007BC"/>
    <w:rsid w:val="00B01315"/>
    <w:rsid w:val="00B0647E"/>
    <w:rsid w:val="00B422BC"/>
    <w:rsid w:val="00B43F77"/>
    <w:rsid w:val="00B55A3E"/>
    <w:rsid w:val="00B56110"/>
    <w:rsid w:val="00B87E9E"/>
    <w:rsid w:val="00B95F0A"/>
    <w:rsid w:val="00B96180"/>
    <w:rsid w:val="00BC55F6"/>
    <w:rsid w:val="00BD760C"/>
    <w:rsid w:val="00BE1380"/>
    <w:rsid w:val="00BE37E3"/>
    <w:rsid w:val="00BF0F7B"/>
    <w:rsid w:val="00C116FE"/>
    <w:rsid w:val="00C1299D"/>
    <w:rsid w:val="00C17AC0"/>
    <w:rsid w:val="00C34772"/>
    <w:rsid w:val="00C5465A"/>
    <w:rsid w:val="00C678B6"/>
    <w:rsid w:val="00CA5F95"/>
    <w:rsid w:val="00CD6078"/>
    <w:rsid w:val="00CD6BF1"/>
    <w:rsid w:val="00D34E94"/>
    <w:rsid w:val="00D54642"/>
    <w:rsid w:val="00D834E7"/>
    <w:rsid w:val="00DA094A"/>
    <w:rsid w:val="00DD77C9"/>
    <w:rsid w:val="00DF3538"/>
    <w:rsid w:val="00E0215A"/>
    <w:rsid w:val="00E77E66"/>
    <w:rsid w:val="00E839B0"/>
    <w:rsid w:val="00E92C09"/>
    <w:rsid w:val="00EB77B4"/>
    <w:rsid w:val="00EC3DE5"/>
    <w:rsid w:val="00EE4117"/>
    <w:rsid w:val="00F14380"/>
    <w:rsid w:val="00F53AC6"/>
    <w:rsid w:val="00F6461F"/>
    <w:rsid w:val="00FA6382"/>
    <w:rsid w:val="00FC30C9"/>
    <w:rsid w:val="00FC416A"/>
    <w:rsid w:val="00FC44BB"/>
    <w:rsid w:val="00FD2B2D"/>
    <w:rsid w:val="00FF2F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537FC"/>
  <w15:docId w15:val="{1969FEA8-4213-4339-B9DE-E8CEF8E8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61440B"/>
    <w:rPr>
      <w:color w:val="605E5C"/>
      <w:shd w:val="clear" w:color="auto" w:fill="E1DFDD"/>
    </w:rPr>
  </w:style>
  <w:style w:type="paragraph" w:customStyle="1" w:styleId="Reasons">
    <w:name w:val="Reasons"/>
    <w:basedOn w:val="Normal"/>
    <w:qFormat/>
    <w:rsid w:val="0052698F"/>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meetingdoc.asp?lang=en&amp;parent=T22-SG17-R-0034" TargetMode="External"/><Relationship Id="rId18" Type="http://schemas.openxmlformats.org/officeDocument/2006/relationships/hyperlink" Target="https://www.itu.int/md/meetingdoc.asp?lang=en&amp;parent=T22-SG17-R-003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meetingdoc.asp?lang=en&amp;parent=T22-SG17-R-0037" TargetMode="External"/><Relationship Id="rId2" Type="http://schemas.openxmlformats.org/officeDocument/2006/relationships/numbering" Target="numbering.xml"/><Relationship Id="rId16" Type="http://schemas.openxmlformats.org/officeDocument/2006/relationships/hyperlink" Target="https://www.itu.int/md/meetingdoc.asp?lang=en&amp;parent=T22-SG17-R-003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s/ITU-T/ipr/Pages/default.aspx" TargetMode="External"/><Relationship Id="rId5" Type="http://schemas.openxmlformats.org/officeDocument/2006/relationships/webSettings" Target="webSettings.xml"/><Relationship Id="rId15" Type="http://schemas.openxmlformats.org/officeDocument/2006/relationships/hyperlink" Target="https://www.itu.int/md/meetingdoc.asp?lang=en&amp;parent=T22-SG17-R-0036" TargetMode="External"/><Relationship Id="rId23" Type="http://schemas.openxmlformats.org/officeDocument/2006/relationships/theme" Target="theme/theme1.xml"/><Relationship Id="rId10" Type="http://schemas.openxmlformats.org/officeDocument/2006/relationships/hyperlink" Target="https://www.itu.int/md/T22-SG17-COL-0005/en" TargetMode="External"/><Relationship Id="rId19" Type="http://schemas.openxmlformats.org/officeDocument/2006/relationships/hyperlink" Target="mailto:tsbdir@itu.int"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d/meetingdoc.asp?lang=en&amp;parent=T22-SG17-R-0035"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C5B07-9CA0-4E3A-9C5A-D0D42FDA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4</TotalTime>
  <Pages>7</Pages>
  <Words>2227</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15211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7</cp:revision>
  <cp:lastPrinted>2023-04-12T07:50:00Z</cp:lastPrinted>
  <dcterms:created xsi:type="dcterms:W3CDTF">2023-03-30T08:16:00Z</dcterms:created>
  <dcterms:modified xsi:type="dcterms:W3CDTF">2023-04-12T07:50:00Z</dcterms:modified>
</cp:coreProperties>
</file>