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</w:tblGrid>
      <w:tr w:rsidR="00FA46A0" w:rsidRPr="0061616B" w14:paraId="427248EF" w14:textId="77777777" w:rsidTr="00643A67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E935EB" w:rsidRDefault="009747C5">
            <w:pPr>
              <w:pStyle w:val="Tabletext"/>
              <w:jc w:val="center"/>
              <w:rPr>
                <w:lang w:val="es-ES"/>
              </w:rPr>
            </w:pPr>
            <w:r w:rsidRPr="00E935EB">
              <w:rPr>
                <w:noProof/>
                <w:lang w:val="en-US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3277A332" w14:textId="77777777" w:rsidR="007E50DE" w:rsidRPr="00E935EB" w:rsidRDefault="007E50DE" w:rsidP="007E50DE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E935EB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45638816" w14:textId="32BC7CA6" w:rsidR="00FA46A0" w:rsidRPr="00E935EB" w:rsidRDefault="007E50DE" w:rsidP="007E50DE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E935EB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E935EB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E935E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E935EB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</w:p>
        </w:tc>
      </w:tr>
      <w:tr w:rsidR="00FA46A0" w:rsidRPr="009148A0" w14:paraId="5225F8B8" w14:textId="77777777" w:rsidTr="00B16DE0">
        <w:trPr>
          <w:cantSplit/>
          <w:trHeight w:val="923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9148A0" w:rsidRDefault="00FA46A0">
            <w:pPr>
              <w:pStyle w:val="Tabletext"/>
              <w:jc w:val="righ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7F04DB59" w:rsidR="00FA46A0" w:rsidRPr="009148A0" w:rsidRDefault="007E50DE" w:rsidP="007E50DE">
            <w:pPr>
              <w:pStyle w:val="Tabletext"/>
              <w:spacing w:before="240" w:after="120"/>
              <w:ind w:left="-108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sz w:val="22"/>
                <w:szCs w:val="22"/>
                <w:lang w:val="es-ES"/>
              </w:rPr>
              <w:t>Ginebra</w:t>
            </w:r>
            <w:r w:rsidR="00B61012" w:rsidRPr="009148A0">
              <w:rPr>
                <w:rFonts w:asciiTheme="minorHAnsi" w:hAnsiTheme="minorHAnsi"/>
                <w:sz w:val="22"/>
                <w:szCs w:val="22"/>
                <w:lang w:val="es-ES"/>
              </w:rPr>
              <w:t>,</w:t>
            </w:r>
            <w:r w:rsidR="00A0344E" w:rsidRPr="009148A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 w:rsidR="00B437F7" w:rsidRPr="009148A0">
              <w:rPr>
                <w:rFonts w:asciiTheme="minorHAnsi" w:hAnsiTheme="minorHAnsi"/>
                <w:sz w:val="22"/>
                <w:szCs w:val="22"/>
                <w:lang w:val="es-ES"/>
              </w:rPr>
              <w:t>30</w:t>
            </w:r>
            <w:r w:rsidR="000A2E01" w:rsidRPr="009148A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 w:rsidRPr="009148A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de marzo de </w:t>
            </w:r>
            <w:r w:rsidR="000A2E01" w:rsidRPr="009148A0">
              <w:rPr>
                <w:rFonts w:asciiTheme="minorHAnsi" w:hAnsiTheme="minorHAnsi"/>
                <w:sz w:val="22"/>
                <w:szCs w:val="22"/>
                <w:lang w:val="es-ES"/>
              </w:rPr>
              <w:t>2023</w:t>
            </w:r>
          </w:p>
        </w:tc>
      </w:tr>
      <w:tr w:rsidR="00FA46A0" w:rsidRPr="0061616B" w14:paraId="1188BE59" w14:textId="77777777" w:rsidTr="00B16DE0">
        <w:trPr>
          <w:cantSplit/>
          <w:trHeight w:val="553"/>
        </w:trPr>
        <w:tc>
          <w:tcPr>
            <w:tcW w:w="1134" w:type="dxa"/>
          </w:tcPr>
          <w:p w14:paraId="15C386EF" w14:textId="2A699140" w:rsidR="00FA46A0" w:rsidRPr="009148A0" w:rsidRDefault="00B61012" w:rsidP="00AF00F3">
            <w:pPr>
              <w:pStyle w:val="Tabletext"/>
              <w:ind w:left="-11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Ref</w:t>
            </w:r>
            <w:r w:rsidR="007E50DE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.</w:t>
            </w:r>
            <w:r w:rsidR="00BB5B00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  <w:r w:rsidR="00987CF7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544" w:type="dxa"/>
          </w:tcPr>
          <w:p w14:paraId="091C3B5F" w14:textId="432BB6D1" w:rsidR="00FA46A0" w:rsidRPr="009148A0" w:rsidRDefault="007E50DE" w:rsidP="007E50DE">
            <w:pPr>
              <w:pStyle w:val="Table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148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Circular </w:t>
            </w:r>
            <w:r w:rsidR="00987CF7" w:rsidRPr="009148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TSB </w:t>
            </w:r>
            <w:r w:rsidR="00370A75" w:rsidRPr="009148A0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B84061" w:rsidRPr="009148A0">
              <w:rPr>
                <w:rFonts w:asciiTheme="minorHAnsi" w:hAnsiTheme="minorHAnsi"/>
                <w:b/>
                <w:bCs/>
                <w:sz w:val="22"/>
                <w:szCs w:val="22"/>
              </w:rPr>
              <w:t>82</w:t>
            </w:r>
            <w:r w:rsidR="00912518" w:rsidRPr="009148A0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="00155716" w:rsidRPr="009148A0">
              <w:rPr>
                <w:rFonts w:asciiTheme="minorHAnsi" w:hAnsiTheme="minorHAnsi"/>
                <w:sz w:val="22"/>
                <w:szCs w:val="22"/>
              </w:rPr>
              <w:t>TSB Events /</w:t>
            </w:r>
            <w:r w:rsidR="00102E61" w:rsidRPr="009148A0">
              <w:rPr>
                <w:rFonts w:asciiTheme="minorHAnsi" w:hAnsiTheme="minorHAnsi"/>
                <w:sz w:val="22"/>
                <w:szCs w:val="22"/>
              </w:rPr>
              <w:t>XY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4D6EDA28" w:rsidR="00FF5729" w:rsidRPr="009148A0" w:rsidRDefault="007E50DE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A</w:t>
            </w:r>
            <w:r w:rsidR="00B61012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</w:p>
          <w:p w14:paraId="04962A05" w14:textId="4AA66363" w:rsidR="007E50DE" w:rsidRPr="009148A0" w:rsidRDefault="00FF5729" w:rsidP="007E50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389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sz w:val="22"/>
                <w:szCs w:val="22"/>
                <w:lang w:val="es-ES"/>
              </w:rPr>
              <w:t>-</w:t>
            </w:r>
            <w:r w:rsidRPr="009148A0">
              <w:rPr>
                <w:rFonts w:asciiTheme="minorHAnsi" w:hAnsiTheme="minorHAnsi"/>
                <w:sz w:val="22"/>
                <w:szCs w:val="22"/>
                <w:lang w:val="es-ES"/>
              </w:rPr>
              <w:tab/>
            </w:r>
            <w:r w:rsidR="007E50DE"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las Administraciones de los Estados Miembros de la Unión;</w:t>
            </w:r>
          </w:p>
          <w:p w14:paraId="0FD6C122" w14:textId="77777777" w:rsidR="007E50DE" w:rsidRPr="009148A0" w:rsidRDefault="007E50DE" w:rsidP="007E50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389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ab/>
              <w:t>los Miembros de Sector del UIT</w:t>
            </w: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noBreakHyphen/>
              <w:t>T;</w:t>
            </w:r>
          </w:p>
          <w:p w14:paraId="3CBBFB7C" w14:textId="77777777" w:rsidR="007E50DE" w:rsidRPr="009148A0" w:rsidRDefault="007E50DE" w:rsidP="007E50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389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ab/>
              <w:t>los Asociados del UIT</w:t>
            </w: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noBreakHyphen/>
              <w:t>T;</w:t>
            </w:r>
          </w:p>
          <w:p w14:paraId="5DD5F682" w14:textId="12AB9E7D" w:rsidR="00AF00F3" w:rsidRPr="009148A0" w:rsidRDefault="007E50DE" w:rsidP="00B16D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389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ab/>
              <w:t>las Instituciones Académicas de la UIT</w:t>
            </w:r>
          </w:p>
          <w:p w14:paraId="231A35E6" w14:textId="31777263" w:rsidR="00AF00F3" w:rsidRPr="009148A0" w:rsidRDefault="00AF00F3" w:rsidP="00AF00F3">
            <w:pPr>
              <w:pStyle w:val="Tabletext"/>
              <w:ind w:left="283" w:hanging="39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Cop</w:t>
            </w:r>
            <w:r w:rsidR="007E50DE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ia</w:t>
            </w: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</w:p>
          <w:p w14:paraId="507BB41C" w14:textId="0783E6C0" w:rsidR="007E50DE" w:rsidRPr="009148A0" w:rsidRDefault="00AF00F3" w:rsidP="00B16D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389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sz w:val="22"/>
                <w:szCs w:val="22"/>
                <w:lang w:val="es-ES"/>
              </w:rPr>
              <w:t>-</w:t>
            </w:r>
            <w:r w:rsidRPr="009148A0">
              <w:rPr>
                <w:rFonts w:asciiTheme="minorHAnsi" w:hAnsiTheme="minorHAnsi"/>
                <w:sz w:val="22"/>
                <w:szCs w:val="22"/>
                <w:lang w:val="es-ES"/>
              </w:rPr>
              <w:tab/>
            </w:r>
            <w:r w:rsidR="007E50DE"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a los </w:t>
            </w:r>
            <w:proofErr w:type="gramStart"/>
            <w:r w:rsidR="007E50DE"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Presidentes</w:t>
            </w:r>
            <w:proofErr w:type="gramEnd"/>
            <w:r w:rsidR="007E50DE"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y Vicepresidentes de las Comisiones de Estudio;</w:t>
            </w:r>
          </w:p>
          <w:p w14:paraId="34B97076" w14:textId="6A380BDE" w:rsidR="007E50DE" w:rsidRPr="009148A0" w:rsidRDefault="007E50DE" w:rsidP="00B16D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389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sz w:val="22"/>
                <w:szCs w:val="22"/>
                <w:lang w:val="es-ES"/>
              </w:rPr>
              <w:t>-</w:t>
            </w: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la Oficina de Desarrollo de las Telecomunicaciones;</w:t>
            </w:r>
          </w:p>
          <w:p w14:paraId="491C33FC" w14:textId="7CF30362" w:rsidR="007E50DE" w:rsidRPr="009148A0" w:rsidRDefault="007E50DE" w:rsidP="00B16D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389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sz w:val="22"/>
                <w:szCs w:val="22"/>
                <w:lang w:val="es-ES"/>
              </w:rPr>
              <w:t>-</w:t>
            </w: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la Oficina de Radiocomunicaciones</w:t>
            </w:r>
          </w:p>
          <w:p w14:paraId="771591D6" w14:textId="5A033192" w:rsidR="00CF3AD8" w:rsidRPr="009148A0" w:rsidRDefault="007E50DE" w:rsidP="00B16D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389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ab/>
              <w:t xml:space="preserve">a los </w:t>
            </w:r>
            <w:proofErr w:type="gramStart"/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Directores</w:t>
            </w:r>
            <w:proofErr w:type="gramEnd"/>
            <w:r w:rsidRPr="009148A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las Oficinas Regionales de la UIT</w:t>
            </w:r>
          </w:p>
        </w:tc>
      </w:tr>
      <w:tr w:rsidR="00155716" w:rsidRPr="009148A0" w14:paraId="5FB1EB24" w14:textId="77777777" w:rsidTr="00B16DE0">
        <w:trPr>
          <w:cantSplit/>
          <w:trHeight w:val="381"/>
        </w:trPr>
        <w:tc>
          <w:tcPr>
            <w:tcW w:w="1134" w:type="dxa"/>
          </w:tcPr>
          <w:p w14:paraId="0621554E" w14:textId="77B71895" w:rsidR="00155716" w:rsidRPr="009148A0" w:rsidRDefault="00155716" w:rsidP="00AF00F3">
            <w:pPr>
              <w:pStyle w:val="Tabletext"/>
              <w:ind w:left="-11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Contact</w:t>
            </w:r>
            <w:r w:rsidR="000437ED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o</w:t>
            </w:r>
            <w:r w:rsidR="00ED6FD0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3544" w:type="dxa"/>
          </w:tcPr>
          <w:p w14:paraId="47D24C61" w14:textId="2FAB30B7" w:rsidR="00155716" w:rsidRPr="009148A0" w:rsidRDefault="00102E61" w:rsidP="00FC1C19">
            <w:pPr>
              <w:pStyle w:val="Tabletext"/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Xiaoya Yang</w:t>
            </w:r>
          </w:p>
        </w:tc>
        <w:tc>
          <w:tcPr>
            <w:tcW w:w="5103" w:type="dxa"/>
            <w:gridSpan w:val="2"/>
            <w:vMerge/>
          </w:tcPr>
          <w:p w14:paraId="69C9042C" w14:textId="77777777" w:rsidR="00155716" w:rsidRPr="009148A0" w:rsidRDefault="00155716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</w:tr>
      <w:tr w:rsidR="00FA46A0" w:rsidRPr="009148A0" w14:paraId="4B512585" w14:textId="77777777" w:rsidTr="00B16DE0">
        <w:trPr>
          <w:cantSplit/>
          <w:trHeight w:val="221"/>
        </w:trPr>
        <w:tc>
          <w:tcPr>
            <w:tcW w:w="1134" w:type="dxa"/>
          </w:tcPr>
          <w:p w14:paraId="45FB1CB2" w14:textId="46370BBB" w:rsidR="00FA46A0" w:rsidRPr="009148A0" w:rsidRDefault="00B61012" w:rsidP="00AF00F3">
            <w:pPr>
              <w:pStyle w:val="Tabletext"/>
              <w:ind w:left="-11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Tel</w:t>
            </w:r>
            <w:r w:rsidR="000437ED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.</w:t>
            </w: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3544" w:type="dxa"/>
          </w:tcPr>
          <w:p w14:paraId="4D88B3A0" w14:textId="185540E4" w:rsidR="00FA46A0" w:rsidRPr="009148A0" w:rsidRDefault="00C95BF6" w:rsidP="00C95BF6">
            <w:pPr>
              <w:pStyle w:val="Tabletext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+41 22 730 </w:t>
            </w:r>
            <w:r w:rsidR="00A73E3C" w:rsidRPr="009148A0">
              <w:rPr>
                <w:rFonts w:asciiTheme="minorHAnsi" w:hAnsiTheme="minorHAnsi"/>
                <w:sz w:val="22"/>
                <w:szCs w:val="22"/>
                <w:lang w:val="es-ES"/>
              </w:rPr>
              <w:t>6206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9148A0" w:rsidRDefault="00FA46A0" w:rsidP="00FF5729">
            <w:pPr>
              <w:pStyle w:val="Tabletext"/>
              <w:ind w:left="142" w:hanging="39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FA46A0" w:rsidRPr="009148A0" w14:paraId="0E71A02B" w14:textId="77777777" w:rsidTr="00B16DE0">
        <w:trPr>
          <w:cantSplit/>
          <w:trHeight w:val="2331"/>
        </w:trPr>
        <w:tc>
          <w:tcPr>
            <w:tcW w:w="1134" w:type="dxa"/>
          </w:tcPr>
          <w:p w14:paraId="2A8D7A4F" w14:textId="77777777" w:rsidR="00FA46A0" w:rsidRPr="009148A0" w:rsidRDefault="00B61012" w:rsidP="00AF00F3">
            <w:pPr>
              <w:pStyle w:val="Tabletext"/>
              <w:ind w:left="-11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Fax:</w:t>
            </w:r>
          </w:p>
          <w:p w14:paraId="0319332A" w14:textId="49114FC8" w:rsidR="00AF00F3" w:rsidRPr="009148A0" w:rsidRDefault="000437ED" w:rsidP="000437ED">
            <w:pPr>
              <w:pStyle w:val="Tabletext"/>
              <w:ind w:left="-11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Correo-e</w:t>
            </w:r>
            <w:r w:rsidR="00AF00F3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3544" w:type="dxa"/>
          </w:tcPr>
          <w:p w14:paraId="2CC16280" w14:textId="77777777" w:rsidR="00FA46A0" w:rsidRPr="009148A0" w:rsidRDefault="00B61012">
            <w:pPr>
              <w:pStyle w:val="Tabletex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sz w:val="22"/>
                <w:szCs w:val="22"/>
                <w:lang w:val="es-ES"/>
              </w:rPr>
              <w:t>+41 22 730 5853</w:t>
            </w:r>
          </w:p>
          <w:p w14:paraId="78CC8F8C" w14:textId="11ECA112" w:rsidR="00AF00F3" w:rsidRPr="009148A0" w:rsidRDefault="00AF00F3">
            <w:pPr>
              <w:pStyle w:val="Tabletext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9148A0">
              <w:rPr>
                <w:rStyle w:val="Hyperlink"/>
                <w:rFonts w:asciiTheme="minorHAnsi" w:hAnsiTheme="minorHAnsi"/>
                <w:sz w:val="22"/>
                <w:szCs w:val="22"/>
                <w:lang w:val="es-ES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9148A0" w:rsidRDefault="00FA46A0" w:rsidP="00FF5729">
            <w:pPr>
              <w:pStyle w:val="Tabletext"/>
              <w:ind w:left="142" w:hanging="39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FA46A0" w:rsidRPr="0061616B" w14:paraId="669AAEA7" w14:textId="77777777" w:rsidTr="00643A67">
        <w:trPr>
          <w:cantSplit/>
          <w:trHeight w:val="618"/>
        </w:trPr>
        <w:tc>
          <w:tcPr>
            <w:tcW w:w="1134" w:type="dxa"/>
          </w:tcPr>
          <w:p w14:paraId="1DC5B8B0" w14:textId="09C6427F" w:rsidR="00FA46A0" w:rsidRPr="009148A0" w:rsidRDefault="003F0728" w:rsidP="0033722D">
            <w:pPr>
              <w:pStyle w:val="Tabletext"/>
              <w:spacing w:before="120"/>
              <w:ind w:left="-108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Asunto</w:t>
            </w:r>
            <w:r w:rsidR="00B61012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8647" w:type="dxa"/>
            <w:gridSpan w:val="3"/>
          </w:tcPr>
          <w:p w14:paraId="454AEE09" w14:textId="6BB4112E" w:rsidR="00FA46A0" w:rsidRPr="009148A0" w:rsidRDefault="003F0728" w:rsidP="0033722D">
            <w:pPr>
              <w:pStyle w:val="Tabletext"/>
              <w:spacing w:before="12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2º</w:t>
            </w:r>
            <w:r w:rsidRPr="009148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Día de UIT-T X.509 </w:t>
            </w:r>
            <w:r w:rsidRPr="009148A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(totalmente virtual, </w:t>
            </w:r>
            <w:r w:rsidR="00A865D6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9 </w:t>
            </w:r>
            <w:r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de mayo de </w:t>
            </w:r>
            <w:r w:rsidR="00A865D6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2023</w:t>
            </w:r>
            <w:r w:rsidR="00FC4AA2" w:rsidRPr="009148A0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)</w:t>
            </w:r>
          </w:p>
        </w:tc>
      </w:tr>
    </w:tbl>
    <w:p w14:paraId="51739827" w14:textId="25409FF1" w:rsidR="00FA46A0" w:rsidRPr="009148A0" w:rsidRDefault="00894521" w:rsidP="0033722D">
      <w:pPr>
        <w:spacing w:after="120"/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/>
          <w:sz w:val="22"/>
          <w:szCs w:val="22"/>
          <w:lang w:val="es-ES"/>
        </w:rPr>
        <w:t>Muy Señora mía/Muy Señor mío:</w:t>
      </w:r>
    </w:p>
    <w:p w14:paraId="5AA0E3DD" w14:textId="092CE72C" w:rsidR="00FA46A0" w:rsidRPr="009148A0" w:rsidRDefault="00C744CB" w:rsidP="00B437F7">
      <w:pPr>
        <w:spacing w:before="0" w:after="120"/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/>
          <w:sz w:val="22"/>
          <w:szCs w:val="22"/>
          <w:lang w:val="es-ES"/>
        </w:rPr>
        <w:t>1</w:t>
      </w:r>
      <w:r w:rsidRPr="009148A0">
        <w:rPr>
          <w:rFonts w:asciiTheme="minorHAnsi" w:hAnsiTheme="minorHAnsi"/>
          <w:sz w:val="22"/>
          <w:szCs w:val="22"/>
          <w:lang w:val="es-ES"/>
        </w:rPr>
        <w:tab/>
      </w:r>
      <w:bookmarkStart w:id="0" w:name="lt_pId052"/>
      <w:proofErr w:type="gramStart"/>
      <w:r w:rsidR="002D6ED0" w:rsidRPr="009148A0">
        <w:rPr>
          <w:rFonts w:asciiTheme="minorHAnsi" w:hAnsiTheme="minorHAnsi" w:cstheme="minorHAnsi"/>
          <w:sz w:val="22"/>
          <w:szCs w:val="22"/>
          <w:lang w:val="es-ES"/>
        </w:rPr>
        <w:t>Me</w:t>
      </w:r>
      <w:proofErr w:type="gramEnd"/>
      <w:r w:rsidR="002D6ED0" w:rsidRPr="009148A0">
        <w:rPr>
          <w:rFonts w:asciiTheme="minorHAnsi" w:hAnsiTheme="minorHAnsi" w:cstheme="minorHAnsi"/>
          <w:sz w:val="22"/>
          <w:szCs w:val="22"/>
          <w:lang w:val="es-ES"/>
        </w:rPr>
        <w:t xml:space="preserve"> complace informarle de que la Unión Internacional de Telecomunicaciones (UIT) está organizando el </w:t>
      </w:r>
      <w:r w:rsidR="002D6ED0" w:rsidRPr="009148A0">
        <w:rPr>
          <w:rFonts w:asciiTheme="minorHAnsi" w:hAnsiTheme="minorHAnsi" w:cstheme="minorHAnsi"/>
          <w:b/>
          <w:sz w:val="22"/>
          <w:szCs w:val="22"/>
          <w:lang w:val="es-ES"/>
        </w:rPr>
        <w:t>segundo</w:t>
      </w:r>
      <w:r w:rsidR="002D6ED0" w:rsidRPr="009148A0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D6ED0" w:rsidRPr="009148A0">
        <w:rPr>
          <w:rFonts w:asciiTheme="minorHAnsi" w:hAnsiTheme="minorHAnsi" w:cstheme="minorHAnsi"/>
          <w:b/>
          <w:bCs/>
          <w:sz w:val="22"/>
          <w:szCs w:val="22"/>
          <w:lang w:val="es-ES"/>
        </w:rPr>
        <w:t>Día de UIT-T X.509</w:t>
      </w:r>
      <w:r w:rsidR="002D6ED0" w:rsidRPr="009148A0">
        <w:rPr>
          <w:rFonts w:asciiTheme="minorHAnsi" w:hAnsiTheme="minorHAnsi" w:cstheme="minorHAnsi"/>
          <w:sz w:val="22"/>
          <w:szCs w:val="22"/>
          <w:lang w:val="es-ES"/>
        </w:rPr>
        <w:t xml:space="preserve">, que se celebrará en formato virtual el </w:t>
      </w:r>
      <w:r w:rsidR="002D6ED0" w:rsidRPr="009148A0">
        <w:rPr>
          <w:rFonts w:asciiTheme="minorHAnsi" w:hAnsiTheme="minorHAnsi" w:cstheme="minorHAnsi"/>
          <w:b/>
          <w:bCs/>
          <w:sz w:val="22"/>
          <w:szCs w:val="22"/>
          <w:lang w:val="es-ES"/>
        </w:rPr>
        <w:t>9 de mayo de 2023 de las 13.00 a las 16.10 horas CEST</w:t>
      </w:r>
      <w:bookmarkEnd w:id="0"/>
      <w:r w:rsidR="00370A75" w:rsidRPr="009148A0">
        <w:rPr>
          <w:rFonts w:asciiTheme="minorHAnsi" w:hAnsiTheme="minorHAnsi"/>
          <w:b/>
          <w:bCs/>
          <w:sz w:val="22"/>
          <w:szCs w:val="22"/>
          <w:lang w:val="es-ES"/>
        </w:rPr>
        <w:t>.</w:t>
      </w:r>
      <w:r w:rsidR="00BC69AC" w:rsidRPr="009148A0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50C57F52" w14:textId="0115AC74" w:rsidR="006766A5" w:rsidRPr="009148A0" w:rsidRDefault="00AA51D4" w:rsidP="00B437F7">
      <w:pPr>
        <w:spacing w:before="0" w:after="120"/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/>
          <w:sz w:val="22"/>
          <w:szCs w:val="22"/>
          <w:lang w:val="es-ES"/>
        </w:rPr>
        <w:t>2</w:t>
      </w:r>
      <w:r w:rsidRPr="009148A0">
        <w:rPr>
          <w:rFonts w:asciiTheme="minorHAnsi" w:hAnsiTheme="minorHAnsi"/>
          <w:sz w:val="22"/>
          <w:szCs w:val="22"/>
          <w:lang w:val="es-ES"/>
        </w:rPr>
        <w:tab/>
      </w:r>
      <w:hyperlink r:id="rId11" w:history="1">
        <w:r w:rsidR="003E5B2E" w:rsidRPr="009148A0">
          <w:rPr>
            <w:rStyle w:val="Hyperlink"/>
            <w:rFonts w:asciiTheme="minorHAnsi" w:hAnsiTheme="minorHAnsi"/>
            <w:sz w:val="22"/>
            <w:szCs w:val="22"/>
            <w:lang w:val="es-ES"/>
          </w:rPr>
          <w:t>UI</w:t>
        </w:r>
        <w:r w:rsidR="006808CF" w:rsidRPr="009148A0">
          <w:rPr>
            <w:rStyle w:val="Hyperlink"/>
            <w:rFonts w:asciiTheme="minorHAnsi" w:hAnsiTheme="minorHAnsi"/>
            <w:sz w:val="22"/>
            <w:szCs w:val="22"/>
            <w:lang w:val="es-ES"/>
          </w:rPr>
          <w:t>T-T X.509</w:t>
        </w:r>
      </w:hyperlink>
      <w:r w:rsidR="006808CF" w:rsidRPr="009148A0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3E5B2E" w:rsidRPr="009148A0">
        <w:rPr>
          <w:rFonts w:asciiTheme="minorHAnsi" w:hAnsiTheme="minorHAnsi" w:cstheme="minorHAnsi"/>
          <w:sz w:val="22"/>
          <w:szCs w:val="22"/>
          <w:lang w:val="es-ES"/>
        </w:rPr>
        <w:t>es el lenguaje universal para la infraestructura de clave pública (PKI) y la infraestructura de gestión de privilegios (PMI) que sirven de base para las transacciones seguras en entornos empresa a empresa (B2B), empresa a cliente (B2C) y gobierno a ciudadano (G2C</w:t>
      </w:r>
      <w:r w:rsidR="003E5B2E" w:rsidRPr="009148A0">
        <w:rPr>
          <w:rFonts w:asciiTheme="minorHAnsi" w:hAnsiTheme="minorHAnsi"/>
          <w:sz w:val="22"/>
          <w:szCs w:val="22"/>
          <w:lang w:val="es-ES"/>
        </w:rPr>
        <w:t>)</w:t>
      </w:r>
      <w:r w:rsidR="006808CF" w:rsidRPr="009148A0">
        <w:rPr>
          <w:rFonts w:asciiTheme="minorHAnsi" w:hAnsiTheme="minorHAnsi"/>
          <w:sz w:val="22"/>
          <w:szCs w:val="22"/>
          <w:lang w:val="es-ES"/>
        </w:rPr>
        <w:t xml:space="preserve">. </w:t>
      </w:r>
    </w:p>
    <w:p w14:paraId="25EE983A" w14:textId="31C2A98D" w:rsidR="006766A5" w:rsidRPr="009148A0" w:rsidRDefault="00E10A69" w:rsidP="00B437F7">
      <w:pPr>
        <w:spacing w:before="0" w:after="120"/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/>
          <w:sz w:val="22"/>
          <w:szCs w:val="22"/>
          <w:lang w:val="es-ES"/>
        </w:rPr>
        <w:t>En tanto que norma ampliamente reconocida, UIT</w:t>
      </w:r>
      <w:r w:rsidR="006766A5" w:rsidRPr="009148A0">
        <w:rPr>
          <w:rFonts w:asciiTheme="minorHAnsi" w:hAnsiTheme="minorHAnsi"/>
          <w:sz w:val="22"/>
          <w:szCs w:val="22"/>
          <w:lang w:val="es-ES"/>
        </w:rPr>
        <w:t xml:space="preserve">-T X.509 </w:t>
      </w:r>
      <w:r w:rsidRPr="009148A0">
        <w:rPr>
          <w:rFonts w:asciiTheme="minorHAnsi" w:hAnsiTheme="minorHAnsi"/>
          <w:sz w:val="22"/>
          <w:szCs w:val="22"/>
          <w:lang w:val="es-ES"/>
        </w:rPr>
        <w:t>proporciona unos cimientos seguros y fiables para una gran variedad de industrias, desde la agricultura y la educación hasta la energía, las finanzas, el entretenimiento, la salud, la fabricación</w:t>
      </w:r>
      <w:r w:rsidR="006766A5" w:rsidRPr="009148A0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9148A0">
        <w:rPr>
          <w:rFonts w:asciiTheme="minorHAnsi" w:hAnsiTheme="minorHAnsi"/>
          <w:sz w:val="22"/>
          <w:szCs w:val="22"/>
          <w:lang w:val="es-ES"/>
        </w:rPr>
        <w:t xml:space="preserve">el </w:t>
      </w:r>
      <w:r w:rsidR="006766A5" w:rsidRPr="009148A0">
        <w:rPr>
          <w:rFonts w:asciiTheme="minorHAnsi" w:hAnsiTheme="minorHAnsi"/>
          <w:sz w:val="22"/>
          <w:szCs w:val="22"/>
          <w:lang w:val="es-ES"/>
        </w:rPr>
        <w:t>transport</w:t>
      </w:r>
      <w:r w:rsidRPr="009148A0">
        <w:rPr>
          <w:rFonts w:asciiTheme="minorHAnsi" w:hAnsiTheme="minorHAnsi"/>
          <w:sz w:val="22"/>
          <w:szCs w:val="22"/>
          <w:lang w:val="es-ES"/>
        </w:rPr>
        <w:t>e y los servicios públicos</w:t>
      </w:r>
      <w:r w:rsidR="006766A5" w:rsidRPr="009148A0">
        <w:rPr>
          <w:rFonts w:asciiTheme="minorHAnsi" w:hAnsiTheme="minorHAnsi"/>
          <w:sz w:val="22"/>
          <w:szCs w:val="22"/>
          <w:lang w:val="es-ES"/>
        </w:rPr>
        <w:t xml:space="preserve">. </w:t>
      </w:r>
      <w:r w:rsidR="001D318A" w:rsidRPr="009148A0">
        <w:rPr>
          <w:rFonts w:asciiTheme="minorHAnsi" w:hAnsiTheme="minorHAnsi"/>
          <w:sz w:val="22"/>
          <w:szCs w:val="22"/>
          <w:lang w:val="es-ES"/>
        </w:rPr>
        <w:t xml:space="preserve">En UIT-T X.509 se definen </w:t>
      </w:r>
      <w:r w:rsidRPr="009148A0">
        <w:rPr>
          <w:rFonts w:asciiTheme="minorHAnsi" w:hAnsiTheme="minorHAnsi"/>
          <w:sz w:val="22"/>
          <w:szCs w:val="22"/>
          <w:lang w:val="es-ES"/>
        </w:rPr>
        <w:t>estructuras de datos básicas</w:t>
      </w:r>
      <w:r w:rsidR="001D318A" w:rsidRPr="009148A0">
        <w:rPr>
          <w:rFonts w:asciiTheme="minorHAnsi" w:hAnsiTheme="minorHAnsi"/>
          <w:sz w:val="22"/>
          <w:szCs w:val="22"/>
          <w:lang w:val="es-ES"/>
        </w:rPr>
        <w:t xml:space="preserve"> que posibilitan la interoperabilidad sin discontinuidad y las </w:t>
      </w:r>
      <w:r w:rsidR="001D318A" w:rsidRPr="009148A0">
        <w:rPr>
          <w:rFonts w:asciiTheme="minorHAnsi" w:hAnsiTheme="minorHAnsi"/>
          <w:color w:val="000000"/>
          <w:sz w:val="22"/>
          <w:szCs w:val="22"/>
          <w:lang w:val="es-ES"/>
        </w:rPr>
        <w:t>extensiones específicas de las aplicaciones</w:t>
      </w:r>
      <w:r w:rsidR="006766A5" w:rsidRPr="009148A0">
        <w:rPr>
          <w:rFonts w:asciiTheme="minorHAnsi" w:hAnsiTheme="minorHAnsi"/>
          <w:sz w:val="22"/>
          <w:szCs w:val="22"/>
          <w:lang w:val="es-ES"/>
        </w:rPr>
        <w:t>,</w:t>
      </w:r>
      <w:r w:rsidR="008710FA" w:rsidRPr="009148A0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1D318A" w:rsidRPr="009148A0">
        <w:rPr>
          <w:rFonts w:asciiTheme="minorHAnsi" w:hAnsiTheme="minorHAnsi"/>
          <w:sz w:val="22"/>
          <w:szCs w:val="22"/>
          <w:lang w:val="es-ES"/>
        </w:rPr>
        <w:t>por lo que resulta indispensable para las empresas, los consumidores, los gobiernos y las organizaciones de todo el mundo.</w:t>
      </w:r>
      <w:r w:rsidR="00643A67" w:rsidRPr="009148A0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3B9E33BA" w14:textId="0F45B165" w:rsidR="00B437F7" w:rsidRPr="009148A0" w:rsidRDefault="001D318A" w:rsidP="00B437F7">
      <w:pPr>
        <w:spacing w:before="0" w:after="120"/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/>
          <w:sz w:val="22"/>
          <w:szCs w:val="22"/>
          <w:lang w:val="es-ES"/>
        </w:rPr>
        <w:t>UIT</w:t>
      </w:r>
      <w:r w:rsidR="006766A5" w:rsidRPr="009148A0">
        <w:rPr>
          <w:rFonts w:asciiTheme="minorHAnsi" w:hAnsiTheme="minorHAnsi"/>
          <w:sz w:val="22"/>
          <w:szCs w:val="22"/>
          <w:lang w:val="es-ES"/>
        </w:rPr>
        <w:t xml:space="preserve">-T X.509 </w:t>
      </w:r>
      <w:r w:rsidR="000A2737" w:rsidRPr="009148A0">
        <w:rPr>
          <w:rFonts w:asciiTheme="minorHAnsi" w:hAnsiTheme="minorHAnsi"/>
          <w:sz w:val="22"/>
          <w:szCs w:val="22"/>
          <w:lang w:val="es-ES"/>
        </w:rPr>
        <w:t>lleva más de 34 años empoderando a empresas y organizaciones de diferentes países para garantizar la seguridad de sus</w:t>
      </w:r>
      <w:r w:rsidR="007C5880" w:rsidRPr="009148A0">
        <w:rPr>
          <w:rFonts w:asciiTheme="minorHAnsi" w:hAnsiTheme="minorHAnsi"/>
          <w:sz w:val="22"/>
          <w:szCs w:val="22"/>
          <w:lang w:val="es-ES"/>
        </w:rPr>
        <w:t xml:space="preserve"> transacciones y comunicaciones, y la UIT desea rendir tributo al legado de </w:t>
      </w:r>
      <w:r w:rsidR="006766A5" w:rsidRPr="009148A0">
        <w:rPr>
          <w:rFonts w:asciiTheme="minorHAnsi" w:hAnsiTheme="minorHAnsi"/>
          <w:sz w:val="22"/>
          <w:szCs w:val="22"/>
          <w:lang w:val="es-ES"/>
        </w:rPr>
        <w:t>ITU</w:t>
      </w:r>
      <w:r w:rsidR="00CF625B" w:rsidRPr="009148A0">
        <w:rPr>
          <w:rFonts w:asciiTheme="minorHAnsi" w:hAnsiTheme="minorHAnsi"/>
          <w:sz w:val="22"/>
          <w:szCs w:val="22"/>
          <w:lang w:val="es-ES"/>
        </w:rPr>
        <w:noBreakHyphen/>
      </w:r>
      <w:r w:rsidR="006766A5" w:rsidRPr="009148A0">
        <w:rPr>
          <w:rFonts w:asciiTheme="minorHAnsi" w:hAnsiTheme="minorHAnsi"/>
          <w:sz w:val="22"/>
          <w:szCs w:val="22"/>
          <w:lang w:val="es-ES"/>
        </w:rPr>
        <w:t xml:space="preserve">T X.509 </w:t>
      </w:r>
      <w:r w:rsidR="007C5880" w:rsidRPr="009148A0">
        <w:rPr>
          <w:rFonts w:asciiTheme="minorHAnsi" w:hAnsiTheme="minorHAnsi"/>
          <w:sz w:val="22"/>
          <w:szCs w:val="22"/>
          <w:lang w:val="es-ES"/>
        </w:rPr>
        <w:t>celebrando sus logros</w:t>
      </w:r>
      <w:r w:rsidR="00AF01DF" w:rsidRPr="009148A0">
        <w:rPr>
          <w:rFonts w:asciiTheme="minorHAnsi" w:hAnsiTheme="minorHAnsi"/>
          <w:sz w:val="22"/>
          <w:szCs w:val="22"/>
          <w:lang w:val="es-ES"/>
        </w:rPr>
        <w:t>,</w:t>
      </w:r>
      <w:r w:rsidR="007C5880" w:rsidRPr="009148A0">
        <w:rPr>
          <w:rFonts w:asciiTheme="minorHAnsi" w:hAnsiTheme="minorHAnsi"/>
          <w:sz w:val="22"/>
          <w:szCs w:val="22"/>
          <w:lang w:val="es-ES"/>
        </w:rPr>
        <w:t xml:space="preserve"> una vez más</w:t>
      </w:r>
      <w:r w:rsidR="00AF01DF" w:rsidRPr="009148A0">
        <w:rPr>
          <w:rFonts w:asciiTheme="minorHAnsi" w:hAnsiTheme="minorHAnsi"/>
          <w:sz w:val="22"/>
          <w:szCs w:val="22"/>
          <w:lang w:val="es-ES"/>
        </w:rPr>
        <w:t>,</w:t>
      </w:r>
      <w:r w:rsidR="007C5880" w:rsidRPr="009148A0">
        <w:rPr>
          <w:rFonts w:asciiTheme="minorHAnsi" w:hAnsiTheme="minorHAnsi"/>
          <w:sz w:val="22"/>
          <w:szCs w:val="22"/>
          <w:lang w:val="es-ES"/>
        </w:rPr>
        <w:t xml:space="preserve"> en el día señalado</w:t>
      </w:r>
      <w:r w:rsidR="006808CF" w:rsidRPr="009148A0">
        <w:rPr>
          <w:rFonts w:asciiTheme="minorHAnsi" w:hAnsiTheme="minorHAnsi"/>
          <w:sz w:val="22"/>
          <w:szCs w:val="22"/>
          <w:lang w:val="es-ES"/>
        </w:rPr>
        <w:t>.</w:t>
      </w:r>
    </w:p>
    <w:p w14:paraId="6A1F4D30" w14:textId="66B585FE" w:rsidR="004450C7" w:rsidRPr="009148A0" w:rsidRDefault="00B437F7" w:rsidP="00B437F7">
      <w:pPr>
        <w:spacing w:before="0"/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/>
          <w:sz w:val="22"/>
          <w:szCs w:val="22"/>
          <w:lang w:val="es-ES"/>
        </w:rPr>
        <w:t>3</w:t>
      </w:r>
      <w:r w:rsidRPr="009148A0">
        <w:rPr>
          <w:rFonts w:asciiTheme="minorHAnsi" w:hAnsiTheme="minorHAnsi"/>
          <w:sz w:val="22"/>
          <w:szCs w:val="22"/>
          <w:lang w:val="es-ES"/>
        </w:rPr>
        <w:tab/>
      </w:r>
      <w:proofErr w:type="gramStart"/>
      <w:r w:rsidR="007C5880" w:rsidRPr="009148A0">
        <w:rPr>
          <w:rFonts w:asciiTheme="minorHAnsi" w:hAnsiTheme="minorHAnsi"/>
          <w:sz w:val="22"/>
          <w:szCs w:val="22"/>
          <w:lang w:val="es-ES"/>
        </w:rPr>
        <w:t>Algunos</w:t>
      </w:r>
      <w:proofErr w:type="gramEnd"/>
      <w:r w:rsidR="007C5880" w:rsidRPr="009148A0">
        <w:rPr>
          <w:rFonts w:asciiTheme="minorHAnsi" w:hAnsiTheme="minorHAnsi"/>
          <w:sz w:val="22"/>
          <w:szCs w:val="22"/>
          <w:lang w:val="es-ES"/>
        </w:rPr>
        <w:t xml:space="preserve"> de los objetivos de este acto son</w:t>
      </w:r>
      <w:r w:rsidR="006808CF" w:rsidRPr="009148A0">
        <w:rPr>
          <w:rFonts w:asciiTheme="minorHAnsi" w:hAnsiTheme="minorHAnsi"/>
          <w:sz w:val="22"/>
          <w:szCs w:val="22"/>
          <w:lang w:val="es-ES"/>
        </w:rPr>
        <w:t xml:space="preserve">: </w:t>
      </w:r>
    </w:p>
    <w:p w14:paraId="26293D01" w14:textId="5EA337EC" w:rsidR="00643A67" w:rsidRPr="009148A0" w:rsidRDefault="007C5880" w:rsidP="009740A6">
      <w:pPr>
        <w:pStyle w:val="NoSpacing"/>
        <w:numPr>
          <w:ilvl w:val="0"/>
          <w:numId w:val="14"/>
        </w:numPr>
        <w:spacing w:before="60"/>
        <w:rPr>
          <w:rFonts w:asciiTheme="minorHAnsi" w:hAnsiTheme="minorHAnsi" w:cs="Calibri"/>
          <w:sz w:val="22"/>
          <w:szCs w:val="22"/>
          <w:lang w:val="es-ES" w:eastAsia="en-US"/>
        </w:rPr>
      </w:pPr>
      <w:r w:rsidRPr="009148A0">
        <w:rPr>
          <w:rFonts w:asciiTheme="minorHAnsi" w:hAnsiTheme="minorHAnsi" w:cs="Calibri"/>
          <w:sz w:val="22"/>
          <w:szCs w:val="22"/>
          <w:lang w:val="es-ES" w:eastAsia="en-US"/>
        </w:rPr>
        <w:t>fomentar las aplicaciones de UIT</w:t>
      </w:r>
      <w:r w:rsidR="00643A67" w:rsidRPr="009148A0">
        <w:rPr>
          <w:rFonts w:asciiTheme="minorHAnsi" w:hAnsiTheme="minorHAnsi" w:cs="Calibri"/>
          <w:sz w:val="22"/>
          <w:szCs w:val="22"/>
          <w:lang w:val="es-ES" w:eastAsia="en-US"/>
        </w:rPr>
        <w:t>-T X.509,</w:t>
      </w:r>
    </w:p>
    <w:p w14:paraId="2379FB7A" w14:textId="12853612" w:rsidR="00643A67" w:rsidRPr="009148A0" w:rsidRDefault="007C5880" w:rsidP="009740A6">
      <w:pPr>
        <w:pStyle w:val="NoSpacing"/>
        <w:numPr>
          <w:ilvl w:val="0"/>
          <w:numId w:val="14"/>
        </w:numPr>
        <w:spacing w:before="60"/>
        <w:rPr>
          <w:rFonts w:asciiTheme="minorHAnsi" w:hAnsiTheme="minorHAnsi" w:cs="Calibri"/>
          <w:sz w:val="22"/>
          <w:szCs w:val="22"/>
          <w:lang w:val="es-ES" w:eastAsia="en-US"/>
        </w:rPr>
      </w:pPr>
      <w:r w:rsidRPr="009148A0">
        <w:rPr>
          <w:rFonts w:asciiTheme="minorHAnsi" w:hAnsiTheme="minorHAnsi" w:cs="Calibri"/>
          <w:sz w:val="22"/>
          <w:szCs w:val="22"/>
          <w:lang w:val="es-ES" w:eastAsia="en-US"/>
        </w:rPr>
        <w:t xml:space="preserve">revisar el progreso innovador de las actividades sobre </w:t>
      </w:r>
      <w:r w:rsidR="00643A67" w:rsidRPr="009148A0">
        <w:rPr>
          <w:rFonts w:asciiTheme="minorHAnsi" w:hAnsiTheme="minorHAnsi" w:cs="Calibri"/>
          <w:sz w:val="22"/>
          <w:szCs w:val="22"/>
          <w:lang w:val="es-ES" w:eastAsia="en-US"/>
        </w:rPr>
        <w:t xml:space="preserve">X.509 </w:t>
      </w:r>
      <w:r w:rsidRPr="009148A0">
        <w:rPr>
          <w:rFonts w:asciiTheme="minorHAnsi" w:hAnsiTheme="minorHAnsi" w:cs="Calibri"/>
          <w:sz w:val="22"/>
          <w:szCs w:val="22"/>
          <w:lang w:val="es-ES" w:eastAsia="en-US"/>
        </w:rPr>
        <w:t>realizadas por organizaciones de primer nivel de todo el mundo, con un análisis del impacto de las tecnologías de la información cuántica en UIT</w:t>
      </w:r>
      <w:r w:rsidR="00272963" w:rsidRPr="009148A0">
        <w:rPr>
          <w:rFonts w:asciiTheme="minorHAnsi" w:hAnsiTheme="minorHAnsi" w:cs="Calibri"/>
          <w:sz w:val="22"/>
          <w:szCs w:val="22"/>
          <w:lang w:val="es-ES" w:eastAsia="en-US"/>
        </w:rPr>
        <w:t>-T X.509,</w:t>
      </w:r>
    </w:p>
    <w:p w14:paraId="1A0CA7D5" w14:textId="2D89E5A7" w:rsidR="00643A67" w:rsidRPr="009148A0" w:rsidRDefault="00272963" w:rsidP="009740A6">
      <w:pPr>
        <w:pStyle w:val="NoSpacing"/>
        <w:numPr>
          <w:ilvl w:val="0"/>
          <w:numId w:val="14"/>
        </w:numPr>
        <w:spacing w:before="60"/>
        <w:rPr>
          <w:rFonts w:asciiTheme="minorHAnsi" w:hAnsiTheme="minorHAnsi" w:cs="Calibri"/>
          <w:sz w:val="22"/>
          <w:szCs w:val="22"/>
          <w:lang w:val="es-ES" w:eastAsia="en-US"/>
        </w:rPr>
      </w:pPr>
      <w:r w:rsidRPr="009148A0">
        <w:rPr>
          <w:rFonts w:asciiTheme="minorHAnsi" w:hAnsiTheme="minorHAnsi" w:cs="Calibri"/>
          <w:sz w:val="22"/>
          <w:szCs w:val="22"/>
          <w:lang w:val="es-ES" w:eastAsia="en-US"/>
        </w:rPr>
        <w:t xml:space="preserve">identificar la orientación </w:t>
      </w:r>
      <w:r w:rsidR="00697C5D" w:rsidRPr="009148A0">
        <w:rPr>
          <w:rFonts w:asciiTheme="minorHAnsi" w:hAnsiTheme="minorHAnsi" w:cs="Calibri"/>
          <w:sz w:val="22"/>
          <w:szCs w:val="22"/>
          <w:lang w:val="es-ES" w:eastAsia="en-US"/>
        </w:rPr>
        <w:t>futura</w:t>
      </w:r>
      <w:r w:rsidRPr="009148A0">
        <w:rPr>
          <w:rFonts w:asciiTheme="minorHAnsi" w:hAnsiTheme="minorHAnsi" w:cs="Calibri"/>
          <w:sz w:val="22"/>
          <w:szCs w:val="22"/>
          <w:lang w:val="es-ES" w:eastAsia="en-US"/>
        </w:rPr>
        <w:t xml:space="preserve"> de UIT</w:t>
      </w:r>
      <w:r w:rsidR="00327F04" w:rsidRPr="009148A0">
        <w:rPr>
          <w:rFonts w:asciiTheme="minorHAnsi" w:hAnsiTheme="minorHAnsi" w:cs="Calibri"/>
          <w:sz w:val="22"/>
          <w:szCs w:val="22"/>
          <w:lang w:val="es-ES" w:eastAsia="en-US"/>
        </w:rPr>
        <w:t xml:space="preserve">-T </w:t>
      </w:r>
      <w:r w:rsidR="00643A67" w:rsidRPr="009148A0">
        <w:rPr>
          <w:rFonts w:asciiTheme="minorHAnsi" w:hAnsiTheme="minorHAnsi" w:cs="Calibri"/>
          <w:sz w:val="22"/>
          <w:szCs w:val="22"/>
          <w:lang w:val="es-ES" w:eastAsia="en-US"/>
        </w:rPr>
        <w:t>X.509</w:t>
      </w:r>
      <w:r w:rsidRPr="009148A0">
        <w:rPr>
          <w:rFonts w:asciiTheme="minorHAnsi" w:hAnsiTheme="minorHAnsi" w:cs="Calibri"/>
          <w:sz w:val="22"/>
          <w:szCs w:val="22"/>
          <w:lang w:val="es-ES" w:eastAsia="en-US"/>
        </w:rPr>
        <w:t>, entre otras cosas en relación con la gestión de la confianza, la PKI descentralizada y las identidad</w:t>
      </w:r>
      <w:r w:rsidR="00697C5D" w:rsidRPr="009148A0">
        <w:rPr>
          <w:rFonts w:asciiTheme="minorHAnsi" w:hAnsiTheme="minorHAnsi" w:cs="Calibri"/>
          <w:sz w:val="22"/>
          <w:szCs w:val="22"/>
          <w:lang w:val="es-ES" w:eastAsia="en-US"/>
        </w:rPr>
        <w:t>e</w:t>
      </w:r>
      <w:r w:rsidRPr="009148A0">
        <w:rPr>
          <w:rFonts w:asciiTheme="minorHAnsi" w:hAnsiTheme="minorHAnsi" w:cs="Calibri"/>
          <w:sz w:val="22"/>
          <w:szCs w:val="22"/>
          <w:lang w:val="es-ES" w:eastAsia="en-US"/>
        </w:rPr>
        <w:t>s descentralizadas basadas en tecnologías de libro mayor distribuido, e</w:t>
      </w:r>
    </w:p>
    <w:p w14:paraId="310FA19B" w14:textId="1B41635A" w:rsidR="00601ECE" w:rsidRPr="009148A0" w:rsidRDefault="00272963" w:rsidP="009740A6">
      <w:pPr>
        <w:pStyle w:val="NoSpacing"/>
        <w:numPr>
          <w:ilvl w:val="0"/>
          <w:numId w:val="14"/>
        </w:numPr>
        <w:spacing w:before="60"/>
        <w:rPr>
          <w:rFonts w:asciiTheme="minorHAnsi" w:hAnsiTheme="minorHAnsi" w:cs="Calibri"/>
          <w:sz w:val="22"/>
          <w:szCs w:val="22"/>
          <w:lang w:val="es-ES" w:eastAsia="en-US"/>
        </w:rPr>
      </w:pPr>
      <w:r w:rsidRPr="009148A0">
        <w:rPr>
          <w:rFonts w:asciiTheme="minorHAnsi" w:hAnsiTheme="minorHAnsi" w:cs="Calibri"/>
          <w:sz w:val="22"/>
          <w:szCs w:val="22"/>
          <w:lang w:val="es-ES" w:eastAsia="en-US"/>
        </w:rPr>
        <w:t>identificar la posible orientación de la evolución futura de la norma UIT-T X.509 y considerar cómo los organismos de normalización pertinentes pueden intensificar su colaboración acerca del futuro trabajo sobre UIT-T X.509</w:t>
      </w:r>
      <w:r w:rsidR="00601ECE" w:rsidRPr="009148A0">
        <w:rPr>
          <w:rFonts w:asciiTheme="minorHAnsi" w:hAnsiTheme="minorHAnsi" w:cs="Calibri"/>
          <w:sz w:val="22"/>
          <w:szCs w:val="22"/>
          <w:lang w:val="es-ES" w:eastAsia="en-US"/>
        </w:rPr>
        <w:t xml:space="preserve">. </w:t>
      </w:r>
    </w:p>
    <w:p w14:paraId="3D9C5257" w14:textId="1059B34D" w:rsidR="00601ECE" w:rsidRPr="009148A0" w:rsidRDefault="00427C71" w:rsidP="009740A6">
      <w:pPr>
        <w:tabs>
          <w:tab w:val="left" w:pos="900"/>
        </w:tabs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/>
          <w:sz w:val="22"/>
          <w:szCs w:val="22"/>
          <w:lang w:val="es-ES"/>
        </w:rPr>
        <w:lastRenderedPageBreak/>
        <w:t>4</w:t>
      </w:r>
      <w:r w:rsidR="00071DEC" w:rsidRPr="009148A0">
        <w:rPr>
          <w:rFonts w:asciiTheme="minorHAnsi" w:hAnsiTheme="minorHAnsi"/>
          <w:sz w:val="22"/>
          <w:szCs w:val="22"/>
          <w:lang w:val="es-ES"/>
        </w:rPr>
        <w:tab/>
      </w:r>
      <w:proofErr w:type="gramStart"/>
      <w:r w:rsidR="00252052" w:rsidRPr="009148A0">
        <w:rPr>
          <w:rFonts w:asciiTheme="minorHAnsi" w:hAnsiTheme="minorHAnsi" w:cstheme="minorHAnsi"/>
          <w:sz w:val="22"/>
          <w:szCs w:val="22"/>
          <w:lang w:val="es-ES"/>
        </w:rPr>
        <w:t>El</w:t>
      </w:r>
      <w:proofErr w:type="gramEnd"/>
      <w:r w:rsidR="00252052" w:rsidRPr="009148A0">
        <w:rPr>
          <w:rFonts w:asciiTheme="minorHAnsi" w:hAnsiTheme="minorHAnsi" w:cstheme="minorHAnsi"/>
          <w:sz w:val="22"/>
          <w:szCs w:val="22"/>
          <w:lang w:val="es-ES"/>
        </w:rPr>
        <w:t xml:space="preserve"> evento se celebrará en inglés únicamente</w:t>
      </w:r>
      <w:r w:rsidRPr="009148A0">
        <w:rPr>
          <w:rFonts w:asciiTheme="minorHAnsi" w:hAnsiTheme="minorHAnsi"/>
          <w:sz w:val="22"/>
          <w:szCs w:val="22"/>
          <w:lang w:val="es-ES"/>
        </w:rPr>
        <w:t>.</w:t>
      </w:r>
    </w:p>
    <w:p w14:paraId="270F1493" w14:textId="2F98974A" w:rsidR="00A865D6" w:rsidRPr="009148A0" w:rsidRDefault="0080286C" w:rsidP="009740A6">
      <w:pPr>
        <w:tabs>
          <w:tab w:val="left" w:pos="900"/>
        </w:tabs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/>
          <w:sz w:val="22"/>
          <w:szCs w:val="22"/>
          <w:lang w:val="es-ES"/>
        </w:rPr>
        <w:t>5</w:t>
      </w:r>
      <w:r w:rsidR="00071DEC" w:rsidRPr="009148A0">
        <w:rPr>
          <w:rFonts w:asciiTheme="minorHAnsi" w:hAnsiTheme="minorHAnsi"/>
          <w:sz w:val="22"/>
          <w:szCs w:val="22"/>
          <w:lang w:val="es-ES"/>
        </w:rPr>
        <w:tab/>
      </w:r>
      <w:proofErr w:type="gramStart"/>
      <w:r w:rsidR="00252052" w:rsidRPr="009148A0">
        <w:rPr>
          <w:rFonts w:asciiTheme="minorHAnsi" w:hAnsiTheme="minorHAnsi" w:cstheme="minorHAnsi"/>
          <w:sz w:val="22"/>
          <w:szCs w:val="22"/>
          <w:lang w:val="es-ES"/>
        </w:rPr>
        <w:t>Toda</w:t>
      </w:r>
      <w:proofErr w:type="gramEnd"/>
      <w:r w:rsidR="00252052" w:rsidRPr="009148A0">
        <w:rPr>
          <w:rFonts w:asciiTheme="minorHAnsi" w:hAnsiTheme="minorHAnsi" w:cstheme="minorHAnsi"/>
          <w:sz w:val="22"/>
          <w:szCs w:val="22"/>
          <w:lang w:val="es-ES"/>
        </w:rPr>
        <w:t xml:space="preserve"> la información pertinente relativa al evento (proyecto de programa, ponentes, enlace de inscripción, detalles de la conexión a distancia) estará disponible en el sitio web del evento</w:t>
      </w:r>
      <w:r w:rsidR="00477EF3" w:rsidRPr="009148A0">
        <w:rPr>
          <w:rFonts w:asciiTheme="minorHAnsi" w:hAnsiTheme="minorHAnsi"/>
          <w:sz w:val="22"/>
          <w:szCs w:val="22"/>
          <w:lang w:val="es-ES"/>
        </w:rPr>
        <w:t>:</w:t>
      </w:r>
      <w:r w:rsidR="00A865D6" w:rsidRPr="009148A0">
        <w:rPr>
          <w:rFonts w:asciiTheme="minorHAnsi" w:hAnsiTheme="minorHAnsi"/>
          <w:sz w:val="22"/>
          <w:szCs w:val="22"/>
          <w:lang w:val="es-ES"/>
        </w:rPr>
        <w:t xml:space="preserve"> </w:t>
      </w:r>
      <w:hyperlink r:id="rId12" w:history="1">
        <w:r w:rsidR="00A865D6" w:rsidRPr="009148A0">
          <w:rPr>
            <w:rStyle w:val="Hyperlink"/>
            <w:rFonts w:asciiTheme="minorHAnsi" w:hAnsiTheme="minorHAnsi"/>
            <w:sz w:val="22"/>
            <w:szCs w:val="22"/>
            <w:lang w:val="es-ES"/>
          </w:rPr>
          <w:t>https://www.itu.int/en/ITU-T/Workshops-and-Seminars/2023/0509/Pages/default.aspx</w:t>
        </w:r>
      </w:hyperlink>
      <w:r w:rsidR="00A865D6" w:rsidRPr="009148A0">
        <w:rPr>
          <w:rFonts w:asciiTheme="minorHAnsi" w:hAnsiTheme="minorHAnsi"/>
          <w:sz w:val="22"/>
          <w:szCs w:val="22"/>
          <w:lang w:val="es-ES"/>
        </w:rPr>
        <w:t>.</w:t>
      </w:r>
    </w:p>
    <w:p w14:paraId="124B343A" w14:textId="4B44336B" w:rsidR="004450C7" w:rsidRPr="009148A0" w:rsidRDefault="00252052" w:rsidP="009740A6">
      <w:pPr>
        <w:tabs>
          <w:tab w:val="left" w:pos="900"/>
        </w:tabs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 w:cstheme="minorHAnsi"/>
          <w:sz w:val="22"/>
          <w:szCs w:val="22"/>
          <w:lang w:val="es-ES"/>
        </w:rPr>
        <w:t>La página web del evento se actualizará periódicamente a medida que se disponga de información nueva o modificada. Se recomienda a los participantes que consulten periódicamente el sitio web para conocer las últimas actualizaciones</w:t>
      </w:r>
      <w:r w:rsidR="00654C5F" w:rsidRPr="009148A0">
        <w:rPr>
          <w:rFonts w:asciiTheme="minorHAnsi" w:hAnsiTheme="minorHAnsi"/>
          <w:sz w:val="22"/>
          <w:szCs w:val="22"/>
          <w:lang w:val="es-ES"/>
        </w:rPr>
        <w:t>.</w:t>
      </w:r>
    </w:p>
    <w:p w14:paraId="26481B33" w14:textId="1BFE6C77" w:rsidR="009740A6" w:rsidRPr="009148A0" w:rsidRDefault="00AD533D" w:rsidP="009740A6">
      <w:pPr>
        <w:tabs>
          <w:tab w:val="left" w:pos="900"/>
        </w:tabs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/>
          <w:sz w:val="22"/>
          <w:szCs w:val="22"/>
          <w:lang w:val="es-ES"/>
        </w:rPr>
        <w:t>6</w:t>
      </w:r>
      <w:r w:rsidR="00071DEC" w:rsidRPr="009148A0">
        <w:rPr>
          <w:rFonts w:asciiTheme="minorHAnsi" w:hAnsiTheme="minorHAnsi"/>
          <w:sz w:val="22"/>
          <w:szCs w:val="22"/>
          <w:lang w:val="es-ES"/>
        </w:rPr>
        <w:tab/>
      </w:r>
      <w:proofErr w:type="gramStart"/>
      <w:r w:rsidR="00252052" w:rsidRPr="009148A0">
        <w:rPr>
          <w:rFonts w:asciiTheme="minorHAnsi" w:hAnsiTheme="minorHAnsi" w:cstheme="minorHAnsi"/>
          <w:sz w:val="22"/>
          <w:szCs w:val="22"/>
          <w:lang w:val="es-ES"/>
        </w:rPr>
        <w:t>Rogamos</w:t>
      </w:r>
      <w:proofErr w:type="gramEnd"/>
      <w:r w:rsidR="00252052" w:rsidRPr="009148A0">
        <w:rPr>
          <w:rFonts w:asciiTheme="minorHAnsi" w:hAnsiTheme="minorHAnsi" w:cstheme="minorHAnsi"/>
          <w:sz w:val="22"/>
          <w:szCs w:val="22"/>
          <w:lang w:val="es-ES"/>
        </w:rPr>
        <w:t xml:space="preserve"> tenga presente que la inscripción es </w:t>
      </w:r>
      <w:r w:rsidR="00252052" w:rsidRPr="009148A0">
        <w:rPr>
          <w:rFonts w:asciiTheme="minorHAnsi" w:hAnsiTheme="minorHAnsi" w:cstheme="minorHAnsi"/>
          <w:b/>
          <w:sz w:val="22"/>
          <w:szCs w:val="22"/>
          <w:lang w:val="es-ES"/>
        </w:rPr>
        <w:t>obligatoria</w:t>
      </w:r>
      <w:r w:rsidR="00252052" w:rsidRPr="009148A0">
        <w:rPr>
          <w:rFonts w:asciiTheme="minorHAnsi" w:hAnsiTheme="minorHAnsi" w:cstheme="minorHAnsi"/>
          <w:sz w:val="22"/>
          <w:szCs w:val="22"/>
          <w:lang w:val="es-ES"/>
        </w:rPr>
        <w:t xml:space="preserve"> para este evento. Puede acceder a ella aquí</w:t>
      </w:r>
      <w:r w:rsidR="009740A6" w:rsidRPr="009148A0">
        <w:rPr>
          <w:rFonts w:asciiTheme="minorHAnsi" w:hAnsiTheme="minorHAnsi"/>
          <w:sz w:val="22"/>
          <w:szCs w:val="22"/>
          <w:lang w:val="es-ES"/>
        </w:rPr>
        <w:t xml:space="preserve">: </w:t>
      </w:r>
      <w:hyperlink r:id="rId13" w:history="1">
        <w:r w:rsidR="009740A6" w:rsidRPr="009148A0">
          <w:rPr>
            <w:rStyle w:val="Hyperlink"/>
            <w:rFonts w:asciiTheme="minorHAnsi" w:hAnsiTheme="minorHAnsi"/>
            <w:sz w:val="22"/>
            <w:szCs w:val="22"/>
            <w:lang w:val="es-ES"/>
          </w:rPr>
          <w:t>https://www.itu.int/net/CRM/js/sr/C-00012434</w:t>
        </w:r>
      </w:hyperlink>
      <w:r w:rsidR="00643A67" w:rsidRPr="009148A0">
        <w:rPr>
          <w:rFonts w:asciiTheme="minorHAnsi" w:hAnsiTheme="minorHAnsi"/>
          <w:sz w:val="22"/>
          <w:szCs w:val="22"/>
          <w:lang w:val="es-ES"/>
        </w:rPr>
        <w:t>.</w:t>
      </w:r>
    </w:p>
    <w:p w14:paraId="71E31DA9" w14:textId="0FF8A9DC" w:rsidR="00AD533D" w:rsidRPr="009148A0" w:rsidRDefault="00AD533D" w:rsidP="009740A6">
      <w:pPr>
        <w:tabs>
          <w:tab w:val="left" w:pos="900"/>
        </w:tabs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/>
          <w:sz w:val="22"/>
          <w:szCs w:val="22"/>
          <w:lang w:val="es-ES"/>
        </w:rPr>
        <w:t>7</w:t>
      </w:r>
      <w:r w:rsidRPr="009148A0">
        <w:rPr>
          <w:rFonts w:asciiTheme="minorHAnsi" w:hAnsiTheme="minorHAnsi"/>
          <w:sz w:val="22"/>
          <w:szCs w:val="22"/>
          <w:lang w:val="es-ES"/>
        </w:rPr>
        <w:tab/>
      </w:r>
      <w:proofErr w:type="gramStart"/>
      <w:r w:rsidR="00237DCA" w:rsidRPr="009148A0">
        <w:rPr>
          <w:rFonts w:asciiTheme="minorHAnsi" w:hAnsiTheme="minorHAnsi" w:cstheme="minorHAnsi"/>
          <w:sz w:val="22"/>
          <w:szCs w:val="22"/>
          <w:lang w:val="es-ES"/>
        </w:rPr>
        <w:t>La</w:t>
      </w:r>
      <w:proofErr w:type="gramEnd"/>
      <w:r w:rsidR="00237DCA" w:rsidRPr="009148A0">
        <w:rPr>
          <w:rFonts w:asciiTheme="minorHAnsi" w:hAnsiTheme="minorHAnsi" w:cstheme="minorHAnsi"/>
          <w:sz w:val="22"/>
          <w:szCs w:val="22"/>
          <w:lang w:val="es-ES"/>
        </w:rPr>
        <w:t xml:space="preserve"> participación es gratuita y está abierta a todas las partes interesadas, en particular a Estados Miembros, Miembros de Sector, Asociados e Instituciones Académicas de la UIT, así como cualquier persona de un país que sea miembro de la UIT y desee contribuir a los trabajos</w:t>
      </w:r>
      <w:r w:rsidRPr="009148A0">
        <w:rPr>
          <w:rFonts w:asciiTheme="minorHAnsi" w:hAnsiTheme="minorHAnsi"/>
          <w:sz w:val="22"/>
          <w:szCs w:val="22"/>
          <w:lang w:val="es-ES"/>
        </w:rPr>
        <w:t>.</w:t>
      </w:r>
    </w:p>
    <w:p w14:paraId="3B57AD03" w14:textId="48C12542" w:rsidR="00FA46A0" w:rsidRPr="009148A0" w:rsidRDefault="00237DCA" w:rsidP="00AF00F3">
      <w:pPr>
        <w:spacing w:before="240"/>
        <w:rPr>
          <w:rFonts w:asciiTheme="minorHAnsi" w:hAnsiTheme="minorHAnsi"/>
          <w:sz w:val="22"/>
          <w:szCs w:val="22"/>
          <w:lang w:val="es-ES"/>
        </w:rPr>
      </w:pPr>
      <w:r w:rsidRPr="009148A0">
        <w:rPr>
          <w:rFonts w:asciiTheme="minorHAnsi" w:hAnsiTheme="minorHAnsi"/>
          <w:sz w:val="22"/>
          <w:szCs w:val="22"/>
          <w:lang w:val="es-ES"/>
        </w:rPr>
        <w:t>Atentamente</w:t>
      </w:r>
      <w:r w:rsidR="00B61012" w:rsidRPr="009148A0">
        <w:rPr>
          <w:rFonts w:asciiTheme="minorHAnsi" w:hAnsiTheme="minorHAnsi"/>
          <w:sz w:val="22"/>
          <w:szCs w:val="22"/>
          <w:lang w:val="es-ES"/>
        </w:rPr>
        <w:t>,</w:t>
      </w:r>
    </w:p>
    <w:p w14:paraId="2D952C13" w14:textId="4C1FEA47" w:rsidR="00B12F13" w:rsidRPr="009148A0" w:rsidRDefault="00AE2E42" w:rsidP="00AF00F3">
      <w:pPr>
        <w:spacing w:before="960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7F6B8E50" wp14:editId="48D33F0F">
            <wp:simplePos x="0" y="0"/>
            <wp:positionH relativeFrom="column">
              <wp:posOffset>635</wp:posOffset>
            </wp:positionH>
            <wp:positionV relativeFrom="paragraph">
              <wp:posOffset>198755</wp:posOffset>
            </wp:positionV>
            <wp:extent cx="669710" cy="301625"/>
            <wp:effectExtent l="0" t="0" r="0" b="317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1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7C9" w:rsidRPr="009148A0">
        <w:rPr>
          <w:rFonts w:asciiTheme="minorHAnsi" w:hAnsiTheme="minorHAnsi"/>
          <w:sz w:val="22"/>
          <w:szCs w:val="22"/>
          <w:lang w:val="es-ES"/>
        </w:rPr>
        <w:t>Seizo Onoe</w:t>
      </w:r>
      <w:r w:rsidR="00B61012" w:rsidRPr="009148A0">
        <w:rPr>
          <w:rFonts w:asciiTheme="minorHAnsi" w:hAnsiTheme="minorHAnsi"/>
          <w:sz w:val="22"/>
          <w:szCs w:val="22"/>
          <w:lang w:val="es-ES"/>
        </w:rPr>
        <w:br/>
      </w:r>
      <w:proofErr w:type="gramStart"/>
      <w:r w:rsidR="008E4303" w:rsidRPr="009148A0">
        <w:rPr>
          <w:rFonts w:asciiTheme="minorHAnsi" w:hAnsiTheme="minorHAnsi" w:cstheme="minorHAnsi"/>
          <w:sz w:val="22"/>
          <w:szCs w:val="22"/>
          <w:lang w:val="es-ES"/>
        </w:rPr>
        <w:t>Director</w:t>
      </w:r>
      <w:proofErr w:type="gramEnd"/>
      <w:r w:rsidR="008E4303" w:rsidRPr="009148A0">
        <w:rPr>
          <w:rFonts w:asciiTheme="minorHAnsi" w:hAnsiTheme="minorHAnsi" w:cstheme="minorHAnsi"/>
          <w:sz w:val="22"/>
          <w:szCs w:val="22"/>
          <w:lang w:val="es-ES"/>
        </w:rPr>
        <w:t xml:space="preserve"> de la Oficina de Normalización</w:t>
      </w:r>
      <w:r w:rsidR="008E4303" w:rsidRPr="009148A0">
        <w:rPr>
          <w:rFonts w:asciiTheme="minorHAnsi" w:hAnsiTheme="minorHAnsi" w:cstheme="minorHAnsi"/>
          <w:sz w:val="22"/>
          <w:szCs w:val="22"/>
          <w:lang w:val="es-ES"/>
        </w:rPr>
        <w:br/>
        <w:t>de las Telecomunicaciones</w:t>
      </w:r>
    </w:p>
    <w:p w14:paraId="25EEE07A" w14:textId="6FAFB51E" w:rsidR="009148A0" w:rsidRDefault="009148A0" w:rsidP="00E43A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2"/>
          <w:szCs w:val="22"/>
          <w:lang w:val="es-ES"/>
        </w:rPr>
      </w:pPr>
    </w:p>
    <w:p w14:paraId="42C42AE5" w14:textId="3E7926C3" w:rsidR="00D62702" w:rsidRPr="009148A0" w:rsidRDefault="00D62702" w:rsidP="009148A0">
      <w:pPr>
        <w:tabs>
          <w:tab w:val="clear" w:pos="794"/>
          <w:tab w:val="clear" w:pos="1191"/>
          <w:tab w:val="clear" w:pos="1588"/>
          <w:tab w:val="clear" w:pos="1985"/>
          <w:tab w:val="left" w:pos="3288"/>
        </w:tabs>
        <w:rPr>
          <w:rFonts w:asciiTheme="minorHAnsi" w:hAnsiTheme="minorHAnsi"/>
          <w:sz w:val="22"/>
          <w:szCs w:val="22"/>
          <w:lang w:val="es-ES"/>
        </w:rPr>
      </w:pPr>
    </w:p>
    <w:sectPr w:rsidR="00D62702" w:rsidRPr="009148A0" w:rsidSect="00FA46A0">
      <w:head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EDC4" w14:textId="77777777" w:rsidR="00AA7390" w:rsidRDefault="00AA7390">
      <w:r>
        <w:separator/>
      </w:r>
    </w:p>
  </w:endnote>
  <w:endnote w:type="continuationSeparator" w:id="0">
    <w:p w14:paraId="392383FF" w14:textId="77777777" w:rsidR="00AA7390" w:rsidRDefault="00AA7390">
      <w:r>
        <w:continuationSeparator/>
      </w:r>
    </w:p>
  </w:endnote>
  <w:endnote w:type="continuationNotice" w:id="1">
    <w:p w14:paraId="6231CA2A" w14:textId="77777777" w:rsidR="00AA7390" w:rsidRDefault="00AA73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60B02FAE" w:rsidR="00FA46A0" w:rsidRPr="006A0A71" w:rsidRDefault="006A0A71" w:rsidP="00854BCC">
    <w:pPr>
      <w:tabs>
        <w:tab w:val="left" w:pos="5954"/>
        <w:tab w:val="right" w:pos="9639"/>
      </w:tabs>
      <w:jc w:val="center"/>
      <w:rPr>
        <w:caps/>
        <w:noProof/>
        <w:sz w:val="16"/>
        <w:lang w:val="es-ES"/>
      </w:rPr>
    </w:pPr>
    <w:r w:rsidRPr="00FB33BE">
      <w:rPr>
        <w:rFonts w:cs="Calibri"/>
        <w:noProof/>
        <w:color w:val="0070C0"/>
        <w:sz w:val="18"/>
        <w:szCs w:val="18"/>
        <w:lang w:val="es-ES"/>
      </w:rPr>
      <w:t xml:space="preserve">Unión </w:t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>Interna</w:t>
    </w:r>
    <w:r w:rsidRPr="00FB33BE">
      <w:rPr>
        <w:rFonts w:cs="Calibri"/>
        <w:noProof/>
        <w:color w:val="0070C0"/>
        <w:sz w:val="18"/>
        <w:szCs w:val="18"/>
        <w:lang w:val="es-ES"/>
      </w:rPr>
      <w:t>c</w:t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 xml:space="preserve">ional </w:t>
    </w:r>
    <w:r w:rsidRPr="00FB33BE">
      <w:rPr>
        <w:rFonts w:cs="Calibri"/>
        <w:noProof/>
        <w:color w:val="0070C0"/>
        <w:sz w:val="18"/>
        <w:szCs w:val="18"/>
        <w:lang w:val="es-ES"/>
      </w:rPr>
      <w:t xml:space="preserve">de </w:t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>Telecomunica</w:t>
    </w:r>
    <w:r w:rsidRPr="00FB33BE">
      <w:rPr>
        <w:rFonts w:cs="Calibri"/>
        <w:noProof/>
        <w:color w:val="0070C0"/>
        <w:sz w:val="18"/>
        <w:szCs w:val="18"/>
        <w:lang w:val="es-ES"/>
      </w:rPr>
      <w:t>c</w:t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>ion</w:t>
    </w:r>
    <w:r w:rsidRPr="00FB33BE">
      <w:rPr>
        <w:rFonts w:cs="Calibri"/>
        <w:noProof/>
        <w:color w:val="0070C0"/>
        <w:sz w:val="18"/>
        <w:szCs w:val="18"/>
        <w:lang w:val="es-ES"/>
      </w:rPr>
      <w:t>es</w:t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 xml:space="preserve"> • Place des Nations </w:t>
    </w:r>
    <w:r w:rsidR="00854BCC" w:rsidRPr="00FB33BE">
      <w:rPr>
        <w:rFonts w:cs="Calibri"/>
        <w:caps/>
        <w:noProof/>
        <w:color w:val="0070C0"/>
        <w:sz w:val="18"/>
        <w:szCs w:val="18"/>
        <w:lang w:val="es-ES"/>
      </w:rPr>
      <w:t>•</w:t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 xml:space="preserve"> CH</w:t>
    </w:r>
    <w:r w:rsidR="00854BCC" w:rsidRPr="00FB33BE">
      <w:rPr>
        <w:rFonts w:cs="Calibri"/>
        <w:noProof/>
        <w:color w:val="0070C0"/>
        <w:sz w:val="18"/>
        <w:szCs w:val="18"/>
        <w:lang w:val="es-ES"/>
      </w:rPr>
      <w:noBreakHyphen/>
      <w:t xml:space="preserve">1211 </w:t>
    </w:r>
    <w:r w:rsidRPr="00FB33BE">
      <w:rPr>
        <w:rFonts w:cs="Calibri"/>
        <w:noProof/>
        <w:color w:val="0070C0"/>
        <w:sz w:val="18"/>
        <w:szCs w:val="18"/>
        <w:lang w:val="es-ES"/>
      </w:rPr>
      <w:t xml:space="preserve">Ginebra </w:t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 xml:space="preserve">20 </w:t>
    </w:r>
    <w:r w:rsidR="00854BCC" w:rsidRPr="00FB33BE">
      <w:rPr>
        <w:rFonts w:cs="Calibri"/>
        <w:caps/>
        <w:noProof/>
        <w:color w:val="0070C0"/>
        <w:sz w:val="18"/>
        <w:szCs w:val="18"/>
        <w:lang w:val="es-ES"/>
      </w:rPr>
      <w:t>•</w:t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 xml:space="preserve"> </w:t>
    </w:r>
    <w:r w:rsidRPr="00FB33BE">
      <w:rPr>
        <w:rFonts w:cs="Calibri"/>
        <w:noProof/>
        <w:color w:val="0070C0"/>
        <w:sz w:val="18"/>
        <w:szCs w:val="18"/>
        <w:lang w:val="es-ES"/>
      </w:rPr>
      <w:t>Suiza</w:t>
    </w:r>
    <w:r w:rsidR="00854BCC" w:rsidRPr="00FB33BE">
      <w:rPr>
        <w:rFonts w:cs="Calibri"/>
        <w:caps/>
        <w:noProof/>
        <w:color w:val="0070C0"/>
        <w:sz w:val="18"/>
        <w:szCs w:val="18"/>
        <w:lang w:val="es-ES"/>
      </w:rPr>
      <w:br/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>Tel</w:t>
    </w:r>
    <w:r w:rsidRPr="00FB33BE">
      <w:rPr>
        <w:rFonts w:cs="Calibri"/>
        <w:noProof/>
        <w:color w:val="0070C0"/>
        <w:sz w:val="18"/>
        <w:szCs w:val="18"/>
        <w:lang w:val="es-ES"/>
      </w:rPr>
      <w:t>.</w:t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>:</w:t>
    </w:r>
    <w:r w:rsidR="00854BCC" w:rsidRPr="00FB33BE">
      <w:rPr>
        <w:rFonts w:cs="Calibri"/>
        <w:caps/>
        <w:noProof/>
        <w:color w:val="0070C0"/>
        <w:sz w:val="18"/>
        <w:szCs w:val="18"/>
        <w:lang w:val="es-ES"/>
      </w:rPr>
      <w:t xml:space="preserve"> +41 22 730 5111 • </w:t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>Fax</w:t>
    </w:r>
    <w:r w:rsidR="00854BCC" w:rsidRPr="00FB33BE">
      <w:rPr>
        <w:rFonts w:cs="Calibri"/>
        <w:caps/>
        <w:noProof/>
        <w:color w:val="0070C0"/>
        <w:sz w:val="18"/>
        <w:szCs w:val="18"/>
        <w:lang w:val="es-ES"/>
      </w:rPr>
      <w:t xml:space="preserve">: +41 22 733 7256 • </w:t>
    </w:r>
    <w:r w:rsidRPr="00FB33BE">
      <w:rPr>
        <w:rFonts w:cs="Calibri"/>
        <w:noProof/>
        <w:color w:val="0070C0"/>
        <w:sz w:val="18"/>
        <w:szCs w:val="18"/>
        <w:lang w:val="es-ES"/>
      </w:rPr>
      <w:t>Correo-e</w:t>
    </w:r>
    <w:r w:rsidR="00854BCC" w:rsidRPr="00FB33BE">
      <w:rPr>
        <w:rFonts w:cs="Calibri"/>
        <w:caps/>
        <w:noProof/>
        <w:color w:val="0070C0"/>
        <w:sz w:val="18"/>
        <w:szCs w:val="18"/>
        <w:lang w:val="es-ES"/>
      </w:rPr>
      <w:t xml:space="preserve">: </w:t>
    </w:r>
    <w:r w:rsidR="00AE2E42">
      <w:fldChar w:fldCharType="begin"/>
    </w:r>
    <w:r w:rsidR="00AE2E42" w:rsidRPr="0061616B">
      <w:rPr>
        <w:lang w:val="fr-CH"/>
      </w:rPr>
      <w:instrText>HYPERLINK "mailto:itumail@itu.int"</w:instrText>
    </w:r>
    <w:r w:rsidR="00AE2E42">
      <w:fldChar w:fldCharType="separate"/>
    </w:r>
    <w:r w:rsidR="00854BCC" w:rsidRPr="00FB33BE">
      <w:rPr>
        <w:rFonts w:cs="Calibri"/>
        <w:noProof/>
        <w:color w:val="0070C0"/>
        <w:sz w:val="18"/>
        <w:szCs w:val="18"/>
        <w:u w:val="single"/>
        <w:lang w:val="es-ES"/>
      </w:rPr>
      <w:t>itumail@itu.int</w:t>
    </w:r>
    <w:r w:rsidR="00AE2E42">
      <w:rPr>
        <w:rFonts w:cs="Calibri"/>
        <w:noProof/>
        <w:color w:val="0070C0"/>
        <w:sz w:val="18"/>
        <w:szCs w:val="18"/>
        <w:u w:val="single"/>
        <w:lang w:val="es-ES"/>
      </w:rPr>
      <w:fldChar w:fldCharType="end"/>
    </w:r>
    <w:r w:rsidR="00854BCC" w:rsidRPr="00FB33BE">
      <w:rPr>
        <w:rFonts w:cs="Calibri"/>
        <w:noProof/>
        <w:color w:val="0070C0"/>
        <w:sz w:val="18"/>
        <w:szCs w:val="18"/>
        <w:lang w:val="es-ES"/>
      </w:rPr>
      <w:t xml:space="preserve"> • </w:t>
    </w:r>
    <w:hyperlink r:id="rId1" w:history="1">
      <w:r w:rsidR="00854BCC" w:rsidRPr="00FB33BE">
        <w:rPr>
          <w:rFonts w:cs="Calibri"/>
          <w:noProof/>
          <w:color w:val="0070C0"/>
          <w:sz w:val="18"/>
          <w:szCs w:val="18"/>
          <w:u w:val="single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66CF" w14:textId="77777777" w:rsidR="00AA7390" w:rsidRDefault="00AA7390">
      <w:r>
        <w:t>____________________</w:t>
      </w:r>
    </w:p>
  </w:footnote>
  <w:footnote w:type="continuationSeparator" w:id="0">
    <w:p w14:paraId="6897683C" w14:textId="77777777" w:rsidR="00AA7390" w:rsidRDefault="00AA7390">
      <w:r>
        <w:continuationSeparator/>
      </w:r>
    </w:p>
  </w:footnote>
  <w:footnote w:type="continuationNotice" w:id="1">
    <w:p w14:paraId="3033B00A" w14:textId="77777777" w:rsidR="00AA7390" w:rsidRDefault="00AA739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A7BA" w14:textId="368EC0B4" w:rsidR="00370A75" w:rsidRDefault="00B61012" w:rsidP="00370A75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9148A0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370A75">
      <w:t>0</w:t>
    </w:r>
    <w:r w:rsidR="00B84061">
      <w:t>82</w:t>
    </w:r>
  </w:p>
  <w:p w14:paraId="1D768AB3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152006">
    <w:abstractNumId w:val="9"/>
  </w:num>
  <w:num w:numId="2" w16cid:durableId="793787887">
    <w:abstractNumId w:val="7"/>
  </w:num>
  <w:num w:numId="3" w16cid:durableId="2053917122">
    <w:abstractNumId w:val="6"/>
  </w:num>
  <w:num w:numId="4" w16cid:durableId="1076245864">
    <w:abstractNumId w:val="5"/>
  </w:num>
  <w:num w:numId="5" w16cid:durableId="868374988">
    <w:abstractNumId w:val="4"/>
  </w:num>
  <w:num w:numId="6" w16cid:durableId="1496219575">
    <w:abstractNumId w:val="8"/>
  </w:num>
  <w:num w:numId="7" w16cid:durableId="2070420215">
    <w:abstractNumId w:val="3"/>
  </w:num>
  <w:num w:numId="8" w16cid:durableId="922300652">
    <w:abstractNumId w:val="2"/>
  </w:num>
  <w:num w:numId="9" w16cid:durableId="1237936420">
    <w:abstractNumId w:val="1"/>
  </w:num>
  <w:num w:numId="10" w16cid:durableId="2094472026">
    <w:abstractNumId w:val="0"/>
  </w:num>
  <w:num w:numId="11" w16cid:durableId="1706297031">
    <w:abstractNumId w:val="22"/>
  </w:num>
  <w:num w:numId="12" w16cid:durableId="1778326061">
    <w:abstractNumId w:val="23"/>
  </w:num>
  <w:num w:numId="13" w16cid:durableId="1916745947">
    <w:abstractNumId w:val="20"/>
  </w:num>
  <w:num w:numId="14" w16cid:durableId="309139723">
    <w:abstractNumId w:val="14"/>
  </w:num>
  <w:num w:numId="15" w16cid:durableId="1401512800">
    <w:abstractNumId w:val="12"/>
  </w:num>
  <w:num w:numId="16" w16cid:durableId="1974172107">
    <w:abstractNumId w:val="17"/>
  </w:num>
  <w:num w:numId="17" w16cid:durableId="2062317288">
    <w:abstractNumId w:val="21"/>
  </w:num>
  <w:num w:numId="18" w16cid:durableId="108207646">
    <w:abstractNumId w:val="11"/>
  </w:num>
  <w:num w:numId="19" w16cid:durableId="2080858401">
    <w:abstractNumId w:val="15"/>
  </w:num>
  <w:num w:numId="20" w16cid:durableId="2061394198">
    <w:abstractNumId w:val="19"/>
  </w:num>
  <w:num w:numId="21" w16cid:durableId="2106723894">
    <w:abstractNumId w:val="18"/>
  </w:num>
  <w:num w:numId="22" w16cid:durableId="440994587">
    <w:abstractNumId w:val="16"/>
  </w:num>
  <w:num w:numId="23" w16cid:durableId="1021277579">
    <w:abstractNumId w:val="10"/>
  </w:num>
  <w:num w:numId="24" w16cid:durableId="986974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4795"/>
    <w:rsid w:val="00021666"/>
    <w:rsid w:val="00022E6B"/>
    <w:rsid w:val="00023003"/>
    <w:rsid w:val="000241C0"/>
    <w:rsid w:val="00024E99"/>
    <w:rsid w:val="000437ED"/>
    <w:rsid w:val="0004459D"/>
    <w:rsid w:val="000625C1"/>
    <w:rsid w:val="0006677B"/>
    <w:rsid w:val="000714AC"/>
    <w:rsid w:val="00071DEC"/>
    <w:rsid w:val="00072157"/>
    <w:rsid w:val="00083487"/>
    <w:rsid w:val="00084E16"/>
    <w:rsid w:val="00086D85"/>
    <w:rsid w:val="00094373"/>
    <w:rsid w:val="000A2737"/>
    <w:rsid w:val="000A2E01"/>
    <w:rsid w:val="000B0A53"/>
    <w:rsid w:val="000B0FFC"/>
    <w:rsid w:val="000B15C8"/>
    <w:rsid w:val="000B5121"/>
    <w:rsid w:val="000D0306"/>
    <w:rsid w:val="000E458A"/>
    <w:rsid w:val="000E5869"/>
    <w:rsid w:val="000F2200"/>
    <w:rsid w:val="00100ABA"/>
    <w:rsid w:val="001018E1"/>
    <w:rsid w:val="00102E61"/>
    <w:rsid w:val="0010511E"/>
    <w:rsid w:val="00105A02"/>
    <w:rsid w:val="00112F37"/>
    <w:rsid w:val="001177CA"/>
    <w:rsid w:val="00122B34"/>
    <w:rsid w:val="0013369D"/>
    <w:rsid w:val="001355CE"/>
    <w:rsid w:val="001372D7"/>
    <w:rsid w:val="00155716"/>
    <w:rsid w:val="00155F1F"/>
    <w:rsid w:val="00183394"/>
    <w:rsid w:val="001871DE"/>
    <w:rsid w:val="00193C4D"/>
    <w:rsid w:val="00197CC3"/>
    <w:rsid w:val="001A34EC"/>
    <w:rsid w:val="001A56FA"/>
    <w:rsid w:val="001B252D"/>
    <w:rsid w:val="001B2DFC"/>
    <w:rsid w:val="001B3303"/>
    <w:rsid w:val="001B3CBE"/>
    <w:rsid w:val="001C4A5D"/>
    <w:rsid w:val="001D318A"/>
    <w:rsid w:val="001D7436"/>
    <w:rsid w:val="001E74C4"/>
    <w:rsid w:val="00207F57"/>
    <w:rsid w:val="00211A57"/>
    <w:rsid w:val="00216B4E"/>
    <w:rsid w:val="00221A36"/>
    <w:rsid w:val="00223A71"/>
    <w:rsid w:val="0023695F"/>
    <w:rsid w:val="00237DCA"/>
    <w:rsid w:val="00250DA3"/>
    <w:rsid w:val="00251684"/>
    <w:rsid w:val="00252052"/>
    <w:rsid w:val="002553C2"/>
    <w:rsid w:val="00260865"/>
    <w:rsid w:val="002643B3"/>
    <w:rsid w:val="00272963"/>
    <w:rsid w:val="00274866"/>
    <w:rsid w:val="00277A90"/>
    <w:rsid w:val="00286F66"/>
    <w:rsid w:val="002876F8"/>
    <w:rsid w:val="00290DE7"/>
    <w:rsid w:val="002A2F83"/>
    <w:rsid w:val="002B7183"/>
    <w:rsid w:val="002C3EB9"/>
    <w:rsid w:val="002C4D8A"/>
    <w:rsid w:val="002D5A26"/>
    <w:rsid w:val="002D6ED0"/>
    <w:rsid w:val="002F5D96"/>
    <w:rsid w:val="002F7747"/>
    <w:rsid w:val="00301FE2"/>
    <w:rsid w:val="0030744C"/>
    <w:rsid w:val="00314BF9"/>
    <w:rsid w:val="00327F04"/>
    <w:rsid w:val="00332A3B"/>
    <w:rsid w:val="00333B3C"/>
    <w:rsid w:val="003370AB"/>
    <w:rsid w:val="0033722D"/>
    <w:rsid w:val="003423D1"/>
    <w:rsid w:val="00343884"/>
    <w:rsid w:val="00344AFC"/>
    <w:rsid w:val="00344C89"/>
    <w:rsid w:val="00356B73"/>
    <w:rsid w:val="00363504"/>
    <w:rsid w:val="00370A75"/>
    <w:rsid w:val="0037437D"/>
    <w:rsid w:val="003746A5"/>
    <w:rsid w:val="00377BE2"/>
    <w:rsid w:val="00390FBD"/>
    <w:rsid w:val="00393EDC"/>
    <w:rsid w:val="003A0500"/>
    <w:rsid w:val="003B5988"/>
    <w:rsid w:val="003D4690"/>
    <w:rsid w:val="003D4BB1"/>
    <w:rsid w:val="003E26B4"/>
    <w:rsid w:val="003E4221"/>
    <w:rsid w:val="003E4D44"/>
    <w:rsid w:val="003E5B2E"/>
    <w:rsid w:val="003F0728"/>
    <w:rsid w:val="003F1B80"/>
    <w:rsid w:val="003F3A86"/>
    <w:rsid w:val="0040483B"/>
    <w:rsid w:val="00407813"/>
    <w:rsid w:val="00412353"/>
    <w:rsid w:val="00412FC0"/>
    <w:rsid w:val="00427C71"/>
    <w:rsid w:val="004415EA"/>
    <w:rsid w:val="00441B49"/>
    <w:rsid w:val="004450C7"/>
    <w:rsid w:val="00453CEA"/>
    <w:rsid w:val="00465D8B"/>
    <w:rsid w:val="00477EF3"/>
    <w:rsid w:val="00482593"/>
    <w:rsid w:val="00487330"/>
    <w:rsid w:val="00490405"/>
    <w:rsid w:val="004A1273"/>
    <w:rsid w:val="004A3B59"/>
    <w:rsid w:val="004A404D"/>
    <w:rsid w:val="004B373D"/>
    <w:rsid w:val="004B705B"/>
    <w:rsid w:val="004C1722"/>
    <w:rsid w:val="004C2980"/>
    <w:rsid w:val="004D55E2"/>
    <w:rsid w:val="004E7D2E"/>
    <w:rsid w:val="004F7137"/>
    <w:rsid w:val="00503ADB"/>
    <w:rsid w:val="005135E1"/>
    <w:rsid w:val="00517FAF"/>
    <w:rsid w:val="00524E88"/>
    <w:rsid w:val="00530F5C"/>
    <w:rsid w:val="005319A3"/>
    <w:rsid w:val="0053269D"/>
    <w:rsid w:val="005342CC"/>
    <w:rsid w:val="00554118"/>
    <w:rsid w:val="00570F0B"/>
    <w:rsid w:val="005712FB"/>
    <w:rsid w:val="005821CD"/>
    <w:rsid w:val="00586B76"/>
    <w:rsid w:val="005965EB"/>
    <w:rsid w:val="005A66F8"/>
    <w:rsid w:val="005A6BF1"/>
    <w:rsid w:val="005B5411"/>
    <w:rsid w:val="005C0F4F"/>
    <w:rsid w:val="005C5D4C"/>
    <w:rsid w:val="005D3F2D"/>
    <w:rsid w:val="005E003C"/>
    <w:rsid w:val="005E647E"/>
    <w:rsid w:val="005F1948"/>
    <w:rsid w:val="005F1F90"/>
    <w:rsid w:val="005F75F9"/>
    <w:rsid w:val="00601068"/>
    <w:rsid w:val="00601ECE"/>
    <w:rsid w:val="00602EDF"/>
    <w:rsid w:val="0060776B"/>
    <w:rsid w:val="0061616B"/>
    <w:rsid w:val="006313BC"/>
    <w:rsid w:val="00643A67"/>
    <w:rsid w:val="006471D7"/>
    <w:rsid w:val="006520C0"/>
    <w:rsid w:val="006532AE"/>
    <w:rsid w:val="00654C5F"/>
    <w:rsid w:val="006573E8"/>
    <w:rsid w:val="00670E76"/>
    <w:rsid w:val="00670EFD"/>
    <w:rsid w:val="00675137"/>
    <w:rsid w:val="006766A5"/>
    <w:rsid w:val="006808CF"/>
    <w:rsid w:val="00683013"/>
    <w:rsid w:val="00697C5D"/>
    <w:rsid w:val="006A0A71"/>
    <w:rsid w:val="006C5306"/>
    <w:rsid w:val="006D4DEB"/>
    <w:rsid w:val="006D78BB"/>
    <w:rsid w:val="006D7B49"/>
    <w:rsid w:val="006E3B71"/>
    <w:rsid w:val="00707532"/>
    <w:rsid w:val="00717C9D"/>
    <w:rsid w:val="00730A58"/>
    <w:rsid w:val="00733954"/>
    <w:rsid w:val="007349CA"/>
    <w:rsid w:val="00740AA2"/>
    <w:rsid w:val="00745F45"/>
    <w:rsid w:val="0075255A"/>
    <w:rsid w:val="007553B3"/>
    <w:rsid w:val="00777BD9"/>
    <w:rsid w:val="0078305C"/>
    <w:rsid w:val="00783062"/>
    <w:rsid w:val="00787B4D"/>
    <w:rsid w:val="0079763E"/>
    <w:rsid w:val="007A4277"/>
    <w:rsid w:val="007A65E8"/>
    <w:rsid w:val="007B4CF1"/>
    <w:rsid w:val="007C01EF"/>
    <w:rsid w:val="007C080C"/>
    <w:rsid w:val="007C5880"/>
    <w:rsid w:val="007D1B3C"/>
    <w:rsid w:val="007D2FCD"/>
    <w:rsid w:val="007D431D"/>
    <w:rsid w:val="007E1989"/>
    <w:rsid w:val="007E4C8F"/>
    <w:rsid w:val="007E50DE"/>
    <w:rsid w:val="0080286C"/>
    <w:rsid w:val="008057A7"/>
    <w:rsid w:val="00817133"/>
    <w:rsid w:val="00820447"/>
    <w:rsid w:val="008207B1"/>
    <w:rsid w:val="00820A3F"/>
    <w:rsid w:val="00821061"/>
    <w:rsid w:val="008222BB"/>
    <w:rsid w:val="0083217E"/>
    <w:rsid w:val="008532F4"/>
    <w:rsid w:val="0085386C"/>
    <w:rsid w:val="00854BCC"/>
    <w:rsid w:val="008569FE"/>
    <w:rsid w:val="00861E12"/>
    <w:rsid w:val="00865A59"/>
    <w:rsid w:val="008710FA"/>
    <w:rsid w:val="008813B6"/>
    <w:rsid w:val="00883608"/>
    <w:rsid w:val="008853B4"/>
    <w:rsid w:val="0088590D"/>
    <w:rsid w:val="0089440D"/>
    <w:rsid w:val="00894521"/>
    <w:rsid w:val="008A4370"/>
    <w:rsid w:val="008C04F8"/>
    <w:rsid w:val="008C2F09"/>
    <w:rsid w:val="008C6A0C"/>
    <w:rsid w:val="008C713C"/>
    <w:rsid w:val="008E2FCB"/>
    <w:rsid w:val="008E4303"/>
    <w:rsid w:val="008F0845"/>
    <w:rsid w:val="008F2ECD"/>
    <w:rsid w:val="008F4A88"/>
    <w:rsid w:val="009070C8"/>
    <w:rsid w:val="00912518"/>
    <w:rsid w:val="00913903"/>
    <w:rsid w:val="009148A0"/>
    <w:rsid w:val="00924D9C"/>
    <w:rsid w:val="009278D1"/>
    <w:rsid w:val="009441EA"/>
    <w:rsid w:val="00950814"/>
    <w:rsid w:val="00963900"/>
    <w:rsid w:val="00965345"/>
    <w:rsid w:val="009740A6"/>
    <w:rsid w:val="009747C5"/>
    <w:rsid w:val="00977E56"/>
    <w:rsid w:val="009824AA"/>
    <w:rsid w:val="00987CF7"/>
    <w:rsid w:val="009A06EC"/>
    <w:rsid w:val="009A2951"/>
    <w:rsid w:val="009A45F9"/>
    <w:rsid w:val="009B0137"/>
    <w:rsid w:val="009B2EB5"/>
    <w:rsid w:val="009B475B"/>
    <w:rsid w:val="009C36FE"/>
    <w:rsid w:val="009E1647"/>
    <w:rsid w:val="009E58E7"/>
    <w:rsid w:val="009F0E2E"/>
    <w:rsid w:val="00A0344E"/>
    <w:rsid w:val="00A21440"/>
    <w:rsid w:val="00A22490"/>
    <w:rsid w:val="00A24F16"/>
    <w:rsid w:val="00A306CC"/>
    <w:rsid w:val="00A40917"/>
    <w:rsid w:val="00A53990"/>
    <w:rsid w:val="00A6225E"/>
    <w:rsid w:val="00A667C5"/>
    <w:rsid w:val="00A72C30"/>
    <w:rsid w:val="00A73E3C"/>
    <w:rsid w:val="00A74C99"/>
    <w:rsid w:val="00A8218B"/>
    <w:rsid w:val="00A865D6"/>
    <w:rsid w:val="00A92415"/>
    <w:rsid w:val="00AA1E68"/>
    <w:rsid w:val="00AA31D1"/>
    <w:rsid w:val="00AA51D4"/>
    <w:rsid w:val="00AA5FE8"/>
    <w:rsid w:val="00AA7390"/>
    <w:rsid w:val="00AA789A"/>
    <w:rsid w:val="00AB0363"/>
    <w:rsid w:val="00AB057A"/>
    <w:rsid w:val="00AB2732"/>
    <w:rsid w:val="00AC5CF2"/>
    <w:rsid w:val="00AC6544"/>
    <w:rsid w:val="00AD0A42"/>
    <w:rsid w:val="00AD533D"/>
    <w:rsid w:val="00AE2E42"/>
    <w:rsid w:val="00AF00F3"/>
    <w:rsid w:val="00AF01DF"/>
    <w:rsid w:val="00AF0ED1"/>
    <w:rsid w:val="00AF1769"/>
    <w:rsid w:val="00AF57CB"/>
    <w:rsid w:val="00AF7C05"/>
    <w:rsid w:val="00B10E04"/>
    <w:rsid w:val="00B12F13"/>
    <w:rsid w:val="00B14E9B"/>
    <w:rsid w:val="00B16DE0"/>
    <w:rsid w:val="00B17106"/>
    <w:rsid w:val="00B23E3E"/>
    <w:rsid w:val="00B2488F"/>
    <w:rsid w:val="00B36174"/>
    <w:rsid w:val="00B366B6"/>
    <w:rsid w:val="00B41732"/>
    <w:rsid w:val="00B42A0B"/>
    <w:rsid w:val="00B437F7"/>
    <w:rsid w:val="00B43D7A"/>
    <w:rsid w:val="00B4669D"/>
    <w:rsid w:val="00B56A93"/>
    <w:rsid w:val="00B57B5B"/>
    <w:rsid w:val="00B57F62"/>
    <w:rsid w:val="00B61012"/>
    <w:rsid w:val="00B62474"/>
    <w:rsid w:val="00B84061"/>
    <w:rsid w:val="00B95128"/>
    <w:rsid w:val="00B957BB"/>
    <w:rsid w:val="00BB33A5"/>
    <w:rsid w:val="00BB5B00"/>
    <w:rsid w:val="00BB75DD"/>
    <w:rsid w:val="00BC5879"/>
    <w:rsid w:val="00BC69AC"/>
    <w:rsid w:val="00BE0FB1"/>
    <w:rsid w:val="00BE30C8"/>
    <w:rsid w:val="00BE5595"/>
    <w:rsid w:val="00C00A80"/>
    <w:rsid w:val="00C01703"/>
    <w:rsid w:val="00C048A3"/>
    <w:rsid w:val="00C0490B"/>
    <w:rsid w:val="00C0671F"/>
    <w:rsid w:val="00C12437"/>
    <w:rsid w:val="00C16C54"/>
    <w:rsid w:val="00C33FF6"/>
    <w:rsid w:val="00C4081D"/>
    <w:rsid w:val="00C47354"/>
    <w:rsid w:val="00C55FAB"/>
    <w:rsid w:val="00C568A9"/>
    <w:rsid w:val="00C56CFB"/>
    <w:rsid w:val="00C5734A"/>
    <w:rsid w:val="00C60EE0"/>
    <w:rsid w:val="00C65201"/>
    <w:rsid w:val="00C66FE5"/>
    <w:rsid w:val="00C744CB"/>
    <w:rsid w:val="00C82979"/>
    <w:rsid w:val="00C95BF6"/>
    <w:rsid w:val="00C977AF"/>
    <w:rsid w:val="00CA06FE"/>
    <w:rsid w:val="00CA0751"/>
    <w:rsid w:val="00CA0C02"/>
    <w:rsid w:val="00CB186B"/>
    <w:rsid w:val="00CB77BF"/>
    <w:rsid w:val="00CC224C"/>
    <w:rsid w:val="00CC7C8B"/>
    <w:rsid w:val="00CD6C27"/>
    <w:rsid w:val="00CE7DE1"/>
    <w:rsid w:val="00CF0936"/>
    <w:rsid w:val="00CF3AD8"/>
    <w:rsid w:val="00CF5B53"/>
    <w:rsid w:val="00CF625B"/>
    <w:rsid w:val="00D149B7"/>
    <w:rsid w:val="00D17A11"/>
    <w:rsid w:val="00D31D2E"/>
    <w:rsid w:val="00D3244D"/>
    <w:rsid w:val="00D45BF3"/>
    <w:rsid w:val="00D53F0A"/>
    <w:rsid w:val="00D62702"/>
    <w:rsid w:val="00D72E1B"/>
    <w:rsid w:val="00D77600"/>
    <w:rsid w:val="00D81230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A75F5"/>
    <w:rsid w:val="00DB22B0"/>
    <w:rsid w:val="00DB7FAD"/>
    <w:rsid w:val="00DD06FC"/>
    <w:rsid w:val="00DD591F"/>
    <w:rsid w:val="00DD5D2E"/>
    <w:rsid w:val="00DD76CA"/>
    <w:rsid w:val="00DE47F4"/>
    <w:rsid w:val="00DE4E23"/>
    <w:rsid w:val="00DE6467"/>
    <w:rsid w:val="00DF2536"/>
    <w:rsid w:val="00DF4823"/>
    <w:rsid w:val="00E0145C"/>
    <w:rsid w:val="00E01547"/>
    <w:rsid w:val="00E0699E"/>
    <w:rsid w:val="00E07354"/>
    <w:rsid w:val="00E10A69"/>
    <w:rsid w:val="00E13769"/>
    <w:rsid w:val="00E13DF8"/>
    <w:rsid w:val="00E307C9"/>
    <w:rsid w:val="00E34F3E"/>
    <w:rsid w:val="00E40925"/>
    <w:rsid w:val="00E42A70"/>
    <w:rsid w:val="00E43AC9"/>
    <w:rsid w:val="00E511DF"/>
    <w:rsid w:val="00E64E37"/>
    <w:rsid w:val="00E90C26"/>
    <w:rsid w:val="00E9345A"/>
    <w:rsid w:val="00E935EB"/>
    <w:rsid w:val="00EA1FC4"/>
    <w:rsid w:val="00EA2114"/>
    <w:rsid w:val="00EB2418"/>
    <w:rsid w:val="00EC15F4"/>
    <w:rsid w:val="00EC7F03"/>
    <w:rsid w:val="00ED35D4"/>
    <w:rsid w:val="00ED473E"/>
    <w:rsid w:val="00ED4AA7"/>
    <w:rsid w:val="00ED6FD0"/>
    <w:rsid w:val="00F050EA"/>
    <w:rsid w:val="00F0794A"/>
    <w:rsid w:val="00F11F2D"/>
    <w:rsid w:val="00F16B03"/>
    <w:rsid w:val="00F22314"/>
    <w:rsid w:val="00F321A6"/>
    <w:rsid w:val="00F462D4"/>
    <w:rsid w:val="00F6012E"/>
    <w:rsid w:val="00F60B5C"/>
    <w:rsid w:val="00F852FA"/>
    <w:rsid w:val="00F933AD"/>
    <w:rsid w:val="00F95F9C"/>
    <w:rsid w:val="00FA46A0"/>
    <w:rsid w:val="00FB1F45"/>
    <w:rsid w:val="00FB2E5A"/>
    <w:rsid w:val="00FB33BE"/>
    <w:rsid w:val="00FB5045"/>
    <w:rsid w:val="00FC1C19"/>
    <w:rsid w:val="00FC4AA2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9BE94B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/CRM/js/sr/C-0001243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2023/0509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TU-T/recommendations/rec.aspx?id=14033&amp;lang=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customXml/itemProps2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15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4202</CharactersWithSpaces>
  <SharedDoc>false</SharedDoc>
  <HLinks>
    <vt:vector size="48" baseType="variant">
      <vt:variant>
        <vt:i4>6357047</vt:i4>
      </vt:variant>
      <vt:variant>
        <vt:i4>15</vt:i4>
      </vt:variant>
      <vt:variant>
        <vt:i4>0</vt:i4>
      </vt:variant>
      <vt:variant>
        <vt:i4>5</vt:i4>
      </vt:variant>
      <vt:variant>
        <vt:lpwstr>https://figi.itu.int/wp-content/uploads/2021/05/Digital-Financial-Services-security-audit-guideline.pdf</vt:lpwstr>
      </vt:variant>
      <vt:variant>
        <vt:lpwstr/>
      </vt:variant>
      <vt:variant>
        <vt:i4>3866638</vt:i4>
      </vt:variant>
      <vt:variant>
        <vt:i4>12</vt:i4>
      </vt:variant>
      <vt:variant>
        <vt:i4>0</vt:i4>
      </vt:variant>
      <vt:variant>
        <vt:i4>5</vt:i4>
      </vt:variant>
      <vt:variant>
        <vt:lpwstr>https://figi.itu.int/wp-content/uploads/2021/04/Technical-report-on-Digital-Financial-Services-Security-Assurance-Framework_f-1-1.pdf</vt:lpwstr>
      </vt:variant>
      <vt:variant>
        <vt:lpwstr/>
      </vt:variant>
      <vt:variant>
        <vt:i4>7536702</vt:i4>
      </vt:variant>
      <vt:variant>
        <vt:i4>9</vt:i4>
      </vt:variant>
      <vt:variant>
        <vt:i4>0</vt:i4>
      </vt:variant>
      <vt:variant>
        <vt:i4>5</vt:i4>
      </vt:variant>
      <vt:variant>
        <vt:lpwstr>https://figi.itu.int/wp-content/uploads/2021/05/Security-audit-of-various-DFS-applications.pdf</vt:lpwstr>
      </vt:variant>
      <vt:variant>
        <vt:lpwstr/>
      </vt:variant>
      <vt:variant>
        <vt:i4>5111890</vt:i4>
      </vt:variant>
      <vt:variant>
        <vt:i4>6</vt:i4>
      </vt:variant>
      <vt:variant>
        <vt:i4>0</vt:i4>
      </vt:variant>
      <vt:variant>
        <vt:i4>5</vt:i4>
      </vt:variant>
      <vt:variant>
        <vt:lpwstr>https://figi.itu.int/wp-content/uploads/2021/04/Security-testing-for-USSD-and-STK-based-Digital-Financial-Services-applications-1.pdf</vt:lpwstr>
      </vt:variant>
      <vt:variant>
        <vt:lpwstr/>
      </vt:variant>
      <vt:variant>
        <vt:i4>7667779</vt:i4>
      </vt:variant>
      <vt:variant>
        <vt:i4>3</vt:i4>
      </vt:variant>
      <vt:variant>
        <vt:i4>0</vt:i4>
      </vt:variant>
      <vt:variant>
        <vt:i4>5</vt:i4>
      </vt:variant>
      <vt:variant>
        <vt:lpwstr>https://figi.itu.int/wp-content/uploads/2021/04/Technical-report-on-the-SS7-vulnerabilities-and-their-impact-on-DFS-transactions_f-1-1.pdf</vt:lpwstr>
      </vt:variant>
      <vt:variant>
        <vt:lpwstr/>
      </vt:variant>
      <vt:variant>
        <vt:i4>3342442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https://www.itu.int/ITU-T/recommendations/rec.aspx?id=14033&amp;lang=en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11</cp:revision>
  <cp:lastPrinted>2023-04-14T09:26:00Z</cp:lastPrinted>
  <dcterms:created xsi:type="dcterms:W3CDTF">2023-03-31T11:49:00Z</dcterms:created>
  <dcterms:modified xsi:type="dcterms:W3CDTF">2023-04-14T09:26:00Z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</Properties>
</file>