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551"/>
        <w:gridCol w:w="3261"/>
        <w:gridCol w:w="2126"/>
        <w:gridCol w:w="8"/>
      </w:tblGrid>
      <w:tr w:rsidR="00036F4F" w:rsidRPr="00B564FD" w14:paraId="02385D75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4636506" w14:textId="77777777" w:rsidR="00036F4F" w:rsidRPr="00B564FD" w:rsidRDefault="00036F4F" w:rsidP="0051551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64FD">
              <w:rPr>
                <w:noProof/>
                <w:lang w:val="en-US"/>
              </w:rPr>
              <w:drawing>
                <wp:inline distT="0" distB="0" distL="0" distR="0" wp14:anchorId="56FCB189" wp14:editId="3733BE6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4274F4C" w14:textId="77777777" w:rsidR="00036F4F" w:rsidRPr="00B564FD" w:rsidRDefault="00036F4F" w:rsidP="0051551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564F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31A18B0" w14:textId="77777777" w:rsidR="00036F4F" w:rsidRPr="00B564FD" w:rsidRDefault="00036F4F" w:rsidP="0051551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64F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564F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B31D800" w14:textId="77777777" w:rsidR="00036F4F" w:rsidRPr="00B564FD" w:rsidRDefault="00036F4F" w:rsidP="0051551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6F1D4A" w14:paraId="6E717EB7" w14:textId="77777777" w:rsidTr="0051551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476602BB" w14:textId="77777777" w:rsidR="00036F4F" w:rsidRPr="006F1D4A" w:rsidRDefault="00036F4F" w:rsidP="0051551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83A6BD" w14:textId="77777777" w:rsidR="00036F4F" w:rsidRPr="006F1D4A" w:rsidRDefault="00036F4F" w:rsidP="0051551A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  <w:gridSpan w:val="3"/>
          </w:tcPr>
          <w:p w14:paraId="68A0733B" w14:textId="481ADF59" w:rsidR="00036F4F" w:rsidRPr="006F1D4A" w:rsidRDefault="00036F4F" w:rsidP="005155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Genève, le</w:t>
            </w:r>
            <w:r w:rsidR="00140A97" w:rsidRPr="006F1D4A">
              <w:rPr>
                <w:sz w:val="22"/>
                <w:szCs w:val="22"/>
              </w:rPr>
              <w:t xml:space="preserve"> </w:t>
            </w:r>
            <w:r w:rsidR="00883C55" w:rsidRPr="006F1D4A">
              <w:rPr>
                <w:sz w:val="22"/>
                <w:szCs w:val="22"/>
              </w:rPr>
              <w:t>13 avril</w:t>
            </w:r>
            <w:r w:rsidR="00140A97" w:rsidRPr="006F1D4A">
              <w:rPr>
                <w:sz w:val="22"/>
                <w:szCs w:val="22"/>
              </w:rPr>
              <w:t xml:space="preserve"> 202</w:t>
            </w:r>
            <w:r w:rsidR="00883C55" w:rsidRPr="006F1D4A">
              <w:rPr>
                <w:sz w:val="22"/>
                <w:szCs w:val="22"/>
              </w:rPr>
              <w:t>3</w:t>
            </w:r>
          </w:p>
        </w:tc>
      </w:tr>
      <w:tr w:rsidR="00036F4F" w:rsidRPr="006F1D4A" w14:paraId="04395CF2" w14:textId="77777777" w:rsidTr="0051551A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78993C6E" w14:textId="5DC7E417" w:rsidR="00036F4F" w:rsidRPr="006F1D4A" w:rsidRDefault="00036F4F" w:rsidP="0051551A">
            <w:pPr>
              <w:tabs>
                <w:tab w:val="left" w:pos="4111"/>
              </w:tabs>
              <w:spacing w:before="10" w:after="120"/>
              <w:ind w:left="-12"/>
              <w:rPr>
                <w:b/>
                <w:bCs/>
                <w:sz w:val="22"/>
                <w:szCs w:val="22"/>
              </w:rPr>
            </w:pPr>
            <w:proofErr w:type="gramStart"/>
            <w:r w:rsidRPr="006F1D4A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402" w:type="dxa"/>
            <w:gridSpan w:val="3"/>
          </w:tcPr>
          <w:p w14:paraId="682403BA" w14:textId="74834E86" w:rsidR="00036F4F" w:rsidRPr="006F1D4A" w:rsidRDefault="00036F4F" w:rsidP="0051551A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F1D4A">
              <w:rPr>
                <w:b/>
                <w:sz w:val="22"/>
                <w:szCs w:val="22"/>
              </w:rPr>
              <w:t>Circulaire TSB</w:t>
            </w:r>
            <w:r w:rsidR="00140A97" w:rsidRPr="006F1D4A">
              <w:rPr>
                <w:b/>
                <w:sz w:val="22"/>
                <w:szCs w:val="22"/>
              </w:rPr>
              <w:t xml:space="preserve"> </w:t>
            </w:r>
            <w:r w:rsidR="00883C55" w:rsidRPr="006F1D4A">
              <w:rPr>
                <w:b/>
                <w:sz w:val="22"/>
                <w:szCs w:val="22"/>
              </w:rPr>
              <w:t>094</w:t>
            </w:r>
          </w:p>
        </w:tc>
        <w:tc>
          <w:tcPr>
            <w:tcW w:w="5395" w:type="dxa"/>
            <w:gridSpan w:val="3"/>
            <w:vMerge w:val="restart"/>
          </w:tcPr>
          <w:p w14:paraId="4AB3620A" w14:textId="6B6F498C" w:rsidR="00140A97" w:rsidRPr="006F1D4A" w:rsidRDefault="00883C55" w:rsidP="005155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5" w:hanging="368"/>
              <w:rPr>
                <w:sz w:val="22"/>
                <w:szCs w:val="22"/>
              </w:rPr>
            </w:pPr>
            <w:bookmarkStart w:id="0" w:name="Addressee_F"/>
            <w:bookmarkEnd w:id="0"/>
            <w:r w:rsidRPr="006F1D4A">
              <w:rPr>
                <w:sz w:val="22"/>
                <w:szCs w:val="22"/>
              </w:rPr>
              <w:t>–</w:t>
            </w:r>
            <w:r w:rsidR="00036F4F" w:rsidRPr="006F1D4A">
              <w:rPr>
                <w:sz w:val="22"/>
                <w:szCs w:val="22"/>
              </w:rPr>
              <w:tab/>
            </w:r>
            <w:r w:rsidR="00140A97" w:rsidRPr="006F1D4A">
              <w:rPr>
                <w:sz w:val="22"/>
                <w:szCs w:val="22"/>
              </w:rPr>
              <w:t xml:space="preserve">Aux </w:t>
            </w:r>
            <w:r w:rsidR="00D57B1D" w:rsidRPr="006F1D4A">
              <w:rPr>
                <w:sz w:val="22"/>
                <w:szCs w:val="22"/>
              </w:rPr>
              <w:t>A</w:t>
            </w:r>
            <w:r w:rsidR="00140A97" w:rsidRPr="006F1D4A">
              <w:rPr>
                <w:sz w:val="22"/>
                <w:szCs w:val="22"/>
              </w:rPr>
              <w:t xml:space="preserve">dministrations des États Membres de </w:t>
            </w:r>
            <w:proofErr w:type="gramStart"/>
            <w:r w:rsidR="00140A97" w:rsidRPr="006F1D4A">
              <w:rPr>
                <w:sz w:val="22"/>
                <w:szCs w:val="22"/>
              </w:rPr>
              <w:t>l'Union;</w:t>
            </w:r>
            <w:proofErr w:type="gramEnd"/>
          </w:p>
          <w:p w14:paraId="5EC50527" w14:textId="64DAD250" w:rsidR="00140A97" w:rsidRPr="006F1D4A" w:rsidRDefault="00883C55" w:rsidP="005155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5" w:hanging="368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–</w:t>
            </w:r>
            <w:r w:rsidR="00140A97" w:rsidRPr="006F1D4A">
              <w:rPr>
                <w:sz w:val="22"/>
                <w:szCs w:val="22"/>
              </w:rPr>
              <w:tab/>
            </w:r>
            <w:r w:rsidRPr="006F1D4A">
              <w:rPr>
                <w:sz w:val="22"/>
                <w:szCs w:val="22"/>
              </w:rPr>
              <w:t>A</w:t>
            </w:r>
            <w:r w:rsidR="00140A97" w:rsidRPr="006F1D4A">
              <w:rPr>
                <w:sz w:val="22"/>
                <w:szCs w:val="22"/>
              </w:rPr>
              <w:t>ux Membres du Secteur UIT-</w:t>
            </w:r>
            <w:proofErr w:type="gramStart"/>
            <w:r w:rsidR="00140A97" w:rsidRPr="006F1D4A">
              <w:rPr>
                <w:sz w:val="22"/>
                <w:szCs w:val="22"/>
              </w:rPr>
              <w:t>T;</w:t>
            </w:r>
            <w:proofErr w:type="gramEnd"/>
          </w:p>
          <w:p w14:paraId="47639C1C" w14:textId="0DC3B03D" w:rsidR="00140A97" w:rsidRPr="006F1D4A" w:rsidRDefault="00883C55" w:rsidP="005155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5" w:hanging="368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–</w:t>
            </w:r>
            <w:r w:rsidR="00140A97" w:rsidRPr="006F1D4A">
              <w:rPr>
                <w:sz w:val="22"/>
                <w:szCs w:val="22"/>
              </w:rPr>
              <w:tab/>
            </w:r>
            <w:r w:rsidRPr="006F1D4A">
              <w:rPr>
                <w:sz w:val="22"/>
                <w:szCs w:val="22"/>
              </w:rPr>
              <w:t>A</w:t>
            </w:r>
            <w:r w:rsidR="00140A97" w:rsidRPr="006F1D4A">
              <w:rPr>
                <w:sz w:val="22"/>
                <w:szCs w:val="22"/>
              </w:rPr>
              <w:t>ux Associés de l'UIT-</w:t>
            </w:r>
            <w:proofErr w:type="gramStart"/>
            <w:r w:rsidR="00140A97" w:rsidRPr="006F1D4A">
              <w:rPr>
                <w:sz w:val="22"/>
                <w:szCs w:val="22"/>
              </w:rPr>
              <w:t>T;</w:t>
            </w:r>
            <w:proofErr w:type="gramEnd"/>
          </w:p>
          <w:p w14:paraId="20840826" w14:textId="4A98C719" w:rsidR="00036F4F" w:rsidRPr="006F1D4A" w:rsidRDefault="00883C55" w:rsidP="005155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425" w:hanging="368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–</w:t>
            </w:r>
            <w:r w:rsidR="00140A97" w:rsidRPr="006F1D4A">
              <w:rPr>
                <w:sz w:val="22"/>
                <w:szCs w:val="22"/>
              </w:rPr>
              <w:tab/>
            </w:r>
            <w:r w:rsidRPr="006F1D4A">
              <w:rPr>
                <w:sz w:val="22"/>
                <w:szCs w:val="22"/>
              </w:rPr>
              <w:t>A</w:t>
            </w:r>
            <w:r w:rsidR="00140A97" w:rsidRPr="006F1D4A">
              <w:rPr>
                <w:sz w:val="22"/>
                <w:szCs w:val="22"/>
              </w:rPr>
              <w:t>ux établissements universitaires participant aux travaux de l'UIT</w:t>
            </w:r>
          </w:p>
        </w:tc>
      </w:tr>
      <w:tr w:rsidR="00036F4F" w:rsidRPr="006F1D4A" w14:paraId="1784329A" w14:textId="77777777" w:rsidTr="0051551A">
        <w:trPr>
          <w:gridBefore w:val="1"/>
          <w:wBefore w:w="8" w:type="dxa"/>
          <w:cantSplit/>
        </w:trPr>
        <w:tc>
          <w:tcPr>
            <w:tcW w:w="1126" w:type="dxa"/>
          </w:tcPr>
          <w:p w14:paraId="27AF59CD" w14:textId="77777777" w:rsidR="00036F4F" w:rsidRPr="006F1D4A" w:rsidRDefault="00036F4F" w:rsidP="0051551A">
            <w:pPr>
              <w:tabs>
                <w:tab w:val="left" w:pos="4111"/>
              </w:tabs>
              <w:spacing w:before="10"/>
              <w:ind w:left="-12"/>
              <w:rPr>
                <w:b/>
                <w:bCs/>
                <w:sz w:val="22"/>
                <w:szCs w:val="22"/>
              </w:rPr>
            </w:pPr>
            <w:proofErr w:type="gramStart"/>
            <w:r w:rsidRPr="006F1D4A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402" w:type="dxa"/>
            <w:gridSpan w:val="3"/>
          </w:tcPr>
          <w:p w14:paraId="0D14D58F" w14:textId="59F0479D" w:rsidR="00036F4F" w:rsidRPr="006F1D4A" w:rsidRDefault="00036F4F" w:rsidP="0051551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+41 22 730</w:t>
            </w:r>
            <w:r w:rsidR="00140A97" w:rsidRPr="006F1D4A">
              <w:rPr>
                <w:sz w:val="22"/>
                <w:szCs w:val="22"/>
              </w:rPr>
              <w:t xml:space="preserve"> </w:t>
            </w:r>
            <w:r w:rsidR="00524E2C" w:rsidRPr="006F1D4A">
              <w:rPr>
                <w:sz w:val="22"/>
                <w:szCs w:val="22"/>
              </w:rPr>
              <w:t>5356</w:t>
            </w:r>
          </w:p>
        </w:tc>
        <w:tc>
          <w:tcPr>
            <w:tcW w:w="5395" w:type="dxa"/>
            <w:gridSpan w:val="3"/>
            <w:vMerge/>
          </w:tcPr>
          <w:p w14:paraId="73517862" w14:textId="77777777" w:rsidR="00036F4F" w:rsidRPr="006F1D4A" w:rsidRDefault="00036F4F" w:rsidP="0051551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6F1D4A" w14:paraId="6928BA73" w14:textId="77777777" w:rsidTr="0051551A">
        <w:trPr>
          <w:gridBefore w:val="1"/>
          <w:wBefore w:w="8" w:type="dxa"/>
          <w:cantSplit/>
        </w:trPr>
        <w:tc>
          <w:tcPr>
            <w:tcW w:w="1126" w:type="dxa"/>
          </w:tcPr>
          <w:p w14:paraId="4596001B" w14:textId="0E4078FE" w:rsidR="00036F4F" w:rsidRPr="006F1D4A" w:rsidRDefault="0051551A" w:rsidP="0051551A">
            <w:pPr>
              <w:tabs>
                <w:tab w:val="left" w:pos="4111"/>
              </w:tabs>
              <w:spacing w:before="10"/>
              <w:ind w:left="-12"/>
              <w:rPr>
                <w:b/>
                <w:bCs/>
                <w:sz w:val="22"/>
                <w:szCs w:val="22"/>
              </w:rPr>
            </w:pPr>
            <w:proofErr w:type="gramStart"/>
            <w:r w:rsidRPr="006F1D4A">
              <w:rPr>
                <w:b/>
                <w:bCs/>
                <w:sz w:val="22"/>
                <w:szCs w:val="22"/>
              </w:rPr>
              <w:t>Télécopie</w:t>
            </w:r>
            <w:r w:rsidR="00036F4F" w:rsidRPr="006F1D4A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402" w:type="dxa"/>
            <w:gridSpan w:val="3"/>
          </w:tcPr>
          <w:p w14:paraId="268EF48F" w14:textId="77777777" w:rsidR="00036F4F" w:rsidRPr="006F1D4A" w:rsidRDefault="00036F4F" w:rsidP="0051551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+41 22 730 5853</w:t>
            </w:r>
          </w:p>
        </w:tc>
        <w:tc>
          <w:tcPr>
            <w:tcW w:w="5395" w:type="dxa"/>
            <w:gridSpan w:val="3"/>
            <w:vMerge/>
          </w:tcPr>
          <w:p w14:paraId="5548E93D" w14:textId="77777777" w:rsidR="00036F4F" w:rsidRPr="006F1D4A" w:rsidRDefault="00036F4F" w:rsidP="0051551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6F1D4A" w14:paraId="46CEF8C2" w14:textId="77777777" w:rsidTr="0051551A">
        <w:trPr>
          <w:gridBefore w:val="1"/>
          <w:wBefore w:w="8" w:type="dxa"/>
          <w:cantSplit/>
        </w:trPr>
        <w:tc>
          <w:tcPr>
            <w:tcW w:w="1126" w:type="dxa"/>
          </w:tcPr>
          <w:p w14:paraId="5A85C031" w14:textId="6C223BEA" w:rsidR="00517A03" w:rsidRPr="006F1D4A" w:rsidRDefault="0051551A" w:rsidP="0051551A">
            <w:pPr>
              <w:tabs>
                <w:tab w:val="left" w:pos="4111"/>
              </w:tabs>
              <w:spacing w:before="10"/>
              <w:ind w:left="-12"/>
              <w:rPr>
                <w:b/>
                <w:bCs/>
                <w:sz w:val="22"/>
                <w:szCs w:val="22"/>
              </w:rPr>
            </w:pPr>
            <w:proofErr w:type="gramStart"/>
            <w:r w:rsidRPr="006F1D4A">
              <w:rPr>
                <w:b/>
                <w:bCs/>
                <w:sz w:val="22"/>
                <w:szCs w:val="22"/>
              </w:rPr>
              <w:t>Courriel</w:t>
            </w:r>
            <w:r w:rsidR="00036F4F" w:rsidRPr="006F1D4A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402" w:type="dxa"/>
            <w:gridSpan w:val="3"/>
          </w:tcPr>
          <w:p w14:paraId="582AFFA6" w14:textId="6B7E2FF1" w:rsidR="00517A03" w:rsidRPr="006F1D4A" w:rsidRDefault="00DF1A5F" w:rsidP="0051551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524E2C" w:rsidRPr="006F1D4A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95" w:type="dxa"/>
            <w:gridSpan w:val="3"/>
          </w:tcPr>
          <w:p w14:paraId="049E7A12" w14:textId="77777777" w:rsidR="00517A03" w:rsidRPr="006F1D4A" w:rsidRDefault="00517A03" w:rsidP="0051551A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6F1D4A">
              <w:rPr>
                <w:b/>
                <w:sz w:val="22"/>
                <w:szCs w:val="22"/>
              </w:rPr>
              <w:t>Copie</w:t>
            </w:r>
            <w:r w:rsidRPr="006F1D4A">
              <w:rPr>
                <w:sz w:val="22"/>
                <w:szCs w:val="22"/>
              </w:rPr>
              <w:t>:</w:t>
            </w:r>
            <w:proofErr w:type="gramEnd"/>
          </w:p>
          <w:p w14:paraId="6240E5BB" w14:textId="774C5757" w:rsidR="00140A97" w:rsidRPr="006F1D4A" w:rsidRDefault="00883C55" w:rsidP="0051551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425" w:hanging="368"/>
              <w:rPr>
                <w:sz w:val="22"/>
                <w:szCs w:val="22"/>
                <w:lang w:val="fr-FR"/>
              </w:rPr>
            </w:pPr>
            <w:r w:rsidRPr="006F1D4A">
              <w:rPr>
                <w:sz w:val="22"/>
                <w:szCs w:val="22"/>
                <w:lang w:val="fr-FR"/>
              </w:rPr>
              <w:t>–</w:t>
            </w:r>
            <w:r w:rsidR="00517A03" w:rsidRPr="006F1D4A">
              <w:rPr>
                <w:sz w:val="22"/>
                <w:szCs w:val="22"/>
                <w:lang w:val="fr-FR"/>
              </w:rPr>
              <w:tab/>
            </w:r>
            <w:r w:rsidR="00140A97" w:rsidRPr="006F1D4A">
              <w:rPr>
                <w:sz w:val="22"/>
                <w:szCs w:val="22"/>
                <w:lang w:val="fr-FR"/>
              </w:rPr>
              <w:t xml:space="preserve">Aux Présidents et Vice-Présidents des Commissions </w:t>
            </w:r>
            <w:proofErr w:type="gramStart"/>
            <w:r w:rsidR="00140A97" w:rsidRPr="006F1D4A">
              <w:rPr>
                <w:sz w:val="22"/>
                <w:szCs w:val="22"/>
                <w:lang w:val="fr-FR"/>
              </w:rPr>
              <w:t>d'études;</w:t>
            </w:r>
            <w:proofErr w:type="gramEnd"/>
          </w:p>
          <w:p w14:paraId="6EBA169D" w14:textId="0F485131" w:rsidR="00140A97" w:rsidRPr="006F1D4A" w:rsidRDefault="00883C55" w:rsidP="0051551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425" w:hanging="368"/>
              <w:rPr>
                <w:sz w:val="22"/>
                <w:szCs w:val="22"/>
                <w:lang w:val="fr-FR"/>
              </w:rPr>
            </w:pPr>
            <w:r w:rsidRPr="006F1D4A">
              <w:rPr>
                <w:sz w:val="22"/>
                <w:szCs w:val="22"/>
                <w:lang w:val="fr-FR"/>
              </w:rPr>
              <w:t>–</w:t>
            </w:r>
            <w:r w:rsidR="00140A97" w:rsidRPr="006F1D4A">
              <w:rPr>
                <w:sz w:val="22"/>
                <w:szCs w:val="22"/>
                <w:lang w:val="fr-FR"/>
              </w:rPr>
              <w:tab/>
            </w:r>
            <w:r w:rsidR="0051551A" w:rsidRPr="006F1D4A">
              <w:rPr>
                <w:sz w:val="22"/>
                <w:szCs w:val="22"/>
                <w:lang w:val="fr-FR"/>
              </w:rPr>
              <w:t>Au Directeur</w:t>
            </w:r>
            <w:r w:rsidR="00140A97" w:rsidRPr="006F1D4A">
              <w:rPr>
                <w:sz w:val="22"/>
                <w:szCs w:val="22"/>
                <w:lang w:val="fr-FR"/>
              </w:rPr>
              <w:t xml:space="preserve"> du Bureau de développement des </w:t>
            </w:r>
            <w:proofErr w:type="gramStart"/>
            <w:r w:rsidR="00140A97" w:rsidRPr="006F1D4A">
              <w:rPr>
                <w:sz w:val="22"/>
                <w:szCs w:val="22"/>
                <w:lang w:val="fr-FR"/>
              </w:rPr>
              <w:t>télécommunications;</w:t>
            </w:r>
            <w:proofErr w:type="gramEnd"/>
          </w:p>
          <w:p w14:paraId="66268AA3" w14:textId="5AB5AA55" w:rsidR="00517A03" w:rsidRPr="006F1D4A" w:rsidRDefault="00883C55" w:rsidP="0051551A">
            <w:pPr>
              <w:tabs>
                <w:tab w:val="clear" w:pos="794"/>
                <w:tab w:val="left" w:pos="4111"/>
              </w:tabs>
              <w:spacing w:before="0"/>
              <w:ind w:left="425" w:hanging="368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–</w:t>
            </w:r>
            <w:r w:rsidR="00140A97" w:rsidRPr="006F1D4A">
              <w:rPr>
                <w:sz w:val="22"/>
                <w:szCs w:val="22"/>
              </w:rPr>
              <w:tab/>
            </w:r>
            <w:r w:rsidRPr="006F1D4A">
              <w:rPr>
                <w:sz w:val="22"/>
                <w:szCs w:val="22"/>
              </w:rPr>
              <w:t>A</w:t>
            </w:r>
            <w:r w:rsidR="00140A97" w:rsidRPr="006F1D4A">
              <w:rPr>
                <w:sz w:val="22"/>
                <w:szCs w:val="22"/>
              </w:rPr>
              <w:t xml:space="preserve">u Directeur du Bureau des </w:t>
            </w:r>
            <w:proofErr w:type="gramStart"/>
            <w:r w:rsidR="00140A97" w:rsidRPr="006F1D4A">
              <w:rPr>
                <w:sz w:val="22"/>
                <w:szCs w:val="22"/>
              </w:rPr>
              <w:t>radiocommunications</w:t>
            </w:r>
            <w:r w:rsidR="006542BC" w:rsidRPr="006F1D4A">
              <w:rPr>
                <w:sz w:val="22"/>
                <w:szCs w:val="22"/>
              </w:rPr>
              <w:t>;</w:t>
            </w:r>
            <w:proofErr w:type="gramEnd"/>
          </w:p>
          <w:p w14:paraId="407AEC7B" w14:textId="26097B76" w:rsidR="00524E2C" w:rsidRPr="006F1D4A" w:rsidRDefault="00883C55" w:rsidP="0051551A">
            <w:pPr>
              <w:tabs>
                <w:tab w:val="clear" w:pos="794"/>
                <w:tab w:val="left" w:pos="4111"/>
              </w:tabs>
              <w:spacing w:before="0"/>
              <w:ind w:left="425" w:hanging="368"/>
              <w:rPr>
                <w:sz w:val="22"/>
                <w:szCs w:val="22"/>
              </w:rPr>
            </w:pPr>
            <w:r w:rsidRPr="006F1D4A">
              <w:rPr>
                <w:sz w:val="22"/>
                <w:szCs w:val="22"/>
              </w:rPr>
              <w:t>–</w:t>
            </w:r>
            <w:r w:rsidRPr="006F1D4A">
              <w:rPr>
                <w:sz w:val="22"/>
                <w:szCs w:val="22"/>
              </w:rPr>
              <w:tab/>
              <w:t xml:space="preserve">Aux </w:t>
            </w:r>
            <w:r w:rsidR="00524E2C" w:rsidRPr="006F1D4A">
              <w:rPr>
                <w:sz w:val="22"/>
                <w:szCs w:val="22"/>
              </w:rPr>
              <w:t xml:space="preserve">Directeurs des </w:t>
            </w:r>
            <w:r w:rsidR="00942257" w:rsidRPr="006F1D4A">
              <w:rPr>
                <w:sz w:val="22"/>
                <w:szCs w:val="22"/>
              </w:rPr>
              <w:t>B</w:t>
            </w:r>
            <w:r w:rsidR="00D0298F" w:rsidRPr="006F1D4A">
              <w:rPr>
                <w:sz w:val="22"/>
                <w:szCs w:val="22"/>
              </w:rPr>
              <w:t>ureaux régionaux de l'UIT à </w:t>
            </w:r>
            <w:r w:rsidR="00524E2C" w:rsidRPr="006F1D4A">
              <w:rPr>
                <w:sz w:val="22"/>
                <w:szCs w:val="22"/>
              </w:rPr>
              <w:t>Addis</w:t>
            </w:r>
            <w:r w:rsidR="00D0298F" w:rsidRPr="006F1D4A">
              <w:rPr>
                <w:sz w:val="22"/>
                <w:szCs w:val="22"/>
              </w:rPr>
              <w:noBreakHyphen/>
            </w:r>
            <w:r w:rsidR="00524E2C" w:rsidRPr="006F1D4A">
              <w:rPr>
                <w:sz w:val="22"/>
                <w:szCs w:val="22"/>
              </w:rPr>
              <w:t>Abeba (Ét</w:t>
            </w:r>
            <w:r w:rsidR="00D0298F" w:rsidRPr="006F1D4A">
              <w:rPr>
                <w:sz w:val="22"/>
                <w:szCs w:val="22"/>
              </w:rPr>
              <w:t xml:space="preserve">hiopie) </w:t>
            </w:r>
            <w:r w:rsidR="00A946F7" w:rsidRPr="006F1D4A">
              <w:rPr>
                <w:sz w:val="22"/>
                <w:szCs w:val="22"/>
              </w:rPr>
              <w:t xml:space="preserve">et </w:t>
            </w:r>
            <w:r w:rsidR="00D0298F" w:rsidRPr="006F1D4A">
              <w:rPr>
                <w:sz w:val="22"/>
                <w:szCs w:val="22"/>
              </w:rPr>
              <w:t>au Caire (Égypte)</w:t>
            </w:r>
          </w:p>
        </w:tc>
      </w:tr>
      <w:tr w:rsidR="00517A03" w:rsidRPr="006F1D4A" w14:paraId="7065D261" w14:textId="77777777" w:rsidTr="0051551A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0D2A0EA9" w14:textId="77777777" w:rsidR="00517A03" w:rsidRPr="006F1D4A" w:rsidRDefault="00517A03" w:rsidP="0051551A">
            <w:pPr>
              <w:spacing w:before="240"/>
              <w:rPr>
                <w:b/>
                <w:bCs/>
                <w:sz w:val="22"/>
                <w:szCs w:val="22"/>
              </w:rPr>
            </w:pPr>
            <w:proofErr w:type="gramStart"/>
            <w:r w:rsidRPr="006F1D4A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21811741" w14:textId="4AA071E0" w:rsidR="00517A03" w:rsidRPr="006F1D4A" w:rsidRDefault="00A946F7" w:rsidP="0051551A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6F1D4A">
              <w:rPr>
                <w:b/>
                <w:bCs/>
                <w:sz w:val="22"/>
                <w:szCs w:val="22"/>
              </w:rPr>
              <w:t xml:space="preserve">Édition de 2023 de la Semaine sur la transformation numérique durable </w:t>
            </w:r>
            <w:r w:rsidR="003D4023" w:rsidRPr="006F1D4A">
              <w:rPr>
                <w:b/>
                <w:bCs/>
                <w:sz w:val="22"/>
                <w:szCs w:val="22"/>
              </w:rPr>
              <w:t>en</w:t>
            </w:r>
            <w:r w:rsidR="00C7007E" w:rsidRPr="006F1D4A">
              <w:rPr>
                <w:b/>
                <w:bCs/>
                <w:sz w:val="22"/>
                <w:szCs w:val="22"/>
              </w:rPr>
              <w:t xml:space="preserve"> </w:t>
            </w:r>
            <w:r w:rsidRPr="006F1D4A">
              <w:rPr>
                <w:b/>
                <w:bCs/>
                <w:sz w:val="22"/>
                <w:szCs w:val="22"/>
              </w:rPr>
              <w:t>Afrique</w:t>
            </w:r>
            <w:r w:rsidR="001279B5" w:rsidRPr="006F1D4A">
              <w:rPr>
                <w:b/>
                <w:bCs/>
                <w:sz w:val="22"/>
                <w:szCs w:val="22"/>
              </w:rPr>
              <w:br/>
              <w:t>(Kampala, Ouganda, 15-19 mai 2023)</w:t>
            </w:r>
          </w:p>
        </w:tc>
      </w:tr>
    </w:tbl>
    <w:p w14:paraId="0D44D52B" w14:textId="77777777" w:rsidR="00517A03" w:rsidRPr="006F1D4A" w:rsidRDefault="00517A03" w:rsidP="0051551A">
      <w:pPr>
        <w:spacing w:before="360"/>
        <w:rPr>
          <w:sz w:val="22"/>
          <w:szCs w:val="22"/>
        </w:rPr>
      </w:pPr>
      <w:bookmarkStart w:id="1" w:name="StartTyping_F"/>
      <w:bookmarkEnd w:id="1"/>
      <w:r w:rsidRPr="006F1D4A">
        <w:rPr>
          <w:sz w:val="22"/>
          <w:szCs w:val="22"/>
        </w:rPr>
        <w:t>Madame, Monsieur,</w:t>
      </w:r>
    </w:p>
    <w:p w14:paraId="77C8F36D" w14:textId="0A4D9496" w:rsidR="00140A97" w:rsidRPr="006F1D4A" w:rsidRDefault="00140A97" w:rsidP="0051551A">
      <w:pPr>
        <w:rPr>
          <w:sz w:val="22"/>
          <w:szCs w:val="22"/>
        </w:rPr>
      </w:pPr>
      <w:r w:rsidRPr="006F1D4A">
        <w:rPr>
          <w:bCs/>
          <w:sz w:val="22"/>
          <w:szCs w:val="22"/>
        </w:rPr>
        <w:t>1</w:t>
      </w:r>
      <w:r w:rsidRPr="006F1D4A">
        <w:rPr>
          <w:sz w:val="22"/>
          <w:szCs w:val="22"/>
        </w:rPr>
        <w:tab/>
      </w:r>
      <w:r w:rsidR="009B2301" w:rsidRPr="006F1D4A">
        <w:rPr>
          <w:sz w:val="22"/>
          <w:szCs w:val="22"/>
        </w:rPr>
        <w:t>J'ai l'honneur de vous informer que l'Union internationale des télé</w:t>
      </w:r>
      <w:r w:rsidR="0039011B" w:rsidRPr="006F1D4A">
        <w:rPr>
          <w:sz w:val="22"/>
          <w:szCs w:val="22"/>
        </w:rPr>
        <w:t xml:space="preserve">communications (UIT) </w:t>
      </w:r>
      <w:r w:rsidR="00A946F7" w:rsidRPr="006F1D4A">
        <w:rPr>
          <w:sz w:val="22"/>
          <w:szCs w:val="22"/>
        </w:rPr>
        <w:t>et l'Union africaine des télécommunications (UAT) organiseront conjointement l'</w:t>
      </w:r>
      <w:r w:rsidR="0051551A" w:rsidRPr="006F1D4A">
        <w:rPr>
          <w:b/>
          <w:sz w:val="22"/>
          <w:szCs w:val="22"/>
        </w:rPr>
        <w:t>édition de 2023 de la </w:t>
      </w:r>
      <w:r w:rsidR="00A946F7" w:rsidRPr="006F1D4A">
        <w:rPr>
          <w:b/>
          <w:sz w:val="22"/>
          <w:szCs w:val="22"/>
        </w:rPr>
        <w:t xml:space="preserve">Semaine sur la transformation numérique durable </w:t>
      </w:r>
      <w:r w:rsidR="00E615DF" w:rsidRPr="006F1D4A">
        <w:rPr>
          <w:b/>
          <w:sz w:val="22"/>
          <w:szCs w:val="22"/>
        </w:rPr>
        <w:t>en</w:t>
      </w:r>
      <w:r w:rsidR="00A946F7" w:rsidRPr="006F1D4A">
        <w:rPr>
          <w:b/>
          <w:sz w:val="22"/>
          <w:szCs w:val="22"/>
        </w:rPr>
        <w:t xml:space="preserve"> Afrique</w:t>
      </w:r>
      <w:r w:rsidR="00A946F7" w:rsidRPr="006F1D4A">
        <w:rPr>
          <w:sz w:val="22"/>
          <w:szCs w:val="22"/>
        </w:rPr>
        <w:t xml:space="preserve">, qui </w:t>
      </w:r>
      <w:r w:rsidR="00A06A26" w:rsidRPr="006F1D4A">
        <w:rPr>
          <w:sz w:val="22"/>
          <w:szCs w:val="22"/>
        </w:rPr>
        <w:t>se déroulera</w:t>
      </w:r>
      <w:r w:rsidR="0051551A" w:rsidRPr="006F1D4A">
        <w:rPr>
          <w:sz w:val="22"/>
          <w:szCs w:val="22"/>
        </w:rPr>
        <w:t xml:space="preserve"> du 15 au 19 </w:t>
      </w:r>
      <w:r w:rsidR="00A946F7" w:rsidRPr="006F1D4A">
        <w:rPr>
          <w:sz w:val="22"/>
          <w:szCs w:val="22"/>
        </w:rPr>
        <w:t xml:space="preserve">mai 2023 à Kampala (Ouganda). Cette manifestation se tiendra à l'aimable invitation de la Commission des communications de l'Ouganda. </w:t>
      </w:r>
      <w:r w:rsidR="00A06A26" w:rsidRPr="006F1D4A">
        <w:rPr>
          <w:sz w:val="22"/>
          <w:szCs w:val="22"/>
        </w:rPr>
        <w:t>Elle aura lieu</w:t>
      </w:r>
      <w:r w:rsidR="00A946F7" w:rsidRPr="006F1D4A">
        <w:rPr>
          <w:sz w:val="22"/>
          <w:szCs w:val="22"/>
        </w:rPr>
        <w:t xml:space="preserve"> dans la salle de conférence </w:t>
      </w:r>
      <w:r w:rsidR="00E615DF" w:rsidRPr="006F1D4A">
        <w:rPr>
          <w:sz w:val="22"/>
          <w:szCs w:val="22"/>
        </w:rPr>
        <w:t xml:space="preserve">des locaux </w:t>
      </w:r>
      <w:r w:rsidR="00A946F7" w:rsidRPr="006F1D4A">
        <w:rPr>
          <w:sz w:val="22"/>
          <w:szCs w:val="22"/>
        </w:rPr>
        <w:t xml:space="preserve">de la Commission des communications de l'Ouganda, </w:t>
      </w:r>
      <w:r w:rsidR="00E615DF" w:rsidRPr="006F1D4A">
        <w:rPr>
          <w:sz w:val="22"/>
          <w:szCs w:val="22"/>
        </w:rPr>
        <w:t xml:space="preserve">situés </w:t>
      </w:r>
      <w:r w:rsidR="00A946F7" w:rsidRPr="006F1D4A">
        <w:rPr>
          <w:sz w:val="22"/>
          <w:szCs w:val="22"/>
        </w:rPr>
        <w:t>à l'adresse</w:t>
      </w:r>
      <w:r w:rsidR="00A06A26" w:rsidRPr="006F1D4A">
        <w:rPr>
          <w:sz w:val="22"/>
          <w:szCs w:val="22"/>
        </w:rPr>
        <w:t xml:space="preserve"> </w:t>
      </w:r>
      <w:proofErr w:type="gramStart"/>
      <w:r w:rsidR="00A06A26" w:rsidRPr="006F1D4A">
        <w:rPr>
          <w:sz w:val="22"/>
          <w:szCs w:val="22"/>
        </w:rPr>
        <w:t>suivante</w:t>
      </w:r>
      <w:r w:rsidR="00A946F7" w:rsidRPr="006F1D4A">
        <w:rPr>
          <w:sz w:val="22"/>
          <w:szCs w:val="22"/>
        </w:rPr>
        <w:t>:</w:t>
      </w:r>
      <w:proofErr w:type="gramEnd"/>
      <w:r w:rsidR="00A946F7" w:rsidRPr="006F1D4A">
        <w:rPr>
          <w:sz w:val="22"/>
          <w:szCs w:val="22"/>
        </w:rPr>
        <w:t xml:space="preserve"> UCC House, Spring Road, Bugolobi, Kampala (Ouganda). La participation à distance sera possible. La Semaine sur la transformation numérique durable </w:t>
      </w:r>
      <w:r w:rsidR="00DA0F5D" w:rsidRPr="006F1D4A">
        <w:rPr>
          <w:sz w:val="22"/>
          <w:szCs w:val="22"/>
        </w:rPr>
        <w:t>en</w:t>
      </w:r>
      <w:r w:rsidR="00A946F7" w:rsidRPr="006F1D4A">
        <w:rPr>
          <w:sz w:val="22"/>
          <w:szCs w:val="22"/>
        </w:rPr>
        <w:t xml:space="preserve"> Afrique aura lieu en même temps que </w:t>
      </w:r>
      <w:r w:rsidR="00005468" w:rsidRPr="006F1D4A">
        <w:rPr>
          <w:sz w:val="22"/>
          <w:szCs w:val="22"/>
        </w:rPr>
        <w:t xml:space="preserve">les réunions des Groupes régionaux de la </w:t>
      </w:r>
      <w:r w:rsidR="00DD2A12" w:rsidRPr="006F1D4A">
        <w:rPr>
          <w:sz w:val="22"/>
          <w:szCs w:val="22"/>
        </w:rPr>
        <w:t xml:space="preserve">Commission d'études 5 </w:t>
      </w:r>
      <w:r w:rsidR="005F2AB3" w:rsidRPr="006F1D4A">
        <w:rPr>
          <w:sz w:val="22"/>
          <w:szCs w:val="22"/>
        </w:rPr>
        <w:t>de l'UIT-T pour l'Afrique (</w:t>
      </w:r>
      <w:hyperlink r:id="rId10" w:history="1">
        <w:r w:rsidR="0039011B" w:rsidRPr="006F1D4A">
          <w:rPr>
            <w:rStyle w:val="Hyperlink"/>
            <w:rFonts w:cstheme="minorHAnsi"/>
            <w:sz w:val="22"/>
            <w:szCs w:val="22"/>
          </w:rPr>
          <w:t>SG5RG-AFR</w:t>
        </w:r>
      </w:hyperlink>
      <w:r w:rsidR="005F2AB3" w:rsidRPr="006F1D4A">
        <w:rPr>
          <w:sz w:val="22"/>
          <w:szCs w:val="22"/>
        </w:rPr>
        <w:t xml:space="preserve">) </w:t>
      </w:r>
      <w:r w:rsidR="00005468" w:rsidRPr="006F1D4A">
        <w:rPr>
          <w:sz w:val="22"/>
          <w:szCs w:val="22"/>
        </w:rPr>
        <w:t xml:space="preserve">et </w:t>
      </w:r>
      <w:r w:rsidR="005F2AB3" w:rsidRPr="006F1D4A">
        <w:rPr>
          <w:sz w:val="22"/>
          <w:szCs w:val="22"/>
        </w:rPr>
        <w:t>pour les États arabes (</w:t>
      </w:r>
      <w:hyperlink r:id="rId11" w:history="1">
        <w:r w:rsidR="0039011B" w:rsidRPr="006F1D4A">
          <w:rPr>
            <w:rStyle w:val="Hyperlink"/>
            <w:rFonts w:cstheme="minorHAnsi"/>
            <w:sz w:val="22"/>
            <w:szCs w:val="22"/>
          </w:rPr>
          <w:t>SG5RG-ARB</w:t>
        </w:r>
      </w:hyperlink>
      <w:r w:rsidR="005F2AB3" w:rsidRPr="006F1D4A">
        <w:rPr>
          <w:sz w:val="22"/>
          <w:szCs w:val="22"/>
        </w:rPr>
        <w:t>).</w:t>
      </w:r>
    </w:p>
    <w:p w14:paraId="12455D5F" w14:textId="1B45F52E" w:rsidR="001279B5" w:rsidRPr="006F1D4A" w:rsidRDefault="001279B5" w:rsidP="0051551A">
      <w:pPr>
        <w:rPr>
          <w:sz w:val="22"/>
          <w:szCs w:val="22"/>
        </w:rPr>
      </w:pPr>
      <w:r w:rsidRPr="006F1D4A">
        <w:rPr>
          <w:sz w:val="22"/>
          <w:szCs w:val="22"/>
        </w:rPr>
        <w:t>2</w:t>
      </w:r>
      <w:r w:rsidRPr="006F1D4A">
        <w:rPr>
          <w:sz w:val="22"/>
          <w:szCs w:val="22"/>
        </w:rPr>
        <w:tab/>
      </w:r>
      <w:r w:rsidR="001F2DC1" w:rsidRPr="006F1D4A">
        <w:rPr>
          <w:sz w:val="22"/>
          <w:szCs w:val="22"/>
        </w:rPr>
        <w:t xml:space="preserve">Le passage au numérique </w:t>
      </w:r>
      <w:r w:rsidR="00447F5B" w:rsidRPr="006F1D4A">
        <w:rPr>
          <w:sz w:val="22"/>
          <w:szCs w:val="22"/>
        </w:rPr>
        <w:t>constitue</w:t>
      </w:r>
      <w:r w:rsidR="001F2DC1" w:rsidRPr="006F1D4A">
        <w:rPr>
          <w:sz w:val="22"/>
          <w:szCs w:val="22"/>
        </w:rPr>
        <w:t xml:space="preserve"> l'une des perspectives les plus porteuses de changement de notre époque. Il redéfinit l'économie mondiale, favorise l'inclusion financière, contribue à combler le fossé de l'information et révolutionne nos modes de travail, de vie et d'apprentissage. Ainsi, le passage au numérique sera déterminant pour </w:t>
      </w:r>
      <w:r w:rsidR="000B7B60" w:rsidRPr="006F1D4A">
        <w:rPr>
          <w:sz w:val="22"/>
          <w:szCs w:val="22"/>
        </w:rPr>
        <w:t>accroître</w:t>
      </w:r>
      <w:r w:rsidR="00621434" w:rsidRPr="006F1D4A">
        <w:rPr>
          <w:sz w:val="22"/>
          <w:szCs w:val="22"/>
        </w:rPr>
        <w:t xml:space="preserve"> la prospérité partagée dans les</w:t>
      </w:r>
      <w:r w:rsidR="001F2DC1" w:rsidRPr="006F1D4A">
        <w:rPr>
          <w:sz w:val="22"/>
          <w:szCs w:val="22"/>
        </w:rPr>
        <w:t xml:space="preserve"> région</w:t>
      </w:r>
      <w:r w:rsidR="00621434" w:rsidRPr="006F1D4A">
        <w:rPr>
          <w:sz w:val="22"/>
          <w:szCs w:val="22"/>
        </w:rPr>
        <w:t>s</w:t>
      </w:r>
      <w:r w:rsidR="001F2DC1" w:rsidRPr="006F1D4A">
        <w:rPr>
          <w:sz w:val="22"/>
          <w:szCs w:val="22"/>
        </w:rPr>
        <w:t xml:space="preserve"> </w:t>
      </w:r>
      <w:r w:rsidR="00621434" w:rsidRPr="006F1D4A">
        <w:rPr>
          <w:sz w:val="22"/>
          <w:szCs w:val="22"/>
        </w:rPr>
        <w:t>de l'</w:t>
      </w:r>
      <w:r w:rsidR="001F2DC1" w:rsidRPr="006F1D4A">
        <w:rPr>
          <w:sz w:val="22"/>
          <w:szCs w:val="22"/>
        </w:rPr>
        <w:t>Afrique et des États arabes.</w:t>
      </w:r>
    </w:p>
    <w:p w14:paraId="5217842E" w14:textId="7112E307" w:rsidR="001279B5" w:rsidRPr="006F1D4A" w:rsidRDefault="001279B5" w:rsidP="0051551A">
      <w:pPr>
        <w:rPr>
          <w:sz w:val="22"/>
          <w:szCs w:val="22"/>
        </w:rPr>
      </w:pPr>
      <w:r w:rsidRPr="006F1D4A">
        <w:rPr>
          <w:sz w:val="22"/>
          <w:szCs w:val="22"/>
        </w:rPr>
        <w:t>3</w:t>
      </w:r>
      <w:r w:rsidRPr="006F1D4A">
        <w:rPr>
          <w:sz w:val="22"/>
          <w:szCs w:val="22"/>
        </w:rPr>
        <w:tab/>
      </w:r>
      <w:r w:rsidR="00EC56A8" w:rsidRPr="006F1D4A">
        <w:rPr>
          <w:sz w:val="22"/>
          <w:szCs w:val="22"/>
        </w:rPr>
        <w:t xml:space="preserve">Compte tenu de la dynamique exceptionnelle et de l'urgence </w:t>
      </w:r>
      <w:r w:rsidR="00780411" w:rsidRPr="006F1D4A">
        <w:rPr>
          <w:sz w:val="22"/>
          <w:szCs w:val="22"/>
        </w:rPr>
        <w:t>du moment</w:t>
      </w:r>
      <w:r w:rsidR="00EC56A8" w:rsidRPr="006F1D4A">
        <w:rPr>
          <w:sz w:val="22"/>
          <w:szCs w:val="22"/>
        </w:rPr>
        <w:t xml:space="preserve">, </w:t>
      </w:r>
      <w:r w:rsidR="00611EE5" w:rsidRPr="006F1D4A">
        <w:rPr>
          <w:sz w:val="22"/>
          <w:szCs w:val="22"/>
        </w:rPr>
        <w:t>il faut</w:t>
      </w:r>
      <w:r w:rsidR="00EC56A8" w:rsidRPr="006F1D4A">
        <w:rPr>
          <w:sz w:val="22"/>
          <w:szCs w:val="22"/>
        </w:rPr>
        <w:t xml:space="preserve"> </w:t>
      </w:r>
      <w:r w:rsidR="001F2DC1" w:rsidRPr="006F1D4A">
        <w:rPr>
          <w:sz w:val="22"/>
          <w:szCs w:val="22"/>
        </w:rPr>
        <w:t>accélérer le p</w:t>
      </w:r>
      <w:r w:rsidR="00AD7CD9" w:rsidRPr="006F1D4A">
        <w:rPr>
          <w:sz w:val="22"/>
          <w:szCs w:val="22"/>
        </w:rPr>
        <w:t xml:space="preserve">assage au numérique, réduire la fracture </w:t>
      </w:r>
      <w:r w:rsidR="001F2DC1" w:rsidRPr="006F1D4A">
        <w:rPr>
          <w:sz w:val="22"/>
          <w:szCs w:val="22"/>
        </w:rPr>
        <w:t xml:space="preserve">numérique et </w:t>
      </w:r>
      <w:r w:rsidR="00B77FCC" w:rsidRPr="006F1D4A">
        <w:rPr>
          <w:sz w:val="22"/>
          <w:szCs w:val="22"/>
        </w:rPr>
        <w:t>établir</w:t>
      </w:r>
      <w:r w:rsidR="001F2DC1" w:rsidRPr="006F1D4A">
        <w:rPr>
          <w:sz w:val="22"/>
          <w:szCs w:val="22"/>
        </w:rPr>
        <w:t xml:space="preserve"> les infrastructures publiques numériques </w:t>
      </w:r>
      <w:r w:rsidR="00621434" w:rsidRPr="006F1D4A">
        <w:rPr>
          <w:sz w:val="22"/>
          <w:szCs w:val="22"/>
        </w:rPr>
        <w:t>qui peuvent rendre possible</w:t>
      </w:r>
      <w:r w:rsidR="001F2DC1" w:rsidRPr="006F1D4A">
        <w:rPr>
          <w:sz w:val="22"/>
          <w:szCs w:val="22"/>
        </w:rPr>
        <w:t xml:space="preserve"> cette transformation.</w:t>
      </w:r>
      <w:r w:rsidR="00AD7CD9" w:rsidRPr="006F1D4A">
        <w:rPr>
          <w:sz w:val="22"/>
          <w:szCs w:val="22"/>
        </w:rPr>
        <w:t xml:space="preserve"> En collaboration avec les organisations internationales, les pouvoirs publics et le secteur privé, nous pouvons tirer parti de ressources, harmoniser les politiques et aider les pays à </w:t>
      </w:r>
      <w:r w:rsidR="00B77FCC" w:rsidRPr="006F1D4A">
        <w:rPr>
          <w:sz w:val="22"/>
          <w:szCs w:val="22"/>
        </w:rPr>
        <w:t>intensifier</w:t>
      </w:r>
      <w:r w:rsidR="00AD7CD9" w:rsidRPr="006F1D4A">
        <w:rPr>
          <w:sz w:val="22"/>
          <w:szCs w:val="22"/>
        </w:rPr>
        <w:t xml:space="preserve"> la transformation numérique </w:t>
      </w:r>
      <w:r w:rsidR="00FB2A8D" w:rsidRPr="006F1D4A">
        <w:rPr>
          <w:sz w:val="22"/>
          <w:szCs w:val="22"/>
        </w:rPr>
        <w:t>pour tous</w:t>
      </w:r>
      <w:r w:rsidR="00AD7CD9" w:rsidRPr="006F1D4A">
        <w:rPr>
          <w:sz w:val="22"/>
          <w:szCs w:val="22"/>
        </w:rPr>
        <w:t xml:space="preserve"> dans les différentes régions.</w:t>
      </w:r>
    </w:p>
    <w:p w14:paraId="5AAE29F2" w14:textId="3954331D" w:rsidR="005F2AB3" w:rsidRPr="006F1D4A" w:rsidRDefault="001279B5" w:rsidP="0051551A">
      <w:pPr>
        <w:rPr>
          <w:sz w:val="22"/>
          <w:szCs w:val="22"/>
        </w:rPr>
      </w:pPr>
      <w:r w:rsidRPr="006F1D4A">
        <w:rPr>
          <w:sz w:val="22"/>
          <w:szCs w:val="22"/>
        </w:rPr>
        <w:t>4</w:t>
      </w:r>
      <w:r w:rsidR="005F2AB3" w:rsidRPr="006F1D4A">
        <w:rPr>
          <w:sz w:val="22"/>
          <w:szCs w:val="22"/>
        </w:rPr>
        <w:tab/>
        <w:t xml:space="preserve">Cette manifestation vise </w:t>
      </w:r>
      <w:r w:rsidR="000D1744" w:rsidRPr="006F1D4A">
        <w:rPr>
          <w:sz w:val="22"/>
          <w:szCs w:val="22"/>
        </w:rPr>
        <w:t xml:space="preserve">avant tout </w:t>
      </w:r>
      <w:r w:rsidR="00621434" w:rsidRPr="006F1D4A">
        <w:rPr>
          <w:sz w:val="22"/>
          <w:szCs w:val="22"/>
        </w:rPr>
        <w:t>à entamer</w:t>
      </w:r>
      <w:r w:rsidR="005F2AB3" w:rsidRPr="006F1D4A">
        <w:rPr>
          <w:sz w:val="22"/>
          <w:szCs w:val="22"/>
        </w:rPr>
        <w:t xml:space="preserve"> une discussion mondiale sur la transformation numérique durable</w:t>
      </w:r>
      <w:r w:rsidR="00AF7709" w:rsidRPr="006F1D4A">
        <w:rPr>
          <w:sz w:val="22"/>
          <w:szCs w:val="22"/>
        </w:rPr>
        <w:t xml:space="preserve">, </w:t>
      </w:r>
      <w:r w:rsidR="005F2AB3" w:rsidRPr="006F1D4A">
        <w:rPr>
          <w:sz w:val="22"/>
          <w:szCs w:val="22"/>
        </w:rPr>
        <w:t>en particulier dans les régions de l'Afrique</w:t>
      </w:r>
      <w:r w:rsidR="00621434" w:rsidRPr="006F1D4A">
        <w:rPr>
          <w:sz w:val="22"/>
          <w:szCs w:val="22"/>
        </w:rPr>
        <w:t xml:space="preserve"> et</w:t>
      </w:r>
      <w:r w:rsidR="005F2AB3" w:rsidRPr="006F1D4A">
        <w:rPr>
          <w:sz w:val="22"/>
          <w:szCs w:val="22"/>
        </w:rPr>
        <w:t xml:space="preserve"> des États arabes. L'objectif est de fournir un cadre international dans lequel les parties prenantes peuvent se réunir pour échanger des données d'expérience</w:t>
      </w:r>
      <w:r w:rsidR="00621434" w:rsidRPr="006F1D4A">
        <w:rPr>
          <w:sz w:val="22"/>
          <w:szCs w:val="22"/>
        </w:rPr>
        <w:t>,</w:t>
      </w:r>
      <w:r w:rsidR="005F2AB3" w:rsidRPr="006F1D4A">
        <w:rPr>
          <w:sz w:val="22"/>
          <w:szCs w:val="22"/>
        </w:rPr>
        <w:t xml:space="preserve"> identifier des solutions communes </w:t>
      </w:r>
      <w:r w:rsidR="00621434" w:rsidRPr="006F1D4A">
        <w:rPr>
          <w:sz w:val="22"/>
          <w:szCs w:val="22"/>
        </w:rPr>
        <w:t>et étudier des possibilités de tirer parti des technologies numériques pour améliorer l'efficacité, la productivité et l'innovation</w:t>
      </w:r>
      <w:r w:rsidR="00697E95" w:rsidRPr="006F1D4A">
        <w:rPr>
          <w:sz w:val="22"/>
          <w:szCs w:val="22"/>
        </w:rPr>
        <w:t>,</w:t>
      </w:r>
      <w:r w:rsidR="00B11308" w:rsidRPr="006F1D4A">
        <w:rPr>
          <w:sz w:val="22"/>
          <w:szCs w:val="22"/>
        </w:rPr>
        <w:t xml:space="preserve"> de façon à progresser dans la réalisation des Objectifs de développement durable tout en limitant au maximum les incidences </w:t>
      </w:r>
      <w:r w:rsidR="00697E95" w:rsidRPr="006F1D4A">
        <w:rPr>
          <w:sz w:val="22"/>
          <w:szCs w:val="22"/>
        </w:rPr>
        <w:t>négatives</w:t>
      </w:r>
      <w:r w:rsidR="00B11308" w:rsidRPr="006F1D4A">
        <w:rPr>
          <w:sz w:val="22"/>
          <w:szCs w:val="22"/>
        </w:rPr>
        <w:t xml:space="preserve"> </w:t>
      </w:r>
      <w:r w:rsidR="00697E95" w:rsidRPr="006F1D4A">
        <w:rPr>
          <w:sz w:val="22"/>
          <w:szCs w:val="22"/>
        </w:rPr>
        <w:t>sur</w:t>
      </w:r>
      <w:r w:rsidR="00B11308" w:rsidRPr="006F1D4A">
        <w:rPr>
          <w:sz w:val="22"/>
          <w:szCs w:val="22"/>
        </w:rPr>
        <w:t xml:space="preserve"> l'environnement et la société</w:t>
      </w:r>
      <w:r w:rsidR="005F2AB3" w:rsidRPr="006F1D4A">
        <w:rPr>
          <w:sz w:val="22"/>
          <w:szCs w:val="22"/>
        </w:rPr>
        <w:t xml:space="preserve">. </w:t>
      </w:r>
      <w:r w:rsidR="00CE197B" w:rsidRPr="006F1D4A">
        <w:rPr>
          <w:sz w:val="22"/>
          <w:szCs w:val="22"/>
        </w:rPr>
        <w:t xml:space="preserve">Les participants </w:t>
      </w:r>
      <w:r w:rsidR="00B11308" w:rsidRPr="006F1D4A">
        <w:rPr>
          <w:sz w:val="22"/>
          <w:szCs w:val="22"/>
        </w:rPr>
        <w:t xml:space="preserve">à cette manifestation </w:t>
      </w:r>
      <w:r w:rsidR="00CE197B" w:rsidRPr="006F1D4A">
        <w:rPr>
          <w:sz w:val="22"/>
          <w:szCs w:val="22"/>
        </w:rPr>
        <w:t>s</w:t>
      </w:r>
      <w:r w:rsidR="00863089" w:rsidRPr="006F1D4A">
        <w:rPr>
          <w:sz w:val="22"/>
          <w:szCs w:val="22"/>
        </w:rPr>
        <w:t>er</w:t>
      </w:r>
      <w:r w:rsidR="00CE197B" w:rsidRPr="006F1D4A">
        <w:rPr>
          <w:sz w:val="22"/>
          <w:szCs w:val="22"/>
        </w:rPr>
        <w:t xml:space="preserve">ont encouragés à examiner de plus près le rôle que jouent les normes internationales dans </w:t>
      </w:r>
      <w:r w:rsidR="00863089" w:rsidRPr="006F1D4A">
        <w:rPr>
          <w:sz w:val="22"/>
          <w:szCs w:val="22"/>
        </w:rPr>
        <w:t>c</w:t>
      </w:r>
      <w:r w:rsidR="00CE197B" w:rsidRPr="006F1D4A">
        <w:rPr>
          <w:sz w:val="22"/>
          <w:szCs w:val="22"/>
        </w:rPr>
        <w:t>e processus et la façon dont elles pourront</w:t>
      </w:r>
      <w:r w:rsidR="00863089" w:rsidRPr="006F1D4A">
        <w:rPr>
          <w:sz w:val="22"/>
          <w:szCs w:val="22"/>
        </w:rPr>
        <w:t xml:space="preserve"> </w:t>
      </w:r>
      <w:r w:rsidR="00863089" w:rsidRPr="006F1D4A">
        <w:rPr>
          <w:sz w:val="22"/>
          <w:szCs w:val="22"/>
        </w:rPr>
        <w:lastRenderedPageBreak/>
        <w:t>favoriser</w:t>
      </w:r>
      <w:r w:rsidR="00CE197B" w:rsidRPr="006F1D4A">
        <w:rPr>
          <w:sz w:val="22"/>
          <w:szCs w:val="22"/>
        </w:rPr>
        <w:t xml:space="preserve"> des changements positifs. Au moyen de dialogues enrichissants, cette manifestation permettra de repenser les discours mondiaux sur la transformation numérique et </w:t>
      </w:r>
      <w:r w:rsidR="00B11308" w:rsidRPr="006F1D4A">
        <w:rPr>
          <w:sz w:val="22"/>
          <w:szCs w:val="22"/>
        </w:rPr>
        <w:t>d'ouvrir</w:t>
      </w:r>
      <w:r w:rsidR="00CE197B" w:rsidRPr="006F1D4A">
        <w:rPr>
          <w:sz w:val="22"/>
          <w:szCs w:val="22"/>
        </w:rPr>
        <w:t xml:space="preserve"> de nouvelles </w:t>
      </w:r>
      <w:r w:rsidR="00B11308" w:rsidRPr="006F1D4A">
        <w:rPr>
          <w:sz w:val="22"/>
          <w:szCs w:val="22"/>
        </w:rPr>
        <w:t xml:space="preserve">voies et </w:t>
      </w:r>
      <w:r w:rsidR="00CE197B" w:rsidRPr="006F1D4A">
        <w:rPr>
          <w:sz w:val="22"/>
          <w:szCs w:val="22"/>
        </w:rPr>
        <w:t xml:space="preserve">perspectives </w:t>
      </w:r>
      <w:r w:rsidR="00B11308" w:rsidRPr="006F1D4A">
        <w:rPr>
          <w:sz w:val="22"/>
          <w:szCs w:val="22"/>
        </w:rPr>
        <w:t xml:space="preserve">en matière </w:t>
      </w:r>
      <w:r w:rsidR="00CE197B" w:rsidRPr="006F1D4A">
        <w:rPr>
          <w:sz w:val="22"/>
          <w:szCs w:val="22"/>
        </w:rPr>
        <w:t>de coopération et de collaboration</w:t>
      </w:r>
      <w:r w:rsidR="00B11308" w:rsidRPr="006F1D4A">
        <w:rPr>
          <w:sz w:val="22"/>
          <w:szCs w:val="22"/>
        </w:rPr>
        <w:t xml:space="preserve"> dans les régions de l'Afrique et des États arabes</w:t>
      </w:r>
      <w:r w:rsidR="00CE197B" w:rsidRPr="006F1D4A">
        <w:rPr>
          <w:sz w:val="22"/>
          <w:szCs w:val="22"/>
        </w:rPr>
        <w:t>.</w:t>
      </w:r>
    </w:p>
    <w:p w14:paraId="732F8CEA" w14:textId="513D0273" w:rsidR="00140A97" w:rsidRPr="006F1D4A" w:rsidRDefault="001279B5" w:rsidP="0051551A">
      <w:pPr>
        <w:rPr>
          <w:rFonts w:cstheme="minorHAnsi"/>
          <w:sz w:val="22"/>
          <w:szCs w:val="22"/>
        </w:rPr>
      </w:pPr>
      <w:r w:rsidRPr="006F1D4A">
        <w:rPr>
          <w:sz w:val="22"/>
          <w:szCs w:val="22"/>
        </w:rPr>
        <w:t>5</w:t>
      </w:r>
      <w:r w:rsidR="007C6B24" w:rsidRPr="006F1D4A">
        <w:rPr>
          <w:sz w:val="22"/>
          <w:szCs w:val="22"/>
        </w:rPr>
        <w:tab/>
      </w:r>
      <w:r w:rsidR="00446360" w:rsidRPr="006F1D4A">
        <w:rPr>
          <w:sz w:val="22"/>
          <w:szCs w:val="22"/>
        </w:rPr>
        <w:t>Cette édition de la Semaine de la transformation numérique durable en Afrique se déroulera en anglais. Un service d'interprétation en français sera a</w:t>
      </w:r>
      <w:r w:rsidR="0051551A" w:rsidRPr="006F1D4A">
        <w:rPr>
          <w:sz w:val="22"/>
          <w:szCs w:val="22"/>
        </w:rPr>
        <w:t>ssuré pour la réunion du Groupe </w:t>
      </w:r>
      <w:r w:rsidR="00446360" w:rsidRPr="006F1D4A">
        <w:rPr>
          <w:sz w:val="22"/>
          <w:szCs w:val="22"/>
        </w:rPr>
        <w:t>SG5RG-AFR de l'UIT-T</w:t>
      </w:r>
      <w:r w:rsidR="00140A97" w:rsidRPr="006F1D4A">
        <w:rPr>
          <w:rFonts w:cstheme="minorHAnsi"/>
          <w:sz w:val="22"/>
          <w:szCs w:val="22"/>
        </w:rPr>
        <w:t>.</w:t>
      </w:r>
    </w:p>
    <w:p w14:paraId="6C0176C6" w14:textId="0CD1C9DB" w:rsidR="001279B5" w:rsidRPr="006F1D4A" w:rsidRDefault="001279B5" w:rsidP="0051551A">
      <w:pPr>
        <w:tabs>
          <w:tab w:val="left" w:pos="709"/>
        </w:tabs>
        <w:spacing w:after="240"/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6</w:t>
      </w:r>
      <w:r w:rsidRPr="006F1D4A">
        <w:rPr>
          <w:rFonts w:cstheme="minorHAnsi"/>
          <w:sz w:val="22"/>
          <w:szCs w:val="22"/>
        </w:rPr>
        <w:tab/>
      </w:r>
      <w:r w:rsidR="00446360" w:rsidRPr="006F1D4A">
        <w:rPr>
          <w:rFonts w:cstheme="minorHAnsi"/>
          <w:sz w:val="22"/>
          <w:szCs w:val="22"/>
        </w:rPr>
        <w:t xml:space="preserve">La manifestation sera structurée comme </w:t>
      </w:r>
      <w:proofErr w:type="gramStart"/>
      <w:r w:rsidR="00446360" w:rsidRPr="006F1D4A">
        <w:rPr>
          <w:rFonts w:cstheme="minorHAnsi"/>
          <w:sz w:val="22"/>
          <w:szCs w:val="22"/>
        </w:rPr>
        <w:t>suit</w:t>
      </w:r>
      <w:r w:rsidRPr="006F1D4A">
        <w:rPr>
          <w:rFonts w:cstheme="minorHAnsi"/>
          <w:sz w:val="22"/>
          <w:szCs w:val="22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568"/>
        <w:gridCol w:w="1605"/>
        <w:gridCol w:w="1605"/>
        <w:gridCol w:w="2006"/>
        <w:gridCol w:w="1568"/>
      </w:tblGrid>
      <w:tr w:rsidR="00446360" w:rsidRPr="006F1D4A" w14:paraId="4C7CB1FA" w14:textId="77777777" w:rsidTr="001279B5">
        <w:tc>
          <w:tcPr>
            <w:tcW w:w="1619" w:type="dxa"/>
            <w:shd w:val="clear" w:color="auto" w:fill="8DB3E2" w:themeFill="text2" w:themeFillTint="66"/>
          </w:tcPr>
          <w:p w14:paraId="0CE6E23F" w14:textId="77777777" w:rsidR="001279B5" w:rsidRPr="006F1D4A" w:rsidRDefault="001279B5" w:rsidP="0051551A">
            <w:pPr>
              <w:pStyle w:val="TableHead"/>
              <w:rPr>
                <w:szCs w:val="22"/>
              </w:rPr>
            </w:pPr>
          </w:p>
        </w:tc>
        <w:tc>
          <w:tcPr>
            <w:tcW w:w="1620" w:type="dxa"/>
            <w:shd w:val="clear" w:color="auto" w:fill="8DB3E2" w:themeFill="text2" w:themeFillTint="66"/>
          </w:tcPr>
          <w:p w14:paraId="108250CC" w14:textId="4110CBE5" w:rsidR="001279B5" w:rsidRPr="006F1D4A" w:rsidRDefault="001279B5" w:rsidP="0051551A">
            <w:pPr>
              <w:pStyle w:val="TableHead"/>
              <w:rPr>
                <w:szCs w:val="22"/>
              </w:rPr>
            </w:pPr>
            <w:r w:rsidRPr="006F1D4A">
              <w:rPr>
                <w:szCs w:val="22"/>
              </w:rPr>
              <w:t>15 mai 2023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726267A4" w14:textId="3870A3AD" w:rsidR="001279B5" w:rsidRPr="006F1D4A" w:rsidRDefault="001279B5" w:rsidP="0051551A">
            <w:pPr>
              <w:pStyle w:val="TableHead"/>
              <w:rPr>
                <w:szCs w:val="22"/>
              </w:rPr>
            </w:pPr>
            <w:r w:rsidRPr="006F1D4A">
              <w:rPr>
                <w:szCs w:val="22"/>
              </w:rPr>
              <w:t>16 mai 2023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442EEDFF" w14:textId="6D6128AE" w:rsidR="001279B5" w:rsidRPr="006F1D4A" w:rsidRDefault="001279B5" w:rsidP="0051551A">
            <w:pPr>
              <w:pStyle w:val="TableHead"/>
              <w:rPr>
                <w:szCs w:val="22"/>
              </w:rPr>
            </w:pPr>
            <w:r w:rsidRPr="006F1D4A">
              <w:rPr>
                <w:szCs w:val="22"/>
              </w:rPr>
              <w:t>17 mai 2023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76D2D5F" w14:textId="17A2B89F" w:rsidR="001279B5" w:rsidRPr="006F1D4A" w:rsidRDefault="001279B5" w:rsidP="0051551A">
            <w:pPr>
              <w:pStyle w:val="TableHead"/>
              <w:rPr>
                <w:szCs w:val="22"/>
              </w:rPr>
            </w:pPr>
            <w:r w:rsidRPr="006F1D4A">
              <w:rPr>
                <w:szCs w:val="22"/>
              </w:rPr>
              <w:t>18 mai 2023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12727845" w14:textId="6ED566AF" w:rsidR="001279B5" w:rsidRPr="006F1D4A" w:rsidRDefault="001279B5" w:rsidP="0051551A">
            <w:pPr>
              <w:pStyle w:val="TableHead"/>
              <w:rPr>
                <w:szCs w:val="22"/>
              </w:rPr>
            </w:pPr>
            <w:r w:rsidRPr="006F1D4A">
              <w:rPr>
                <w:szCs w:val="22"/>
              </w:rPr>
              <w:t>19 mai 2023</w:t>
            </w:r>
          </w:p>
        </w:tc>
      </w:tr>
      <w:tr w:rsidR="00446360" w:rsidRPr="006F1D4A" w14:paraId="23CAB9B7" w14:textId="77777777" w:rsidTr="001279B5">
        <w:tc>
          <w:tcPr>
            <w:tcW w:w="1619" w:type="dxa"/>
          </w:tcPr>
          <w:p w14:paraId="5D03558F" w14:textId="3F391825" w:rsidR="001279B5" w:rsidRPr="006F1D4A" w:rsidRDefault="00446360" w:rsidP="0051551A">
            <w:pPr>
              <w:pStyle w:val="TableText"/>
              <w:rPr>
                <w:b/>
                <w:szCs w:val="22"/>
              </w:rPr>
            </w:pPr>
            <w:r w:rsidRPr="006F1D4A">
              <w:rPr>
                <w:b/>
                <w:szCs w:val="22"/>
              </w:rPr>
              <w:t>Matin</w:t>
            </w:r>
          </w:p>
        </w:tc>
        <w:tc>
          <w:tcPr>
            <w:tcW w:w="1620" w:type="dxa"/>
          </w:tcPr>
          <w:p w14:paraId="63F6268A" w14:textId="41A490CD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2" w:history="1">
              <w:r w:rsidR="00446360" w:rsidRPr="006F1D4A">
                <w:rPr>
                  <w:rStyle w:val="Hyperlink"/>
                  <w:rFonts w:cstheme="minorHAnsi"/>
                  <w:szCs w:val="22"/>
                </w:rPr>
                <w:t xml:space="preserve">Cérémonie </w:t>
              </w:r>
              <w:proofErr w:type="gramStart"/>
              <w:r w:rsidR="00446360" w:rsidRPr="006F1D4A">
                <w:rPr>
                  <w:rStyle w:val="Hyperlink"/>
                  <w:rFonts w:cstheme="minorHAnsi"/>
                  <w:szCs w:val="22"/>
                </w:rPr>
                <w:t>d'ouverture:</w:t>
              </w:r>
              <w:proofErr w:type="gramEnd"/>
              <w:r w:rsidR="00446360" w:rsidRPr="006F1D4A">
                <w:rPr>
                  <w:rStyle w:val="Hyperlink"/>
                  <w:rFonts w:cstheme="minorHAnsi"/>
                  <w:szCs w:val="22"/>
                </w:rPr>
                <w:t xml:space="preserve"> Formati</w:t>
              </w:r>
              <w:r w:rsidR="003C4433" w:rsidRPr="006F1D4A">
                <w:rPr>
                  <w:rStyle w:val="Hyperlink"/>
                  <w:rFonts w:cstheme="minorHAnsi"/>
                  <w:szCs w:val="22"/>
                </w:rPr>
                <w:t xml:space="preserve">on sur la réduction de l'écart </w:t>
              </w:r>
              <w:r w:rsidR="00446360" w:rsidRPr="006F1D4A">
                <w:rPr>
                  <w:rStyle w:val="Hyperlink"/>
                  <w:rFonts w:cstheme="minorHAnsi"/>
                  <w:szCs w:val="22"/>
                </w:rPr>
                <w:t xml:space="preserve">en matière de normalisation (Partie 1) </w:t>
              </w:r>
            </w:hyperlink>
          </w:p>
        </w:tc>
        <w:tc>
          <w:tcPr>
            <w:tcW w:w="1620" w:type="dxa"/>
          </w:tcPr>
          <w:p w14:paraId="753162EE" w14:textId="68399303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3" w:history="1">
              <w:r w:rsidR="00D53CFF" w:rsidRPr="006F1D4A">
                <w:rPr>
                  <w:rStyle w:val="Hyperlink"/>
                  <w:rFonts w:cstheme="minorHAnsi"/>
                  <w:szCs w:val="22"/>
                </w:rPr>
                <w:t>Forum sur la transformation numérique durable dans la région Afrique (Partie 1)</w:t>
              </w:r>
            </w:hyperlink>
            <w:r w:rsidR="00D53CFF" w:rsidRPr="006F1D4A">
              <w:rPr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02AD4CC2" w14:textId="7A34BBD3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4" w:history="1">
              <w:r w:rsidR="00D53CFF" w:rsidRPr="006F1D4A">
                <w:rPr>
                  <w:rStyle w:val="Hyperlink"/>
                  <w:rFonts w:cstheme="minorHAnsi"/>
                  <w:szCs w:val="22"/>
                </w:rPr>
                <w:t>Forum sur la transformation numérique durable dans la région Afrique (Partie 2)</w:t>
              </w:r>
            </w:hyperlink>
          </w:p>
        </w:tc>
        <w:tc>
          <w:tcPr>
            <w:tcW w:w="1620" w:type="dxa"/>
          </w:tcPr>
          <w:p w14:paraId="4D667189" w14:textId="0B2177F7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5" w:history="1">
              <w:r w:rsidR="003C4433" w:rsidRPr="006F1D4A">
                <w:rPr>
                  <w:rStyle w:val="Hyperlink"/>
                  <w:rFonts w:cstheme="minorHAnsi"/>
                  <w:szCs w:val="22"/>
                </w:rPr>
                <w:t>Atelier sur la compatibilité électromagnétique et l'exposition des personnes aux champs électromagnétiques</w:t>
              </w:r>
            </w:hyperlink>
          </w:p>
        </w:tc>
        <w:tc>
          <w:tcPr>
            <w:tcW w:w="1620" w:type="dxa"/>
          </w:tcPr>
          <w:p w14:paraId="6E1E846A" w14:textId="043FFF86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6" w:history="1">
              <w:r w:rsidR="003C4433" w:rsidRPr="006F1D4A">
                <w:rPr>
                  <w:rStyle w:val="Hyperlink"/>
                  <w:rFonts w:cstheme="minorHAnsi"/>
                  <w:szCs w:val="22"/>
                </w:rPr>
                <w:t>Formation sur la réduction de l'écart en matière de normalisation (Partie 2)</w:t>
              </w:r>
            </w:hyperlink>
            <w:r w:rsidR="003C4433" w:rsidRPr="006F1D4A">
              <w:rPr>
                <w:szCs w:val="22"/>
              </w:rPr>
              <w:t xml:space="preserve"> </w:t>
            </w:r>
          </w:p>
        </w:tc>
      </w:tr>
      <w:tr w:rsidR="00446360" w:rsidRPr="006F1D4A" w14:paraId="789133E9" w14:textId="77777777" w:rsidTr="001279B5">
        <w:tc>
          <w:tcPr>
            <w:tcW w:w="1619" w:type="dxa"/>
          </w:tcPr>
          <w:p w14:paraId="056F8DF9" w14:textId="068B63BA" w:rsidR="001279B5" w:rsidRPr="006F1D4A" w:rsidRDefault="00446360" w:rsidP="0051551A">
            <w:pPr>
              <w:pStyle w:val="TableText"/>
              <w:rPr>
                <w:b/>
                <w:szCs w:val="22"/>
              </w:rPr>
            </w:pPr>
            <w:r w:rsidRPr="006F1D4A">
              <w:rPr>
                <w:b/>
                <w:szCs w:val="22"/>
              </w:rPr>
              <w:t>Après-midi</w:t>
            </w:r>
          </w:p>
        </w:tc>
        <w:tc>
          <w:tcPr>
            <w:tcW w:w="1620" w:type="dxa"/>
          </w:tcPr>
          <w:p w14:paraId="23A63032" w14:textId="719EE849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7" w:history="1">
              <w:r w:rsidR="0051551A" w:rsidRPr="006F1D4A">
                <w:rPr>
                  <w:rStyle w:val="Hyperlink"/>
                  <w:rFonts w:cstheme="minorHAnsi"/>
                  <w:szCs w:val="22"/>
                </w:rPr>
                <w:t>SG5RG-</w:t>
              </w:r>
              <w:r w:rsidR="001279B5" w:rsidRPr="006F1D4A">
                <w:rPr>
                  <w:rStyle w:val="Hyperlink"/>
                  <w:rFonts w:cstheme="minorHAnsi"/>
                  <w:szCs w:val="22"/>
                </w:rPr>
                <w:t>AFR</w:t>
              </w:r>
            </w:hyperlink>
          </w:p>
        </w:tc>
        <w:tc>
          <w:tcPr>
            <w:tcW w:w="1620" w:type="dxa"/>
          </w:tcPr>
          <w:p w14:paraId="3993C47B" w14:textId="33F3225D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8" w:history="1">
              <w:r w:rsidR="001279B5" w:rsidRPr="006F1D4A">
                <w:rPr>
                  <w:rStyle w:val="Hyperlink"/>
                  <w:rFonts w:cstheme="minorHAnsi"/>
                  <w:szCs w:val="22"/>
                </w:rPr>
                <w:t>SG5RG-ARB</w:t>
              </w:r>
            </w:hyperlink>
          </w:p>
        </w:tc>
        <w:tc>
          <w:tcPr>
            <w:tcW w:w="1620" w:type="dxa"/>
          </w:tcPr>
          <w:p w14:paraId="74E5861C" w14:textId="6B9921D1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19" w:history="1">
              <w:r w:rsidR="0051551A" w:rsidRPr="006F1D4A">
                <w:rPr>
                  <w:rStyle w:val="Hyperlink"/>
                  <w:rFonts w:cstheme="minorHAnsi"/>
                  <w:szCs w:val="22"/>
                </w:rPr>
                <w:t>SG5RG-</w:t>
              </w:r>
              <w:r w:rsidR="001279B5" w:rsidRPr="006F1D4A">
                <w:rPr>
                  <w:rStyle w:val="Hyperlink"/>
                  <w:rFonts w:cstheme="minorHAnsi"/>
                  <w:szCs w:val="22"/>
                </w:rPr>
                <w:t>AFR</w:t>
              </w:r>
            </w:hyperlink>
          </w:p>
        </w:tc>
        <w:tc>
          <w:tcPr>
            <w:tcW w:w="1620" w:type="dxa"/>
          </w:tcPr>
          <w:p w14:paraId="2456E1CD" w14:textId="12CA246D" w:rsidR="001279B5" w:rsidRPr="006F1D4A" w:rsidRDefault="00DF1A5F" w:rsidP="0051551A">
            <w:pPr>
              <w:pStyle w:val="TableText"/>
              <w:rPr>
                <w:szCs w:val="22"/>
              </w:rPr>
            </w:pPr>
            <w:hyperlink r:id="rId20" w:history="1">
              <w:r w:rsidR="001279B5" w:rsidRPr="006F1D4A">
                <w:rPr>
                  <w:rStyle w:val="Hyperlink"/>
                  <w:rFonts w:cstheme="minorHAnsi"/>
                  <w:szCs w:val="22"/>
                </w:rPr>
                <w:t>SG5RG-ARB</w:t>
              </w:r>
            </w:hyperlink>
          </w:p>
        </w:tc>
        <w:tc>
          <w:tcPr>
            <w:tcW w:w="1620" w:type="dxa"/>
          </w:tcPr>
          <w:p w14:paraId="3421323E" w14:textId="77777777" w:rsidR="001279B5" w:rsidRPr="006F1D4A" w:rsidRDefault="001279B5" w:rsidP="0051551A">
            <w:pPr>
              <w:pStyle w:val="TableText"/>
              <w:rPr>
                <w:szCs w:val="22"/>
              </w:rPr>
            </w:pPr>
          </w:p>
        </w:tc>
      </w:tr>
    </w:tbl>
    <w:p w14:paraId="023DD1A4" w14:textId="0D37AEDC" w:rsidR="00140A97" w:rsidRPr="006F1D4A" w:rsidRDefault="001279B5" w:rsidP="0051551A">
      <w:pPr>
        <w:tabs>
          <w:tab w:val="left" w:pos="709"/>
        </w:tabs>
        <w:spacing w:before="240"/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7</w:t>
      </w:r>
      <w:r w:rsidR="007E0E4D" w:rsidRPr="006F1D4A">
        <w:rPr>
          <w:rFonts w:cstheme="minorHAnsi"/>
          <w:sz w:val="22"/>
          <w:szCs w:val="22"/>
        </w:rPr>
        <w:tab/>
        <w:t xml:space="preserve">Cette manifestation </w:t>
      </w:r>
      <w:r w:rsidR="00863089" w:rsidRPr="006F1D4A">
        <w:rPr>
          <w:rFonts w:cstheme="minorHAnsi"/>
          <w:sz w:val="22"/>
          <w:szCs w:val="22"/>
        </w:rPr>
        <w:t>réunira</w:t>
      </w:r>
      <w:r w:rsidR="007E0E4D" w:rsidRPr="006F1D4A">
        <w:rPr>
          <w:rFonts w:cstheme="minorHAnsi"/>
          <w:sz w:val="22"/>
          <w:szCs w:val="22"/>
        </w:rPr>
        <w:t xml:space="preserve"> des décideurs, des dirigeants d'entreprise et des spécialistes du secteur privé de haut rang, ainsi que des représentants </w:t>
      </w:r>
      <w:r w:rsidR="000B67F9" w:rsidRPr="006F1D4A">
        <w:rPr>
          <w:rFonts w:cstheme="minorHAnsi"/>
          <w:sz w:val="22"/>
          <w:szCs w:val="22"/>
        </w:rPr>
        <w:t xml:space="preserve">des régions </w:t>
      </w:r>
      <w:r w:rsidR="007E0E4D" w:rsidRPr="006F1D4A">
        <w:rPr>
          <w:rFonts w:cstheme="minorHAnsi"/>
          <w:sz w:val="22"/>
          <w:szCs w:val="22"/>
        </w:rPr>
        <w:t xml:space="preserve">de l'Afrique </w:t>
      </w:r>
      <w:r w:rsidR="000B67F9" w:rsidRPr="006F1D4A">
        <w:rPr>
          <w:rFonts w:cstheme="minorHAnsi"/>
          <w:sz w:val="22"/>
          <w:szCs w:val="22"/>
        </w:rPr>
        <w:t xml:space="preserve">et </w:t>
      </w:r>
      <w:r w:rsidR="007E0E4D" w:rsidRPr="006F1D4A">
        <w:rPr>
          <w:rFonts w:cstheme="minorHAnsi"/>
          <w:sz w:val="22"/>
          <w:szCs w:val="22"/>
        </w:rPr>
        <w:t xml:space="preserve">des États arabes </w:t>
      </w:r>
      <w:r w:rsidR="00863089" w:rsidRPr="006F1D4A">
        <w:rPr>
          <w:rFonts w:cstheme="minorHAnsi"/>
          <w:sz w:val="22"/>
          <w:szCs w:val="22"/>
        </w:rPr>
        <w:t>et</w:t>
      </w:r>
      <w:r w:rsidR="007E0E4D" w:rsidRPr="006F1D4A">
        <w:rPr>
          <w:rFonts w:cstheme="minorHAnsi"/>
          <w:sz w:val="22"/>
          <w:szCs w:val="22"/>
        </w:rPr>
        <w:t xml:space="preserve"> d'organisations du système des Nations Unies, d</w:t>
      </w:r>
      <w:r w:rsidR="00863089" w:rsidRPr="006F1D4A">
        <w:rPr>
          <w:rFonts w:cstheme="minorHAnsi"/>
          <w:sz w:val="22"/>
          <w:szCs w:val="22"/>
        </w:rPr>
        <w:t>'</w:t>
      </w:r>
      <w:r w:rsidR="007E0E4D" w:rsidRPr="006F1D4A">
        <w:rPr>
          <w:rFonts w:cstheme="minorHAnsi"/>
          <w:sz w:val="22"/>
          <w:szCs w:val="22"/>
        </w:rPr>
        <w:t xml:space="preserve">établissements universitaires, de la société civile, </w:t>
      </w:r>
      <w:r w:rsidR="000B67F9" w:rsidRPr="006F1D4A">
        <w:rPr>
          <w:rFonts w:cstheme="minorHAnsi"/>
          <w:sz w:val="22"/>
          <w:szCs w:val="22"/>
        </w:rPr>
        <w:t>d'</w:t>
      </w:r>
      <w:r w:rsidR="007E0E4D" w:rsidRPr="006F1D4A">
        <w:rPr>
          <w:rFonts w:cstheme="minorHAnsi"/>
          <w:sz w:val="22"/>
          <w:szCs w:val="22"/>
        </w:rPr>
        <w:t>organisations régionales, d'organisations non gouvernementales</w:t>
      </w:r>
      <w:r w:rsidR="000B67F9" w:rsidRPr="006F1D4A">
        <w:rPr>
          <w:rFonts w:cstheme="minorHAnsi"/>
          <w:sz w:val="22"/>
          <w:szCs w:val="22"/>
        </w:rPr>
        <w:t xml:space="preserve"> </w:t>
      </w:r>
      <w:r w:rsidR="007E0E4D" w:rsidRPr="006F1D4A">
        <w:rPr>
          <w:rFonts w:cstheme="minorHAnsi"/>
          <w:sz w:val="22"/>
          <w:szCs w:val="22"/>
        </w:rPr>
        <w:t xml:space="preserve">et d'autres acteurs concernés. </w:t>
      </w:r>
      <w:r w:rsidR="00140A97" w:rsidRPr="006F1D4A">
        <w:rPr>
          <w:rFonts w:cstheme="minorHAnsi"/>
          <w:sz w:val="22"/>
          <w:szCs w:val="22"/>
        </w:rPr>
        <w:t xml:space="preserve">La participation est </w:t>
      </w:r>
      <w:r w:rsidR="007E0E4D" w:rsidRPr="006F1D4A">
        <w:rPr>
          <w:rFonts w:cstheme="minorHAnsi"/>
          <w:sz w:val="22"/>
          <w:szCs w:val="22"/>
        </w:rPr>
        <w:t xml:space="preserve">gratuite et </w:t>
      </w:r>
      <w:r w:rsidR="00140A97" w:rsidRPr="006F1D4A">
        <w:rPr>
          <w:rFonts w:cstheme="minorHAnsi"/>
          <w:sz w:val="22"/>
          <w:szCs w:val="22"/>
        </w:rPr>
        <w:t xml:space="preserve">ouverte </w:t>
      </w:r>
      <w:r w:rsidR="007E0E4D" w:rsidRPr="006F1D4A">
        <w:rPr>
          <w:rFonts w:cstheme="minorHAnsi"/>
          <w:sz w:val="22"/>
          <w:szCs w:val="22"/>
        </w:rPr>
        <w:t>à toutes les parties prenantes intéressées, notamment les</w:t>
      </w:r>
      <w:r w:rsidR="00140A97" w:rsidRPr="006F1D4A">
        <w:rPr>
          <w:rFonts w:cstheme="minorHAnsi"/>
          <w:sz w:val="22"/>
          <w:szCs w:val="22"/>
        </w:rPr>
        <w:t xml:space="preserve"> États Membres, </w:t>
      </w:r>
      <w:r w:rsidR="007E0E4D" w:rsidRPr="006F1D4A">
        <w:rPr>
          <w:rFonts w:cstheme="minorHAnsi"/>
          <w:sz w:val="22"/>
          <w:szCs w:val="22"/>
        </w:rPr>
        <w:t>les</w:t>
      </w:r>
      <w:r w:rsidR="00140A97" w:rsidRPr="006F1D4A">
        <w:rPr>
          <w:rFonts w:cstheme="minorHAnsi"/>
          <w:sz w:val="22"/>
          <w:szCs w:val="22"/>
        </w:rPr>
        <w:t xml:space="preserve"> Membres de Secteur, </w:t>
      </w:r>
      <w:r w:rsidR="007E0E4D" w:rsidRPr="006F1D4A">
        <w:rPr>
          <w:rFonts w:cstheme="minorHAnsi"/>
          <w:sz w:val="22"/>
          <w:szCs w:val="22"/>
        </w:rPr>
        <w:t>les</w:t>
      </w:r>
      <w:r w:rsidR="00140A97" w:rsidRPr="006F1D4A">
        <w:rPr>
          <w:rFonts w:cstheme="minorHAnsi"/>
          <w:sz w:val="22"/>
          <w:szCs w:val="22"/>
        </w:rPr>
        <w:t xml:space="preserve"> Associés de l'UIT et </w:t>
      </w:r>
      <w:r w:rsidR="007E0E4D" w:rsidRPr="006F1D4A">
        <w:rPr>
          <w:rFonts w:cstheme="minorHAnsi"/>
          <w:sz w:val="22"/>
          <w:szCs w:val="22"/>
        </w:rPr>
        <w:t>les</w:t>
      </w:r>
      <w:r w:rsidR="00140A97" w:rsidRPr="006F1D4A">
        <w:rPr>
          <w:rFonts w:cstheme="minorHAnsi"/>
          <w:sz w:val="22"/>
          <w:szCs w:val="22"/>
        </w:rPr>
        <w:t xml:space="preserve"> établissements universitaires participant aux travaux de l'UIT, ainsi qu'à toute personne issue d'un pays Membre de l'UIT qui souhaite contribuer aux travaux</w:t>
      </w:r>
      <w:r w:rsidR="007E0E4D" w:rsidRPr="006F1D4A">
        <w:rPr>
          <w:rFonts w:cstheme="minorHAnsi"/>
          <w:sz w:val="22"/>
          <w:szCs w:val="22"/>
        </w:rPr>
        <w:t>.</w:t>
      </w:r>
    </w:p>
    <w:p w14:paraId="54A95261" w14:textId="1194E1B3" w:rsidR="00140A97" w:rsidRPr="006F1D4A" w:rsidRDefault="001279B5" w:rsidP="0051551A">
      <w:pPr>
        <w:tabs>
          <w:tab w:val="left" w:pos="709"/>
        </w:tabs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8</w:t>
      </w:r>
      <w:r w:rsidR="00140A97" w:rsidRPr="006F1D4A">
        <w:rPr>
          <w:rFonts w:cstheme="minorHAnsi"/>
          <w:sz w:val="22"/>
          <w:szCs w:val="22"/>
        </w:rPr>
        <w:tab/>
        <w:t xml:space="preserve">Toutes les informations utiles concernant </w:t>
      </w:r>
      <w:r w:rsidR="000B67F9" w:rsidRPr="006F1D4A">
        <w:rPr>
          <w:rFonts w:cstheme="minorHAnsi"/>
          <w:sz w:val="22"/>
          <w:szCs w:val="22"/>
        </w:rPr>
        <w:t>la Semaine</w:t>
      </w:r>
      <w:r w:rsidR="007E0E4D" w:rsidRPr="006F1D4A">
        <w:rPr>
          <w:rFonts w:cstheme="minorHAnsi"/>
          <w:sz w:val="22"/>
          <w:szCs w:val="22"/>
        </w:rPr>
        <w:t xml:space="preserve"> sur la transformation numérique durable</w:t>
      </w:r>
      <w:r w:rsidR="00140A97" w:rsidRPr="006F1D4A">
        <w:rPr>
          <w:rFonts w:cstheme="minorHAnsi"/>
          <w:sz w:val="22"/>
          <w:szCs w:val="22"/>
        </w:rPr>
        <w:t xml:space="preserve"> </w:t>
      </w:r>
      <w:r w:rsidR="000B67F9" w:rsidRPr="006F1D4A">
        <w:rPr>
          <w:rFonts w:cstheme="minorHAnsi"/>
          <w:sz w:val="22"/>
          <w:szCs w:val="22"/>
        </w:rPr>
        <w:t xml:space="preserve">en Afrique </w:t>
      </w:r>
      <w:r w:rsidR="00140A97" w:rsidRPr="006F1D4A">
        <w:rPr>
          <w:rFonts w:cstheme="minorHAnsi"/>
          <w:sz w:val="22"/>
          <w:szCs w:val="22"/>
        </w:rPr>
        <w:t>(</w:t>
      </w:r>
      <w:r w:rsidR="007E0E4D" w:rsidRPr="006F1D4A">
        <w:rPr>
          <w:rFonts w:cstheme="minorHAnsi"/>
          <w:sz w:val="22"/>
          <w:szCs w:val="22"/>
        </w:rPr>
        <w:t>projet</w:t>
      </w:r>
      <w:r w:rsidR="00863089" w:rsidRPr="006F1D4A">
        <w:rPr>
          <w:rFonts w:cstheme="minorHAnsi"/>
          <w:sz w:val="22"/>
          <w:szCs w:val="22"/>
        </w:rPr>
        <w:t xml:space="preserve">s </w:t>
      </w:r>
      <w:r w:rsidR="007E0E4D" w:rsidRPr="006F1D4A">
        <w:rPr>
          <w:rFonts w:cstheme="minorHAnsi"/>
          <w:sz w:val="22"/>
          <w:szCs w:val="22"/>
        </w:rPr>
        <w:t xml:space="preserve">de programme, </w:t>
      </w:r>
      <w:r w:rsidR="00140A97" w:rsidRPr="006F1D4A">
        <w:rPr>
          <w:rFonts w:cstheme="minorHAnsi"/>
          <w:sz w:val="22"/>
          <w:szCs w:val="22"/>
        </w:rPr>
        <w:t xml:space="preserve">intervenants, liens pour l'inscription, modalités de connexion à distance) seront </w:t>
      </w:r>
      <w:r w:rsidR="00863089" w:rsidRPr="006F1D4A">
        <w:rPr>
          <w:rFonts w:cstheme="minorHAnsi"/>
          <w:sz w:val="22"/>
          <w:szCs w:val="22"/>
        </w:rPr>
        <w:t>publiées</w:t>
      </w:r>
      <w:r w:rsidR="00140A97" w:rsidRPr="006F1D4A">
        <w:rPr>
          <w:rFonts w:cstheme="minorHAnsi"/>
          <w:sz w:val="22"/>
          <w:szCs w:val="22"/>
        </w:rPr>
        <w:t xml:space="preserve"> sur la page d'accueil principale à </w:t>
      </w:r>
      <w:proofErr w:type="gramStart"/>
      <w:r w:rsidR="00140A97" w:rsidRPr="006F1D4A">
        <w:rPr>
          <w:rFonts w:cstheme="minorHAnsi"/>
          <w:sz w:val="22"/>
          <w:szCs w:val="22"/>
        </w:rPr>
        <w:t>l'adresse:</w:t>
      </w:r>
      <w:proofErr w:type="gramEnd"/>
      <w:r w:rsidR="00140A97" w:rsidRPr="006F1D4A">
        <w:rPr>
          <w:rFonts w:cstheme="minorHAnsi"/>
          <w:sz w:val="22"/>
          <w:szCs w:val="22"/>
        </w:rPr>
        <w:t xml:space="preserve"> </w:t>
      </w:r>
      <w:hyperlink r:id="rId21" w:history="1">
        <w:r w:rsidRPr="006F1D4A">
          <w:rPr>
            <w:rStyle w:val="Hyperlink"/>
            <w:sz w:val="22"/>
            <w:szCs w:val="22"/>
          </w:rPr>
          <w:t>https://www.itu.int/en/ITU-T/Workshops-and-Seminars/sg05rg/sdtw/Pages/default.aspx</w:t>
        </w:r>
      </w:hyperlink>
      <w:r w:rsidR="0051551A" w:rsidRPr="006F1D4A">
        <w:rPr>
          <w:rFonts w:cstheme="minorHAnsi"/>
          <w:sz w:val="22"/>
          <w:szCs w:val="22"/>
        </w:rPr>
        <w:t xml:space="preserve">. </w:t>
      </w:r>
      <w:r w:rsidR="000B67F9" w:rsidRPr="006F1D4A">
        <w:rPr>
          <w:rFonts w:cstheme="minorHAnsi"/>
          <w:sz w:val="22"/>
          <w:szCs w:val="22"/>
        </w:rPr>
        <w:t xml:space="preserve">Les </w:t>
      </w:r>
      <w:r w:rsidR="00140A97" w:rsidRPr="006F1D4A">
        <w:rPr>
          <w:rFonts w:cstheme="minorHAnsi"/>
          <w:sz w:val="22"/>
          <w:szCs w:val="22"/>
        </w:rPr>
        <w:t xml:space="preserve">sites web seront régulièrement actualisés à mesure que parviendront </w:t>
      </w:r>
      <w:r w:rsidR="000B67F9" w:rsidRPr="006F1D4A">
        <w:rPr>
          <w:rFonts w:cstheme="minorHAnsi"/>
          <w:sz w:val="22"/>
          <w:szCs w:val="22"/>
        </w:rPr>
        <w:t>davantage d'</w:t>
      </w:r>
      <w:r w:rsidR="00140A97" w:rsidRPr="006F1D4A">
        <w:rPr>
          <w:rFonts w:cstheme="minorHAnsi"/>
          <w:sz w:val="22"/>
          <w:szCs w:val="22"/>
        </w:rPr>
        <w:t>informations. Il est recommandé aux participants de consulter régulièrement le</w:t>
      </w:r>
      <w:r w:rsidR="007E0E4D" w:rsidRPr="006F1D4A">
        <w:rPr>
          <w:rFonts w:cstheme="minorHAnsi"/>
          <w:sz w:val="22"/>
          <w:szCs w:val="22"/>
        </w:rPr>
        <w:t xml:space="preserve"> site web </w:t>
      </w:r>
      <w:r w:rsidR="00140A97" w:rsidRPr="006F1D4A">
        <w:rPr>
          <w:rFonts w:cstheme="minorHAnsi"/>
          <w:sz w:val="22"/>
          <w:szCs w:val="22"/>
        </w:rPr>
        <w:t>pour prendre connaissance des dernières informations.</w:t>
      </w:r>
    </w:p>
    <w:p w14:paraId="4B44EC2A" w14:textId="77777777" w:rsidR="0051551A" w:rsidRPr="006F1D4A" w:rsidRDefault="001279B5" w:rsidP="0051551A">
      <w:pPr>
        <w:tabs>
          <w:tab w:val="left" w:pos="709"/>
        </w:tabs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9</w:t>
      </w:r>
      <w:r w:rsidRPr="006F1D4A">
        <w:rPr>
          <w:rFonts w:cstheme="minorHAnsi"/>
          <w:sz w:val="22"/>
          <w:szCs w:val="22"/>
        </w:rPr>
        <w:tab/>
        <w:t xml:space="preserve">Nous vous rappelons que, pour les ressortissants de certains pays, l'entrée et le séjour </w:t>
      </w:r>
      <w:r w:rsidR="000B67F9" w:rsidRPr="006F1D4A">
        <w:rPr>
          <w:rFonts w:cstheme="minorHAnsi"/>
          <w:sz w:val="22"/>
          <w:szCs w:val="22"/>
        </w:rPr>
        <w:t>en Ouganda</w:t>
      </w:r>
      <w:r w:rsidRPr="006F1D4A">
        <w:rPr>
          <w:rFonts w:cstheme="minorHAnsi"/>
          <w:sz w:val="22"/>
          <w:szCs w:val="22"/>
        </w:rPr>
        <w:t xml:space="preserve"> sont soumis à l'obtention d'un visa. Si vous avez besoin d'un visa, celui</w:t>
      </w:r>
      <w:r w:rsidRPr="006F1D4A">
        <w:rPr>
          <w:rFonts w:cstheme="minorHAnsi"/>
          <w:sz w:val="22"/>
          <w:szCs w:val="22"/>
        </w:rPr>
        <w:noBreakHyphen/>
        <w:t xml:space="preserve">ci doit être demandé avant la date de votre arrivée auprès de la représentation de </w:t>
      </w:r>
      <w:r w:rsidR="000B67F9" w:rsidRPr="006F1D4A">
        <w:rPr>
          <w:rFonts w:cstheme="minorHAnsi"/>
          <w:sz w:val="22"/>
          <w:szCs w:val="22"/>
        </w:rPr>
        <w:t>l'Ouganda</w:t>
      </w:r>
      <w:r w:rsidRPr="006F1D4A">
        <w:rPr>
          <w:rFonts w:cstheme="minorHAnsi"/>
          <w:sz w:val="22"/>
          <w:szCs w:val="22"/>
        </w:rPr>
        <w:t xml:space="preserve"> (ambassade ou consulat) dans votre pays ou, à défaut, dans le pays le plus proc</w:t>
      </w:r>
      <w:r w:rsidR="0051551A" w:rsidRPr="006F1D4A">
        <w:rPr>
          <w:rFonts w:cstheme="minorHAnsi"/>
          <w:sz w:val="22"/>
          <w:szCs w:val="22"/>
        </w:rPr>
        <w:t xml:space="preserve">he de votre pays de départ. </w:t>
      </w:r>
      <w:r w:rsidR="0051551A" w:rsidRPr="006F1D4A">
        <w:rPr>
          <w:rFonts w:cstheme="minorHAnsi"/>
          <w:sz w:val="22"/>
          <w:szCs w:val="22"/>
        </w:rPr>
        <w:br w:type="page"/>
      </w:r>
    </w:p>
    <w:p w14:paraId="18E33B8E" w14:textId="15968A50" w:rsidR="001279B5" w:rsidRPr="006F1D4A" w:rsidRDefault="0051551A" w:rsidP="0051551A">
      <w:pPr>
        <w:tabs>
          <w:tab w:val="left" w:pos="709"/>
        </w:tabs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lastRenderedPageBreak/>
        <w:t>Les </w:t>
      </w:r>
      <w:r w:rsidR="001279B5" w:rsidRPr="006F1D4A">
        <w:rPr>
          <w:rFonts w:cstheme="minorHAnsi"/>
          <w:sz w:val="22"/>
          <w:szCs w:val="22"/>
        </w:rPr>
        <w:t>délais pouvant varier, nous vous suggérons de vous renseigner directement auprès de la représentation concernée et de formuler votre demande au plus tôt.</w:t>
      </w:r>
      <w:r w:rsidR="00C4395C" w:rsidRPr="006F1D4A">
        <w:rPr>
          <w:rFonts w:cstheme="minorHAnsi"/>
          <w:sz w:val="22"/>
          <w:szCs w:val="22"/>
        </w:rPr>
        <w:t xml:space="preserve"> Vous trouverez sur la page d'accueil de la manifestation, dans le </w:t>
      </w:r>
      <w:hyperlink r:id="rId22" w:history="1">
        <w:r w:rsidR="00C4395C" w:rsidRPr="006F1D4A">
          <w:rPr>
            <w:rStyle w:val="Hyperlink"/>
            <w:b/>
            <w:sz w:val="22"/>
            <w:szCs w:val="22"/>
          </w:rPr>
          <w:t>guide d'informations pratiques</w:t>
        </w:r>
      </w:hyperlink>
      <w:r w:rsidR="00C4395C" w:rsidRPr="006F1D4A">
        <w:rPr>
          <w:rFonts w:cstheme="minorHAnsi"/>
          <w:sz w:val="22"/>
          <w:szCs w:val="22"/>
        </w:rPr>
        <w:t>, des renseignements supplémentaires et les documents nécessaires pour le traitement des demandes de visas, le cas échéant.</w:t>
      </w:r>
    </w:p>
    <w:p w14:paraId="56A6F6B2" w14:textId="0539E7E4" w:rsidR="001279B5" w:rsidRPr="006F1D4A" w:rsidRDefault="001279B5" w:rsidP="0051551A">
      <w:pPr>
        <w:tabs>
          <w:tab w:val="left" w:pos="709"/>
        </w:tabs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10</w:t>
      </w:r>
      <w:r w:rsidRPr="006F1D4A">
        <w:rPr>
          <w:rFonts w:cstheme="minorHAnsi"/>
          <w:sz w:val="22"/>
          <w:szCs w:val="22"/>
        </w:rPr>
        <w:tab/>
      </w:r>
      <w:r w:rsidRPr="006F1D4A">
        <w:rPr>
          <w:sz w:val="22"/>
          <w:szCs w:val="22"/>
        </w:rPr>
        <w:t xml:space="preserve">Pour permettre </w:t>
      </w:r>
      <w:r w:rsidR="00531C81" w:rsidRPr="006F1D4A">
        <w:rPr>
          <w:sz w:val="22"/>
          <w:szCs w:val="22"/>
        </w:rPr>
        <w:t>à l'</w:t>
      </w:r>
      <w:r w:rsidR="00411B43" w:rsidRPr="006F1D4A">
        <w:rPr>
          <w:sz w:val="22"/>
          <w:szCs w:val="22"/>
        </w:rPr>
        <w:t xml:space="preserve">organisme </w:t>
      </w:r>
      <w:r w:rsidR="00C53A5C" w:rsidRPr="006F1D4A">
        <w:rPr>
          <w:sz w:val="22"/>
          <w:szCs w:val="22"/>
        </w:rPr>
        <w:t>hôte</w:t>
      </w:r>
      <w:r w:rsidRPr="006F1D4A">
        <w:rPr>
          <w:sz w:val="22"/>
          <w:szCs w:val="22"/>
        </w:rPr>
        <w:t xml:space="preserve"> de prévoir </w:t>
      </w:r>
      <w:r w:rsidR="00411B43" w:rsidRPr="006F1D4A">
        <w:rPr>
          <w:sz w:val="22"/>
          <w:szCs w:val="22"/>
        </w:rPr>
        <w:t>la logistique nécessaire</w:t>
      </w:r>
      <w:r w:rsidRPr="006F1D4A">
        <w:rPr>
          <w:sz w:val="22"/>
          <w:szCs w:val="22"/>
        </w:rPr>
        <w:t xml:space="preserve">, </w:t>
      </w:r>
      <w:r w:rsidR="00411B43" w:rsidRPr="006F1D4A">
        <w:rPr>
          <w:sz w:val="22"/>
          <w:szCs w:val="22"/>
        </w:rPr>
        <w:t xml:space="preserve">il est demandé aux </w:t>
      </w:r>
      <w:r w:rsidRPr="006F1D4A">
        <w:rPr>
          <w:sz w:val="22"/>
          <w:szCs w:val="22"/>
        </w:rPr>
        <w:t xml:space="preserve">participants </w:t>
      </w:r>
      <w:r w:rsidR="00411B43" w:rsidRPr="006F1D4A">
        <w:rPr>
          <w:sz w:val="22"/>
          <w:szCs w:val="22"/>
        </w:rPr>
        <w:t>de</w:t>
      </w:r>
      <w:r w:rsidRPr="006F1D4A">
        <w:rPr>
          <w:sz w:val="22"/>
          <w:szCs w:val="22"/>
        </w:rPr>
        <w:t xml:space="preserve"> s'inscrire en ligne via </w:t>
      </w:r>
      <w:r w:rsidR="00C53A5C" w:rsidRPr="006F1D4A">
        <w:rPr>
          <w:sz w:val="22"/>
          <w:szCs w:val="22"/>
        </w:rPr>
        <w:t xml:space="preserve">le formulaire en ligne disponible </w:t>
      </w:r>
      <w:hyperlink r:id="rId23" w:history="1">
        <w:r w:rsidR="00C53A5C" w:rsidRPr="006F1D4A">
          <w:rPr>
            <w:rStyle w:val="Hyperlink"/>
            <w:sz w:val="22"/>
            <w:szCs w:val="22"/>
          </w:rPr>
          <w:t>ici</w:t>
        </w:r>
      </w:hyperlink>
      <w:r w:rsidRPr="006F1D4A">
        <w:rPr>
          <w:sz w:val="22"/>
          <w:szCs w:val="22"/>
        </w:rPr>
        <w:t xml:space="preserve"> dès que possible</w:t>
      </w:r>
      <w:r w:rsidR="00411B43" w:rsidRPr="006F1D4A">
        <w:rPr>
          <w:sz w:val="22"/>
          <w:szCs w:val="22"/>
        </w:rPr>
        <w:t>,</w:t>
      </w:r>
      <w:r w:rsidR="00C53A5C" w:rsidRPr="006F1D4A">
        <w:rPr>
          <w:sz w:val="22"/>
          <w:szCs w:val="22"/>
        </w:rPr>
        <w:t xml:space="preserve"> et </w:t>
      </w:r>
      <w:r w:rsidR="00C53A5C" w:rsidRPr="006F1D4A">
        <w:rPr>
          <w:b/>
          <w:sz w:val="22"/>
          <w:szCs w:val="22"/>
        </w:rPr>
        <w:t>au plus tard le 8 mai 2023</w:t>
      </w:r>
      <w:r w:rsidRPr="006F1D4A">
        <w:rPr>
          <w:sz w:val="22"/>
          <w:szCs w:val="22"/>
        </w:rPr>
        <w:t xml:space="preserve">. L'inscription est obligatoire </w:t>
      </w:r>
      <w:r w:rsidR="00C53A5C" w:rsidRPr="006F1D4A">
        <w:rPr>
          <w:sz w:val="22"/>
          <w:szCs w:val="22"/>
        </w:rPr>
        <w:t>pour tous les participants</w:t>
      </w:r>
      <w:r w:rsidRPr="006F1D4A">
        <w:rPr>
          <w:sz w:val="22"/>
          <w:szCs w:val="22"/>
        </w:rPr>
        <w:t xml:space="preserve">. </w:t>
      </w:r>
      <w:r w:rsidRPr="006F1D4A">
        <w:rPr>
          <w:b/>
          <w:sz w:val="22"/>
          <w:szCs w:val="22"/>
        </w:rPr>
        <w:t xml:space="preserve">Veuillez noter que l'inscription préalable des participants aux manifestations </w:t>
      </w:r>
      <w:r w:rsidR="00C53A5C" w:rsidRPr="006F1D4A">
        <w:rPr>
          <w:b/>
          <w:sz w:val="22"/>
          <w:szCs w:val="22"/>
        </w:rPr>
        <w:t xml:space="preserve">est obligatoire et </w:t>
      </w:r>
      <w:r w:rsidRPr="006F1D4A">
        <w:rPr>
          <w:b/>
          <w:sz w:val="22"/>
          <w:szCs w:val="22"/>
        </w:rPr>
        <w:t xml:space="preserve">se </w:t>
      </w:r>
      <w:r w:rsidR="00C53A5C" w:rsidRPr="006F1D4A">
        <w:rPr>
          <w:b/>
          <w:sz w:val="22"/>
          <w:szCs w:val="22"/>
        </w:rPr>
        <w:t xml:space="preserve">fera </w:t>
      </w:r>
      <w:r w:rsidRPr="006F1D4A">
        <w:rPr>
          <w:b/>
          <w:sz w:val="22"/>
          <w:szCs w:val="22"/>
        </w:rPr>
        <w:t>exclusivement en ligne</w:t>
      </w:r>
      <w:r w:rsidRPr="006F1D4A">
        <w:rPr>
          <w:sz w:val="22"/>
          <w:szCs w:val="22"/>
        </w:rPr>
        <w:t>.</w:t>
      </w:r>
    </w:p>
    <w:p w14:paraId="62805F53" w14:textId="400CA0F1" w:rsidR="00165939" w:rsidRPr="006F1D4A" w:rsidRDefault="001279B5" w:rsidP="0051551A">
      <w:pPr>
        <w:tabs>
          <w:tab w:val="left" w:pos="709"/>
        </w:tabs>
        <w:rPr>
          <w:rFonts w:cstheme="minorHAnsi"/>
          <w:sz w:val="22"/>
          <w:szCs w:val="22"/>
        </w:rPr>
      </w:pPr>
      <w:r w:rsidRPr="006F1D4A">
        <w:rPr>
          <w:rFonts w:cstheme="minorHAnsi"/>
          <w:sz w:val="22"/>
          <w:szCs w:val="22"/>
        </w:rPr>
        <w:t>11</w:t>
      </w:r>
      <w:r w:rsidR="00165939" w:rsidRPr="006F1D4A">
        <w:rPr>
          <w:rFonts w:cstheme="minorHAnsi"/>
          <w:sz w:val="22"/>
          <w:szCs w:val="22"/>
        </w:rPr>
        <w:tab/>
      </w:r>
      <w:r w:rsidR="00165939" w:rsidRPr="006F1D4A">
        <w:rPr>
          <w:rFonts w:cstheme="minorHAnsi"/>
          <w:b/>
          <w:bCs/>
          <w:sz w:val="22"/>
          <w:szCs w:val="22"/>
        </w:rPr>
        <w:t xml:space="preserve">Veuillez noter que l'inscription </w:t>
      </w:r>
      <w:r w:rsidR="00C53A5C" w:rsidRPr="006F1D4A">
        <w:rPr>
          <w:rFonts w:cstheme="minorHAnsi"/>
          <w:b/>
          <w:bCs/>
          <w:sz w:val="22"/>
          <w:szCs w:val="22"/>
        </w:rPr>
        <w:t xml:space="preserve">pour la participation </w:t>
      </w:r>
      <w:r w:rsidR="00165939" w:rsidRPr="006F1D4A">
        <w:rPr>
          <w:rFonts w:cstheme="minorHAnsi"/>
          <w:b/>
          <w:bCs/>
          <w:sz w:val="22"/>
          <w:szCs w:val="22"/>
        </w:rPr>
        <w:t xml:space="preserve">aux réunions des Groupes régionaux </w:t>
      </w:r>
      <w:r w:rsidR="00C53A5C" w:rsidRPr="006F1D4A">
        <w:rPr>
          <w:rFonts w:cstheme="minorHAnsi"/>
          <w:b/>
          <w:bCs/>
          <w:sz w:val="22"/>
          <w:szCs w:val="22"/>
        </w:rPr>
        <w:t xml:space="preserve">de la Commission d'études 5 de l'UIT-T (SG5RG-AFR et SG5RG-ARB) </w:t>
      </w:r>
      <w:r w:rsidR="00165939" w:rsidRPr="006F1D4A">
        <w:rPr>
          <w:rFonts w:cstheme="minorHAnsi"/>
          <w:b/>
          <w:bCs/>
          <w:sz w:val="22"/>
          <w:szCs w:val="22"/>
        </w:rPr>
        <w:t>s'effectuera séparément.</w:t>
      </w:r>
      <w:r w:rsidR="0051551A" w:rsidRPr="006F1D4A">
        <w:rPr>
          <w:rFonts w:cstheme="minorHAnsi"/>
          <w:b/>
          <w:bCs/>
          <w:sz w:val="22"/>
          <w:szCs w:val="22"/>
        </w:rPr>
        <w:br/>
      </w:r>
      <w:r w:rsidR="00165939" w:rsidRPr="006F1D4A">
        <w:rPr>
          <w:rFonts w:cstheme="minorHAnsi"/>
          <w:sz w:val="22"/>
          <w:szCs w:val="22"/>
        </w:rPr>
        <w:t>On trouvera de plus amples informations sur les réunions des Grou</w:t>
      </w:r>
      <w:r w:rsidR="0051551A" w:rsidRPr="006F1D4A">
        <w:rPr>
          <w:rFonts w:cstheme="minorHAnsi"/>
          <w:sz w:val="22"/>
          <w:szCs w:val="22"/>
        </w:rPr>
        <w:t>pes régionaux sur les sites web </w:t>
      </w:r>
      <w:r w:rsidR="00165939" w:rsidRPr="006F1D4A">
        <w:rPr>
          <w:rFonts w:cstheme="minorHAnsi"/>
          <w:sz w:val="22"/>
          <w:szCs w:val="22"/>
        </w:rPr>
        <w:t>respectifs du Groupe régional pour l'Afrique (</w:t>
      </w:r>
      <w:hyperlink r:id="rId24" w:history="1">
        <w:r w:rsidR="00165939" w:rsidRPr="006F1D4A">
          <w:rPr>
            <w:rStyle w:val="Hyperlink"/>
            <w:rFonts w:cstheme="minorHAnsi"/>
            <w:sz w:val="22"/>
            <w:szCs w:val="22"/>
          </w:rPr>
          <w:t>SG5RG-AFR</w:t>
        </w:r>
      </w:hyperlink>
      <w:r w:rsidR="00165939" w:rsidRPr="006F1D4A">
        <w:rPr>
          <w:rFonts w:cstheme="minorHAnsi"/>
          <w:sz w:val="22"/>
          <w:szCs w:val="22"/>
        </w:rPr>
        <w:t xml:space="preserve">) </w:t>
      </w:r>
      <w:r w:rsidR="00C53A5C" w:rsidRPr="006F1D4A">
        <w:rPr>
          <w:rFonts w:cstheme="minorHAnsi"/>
          <w:sz w:val="22"/>
          <w:szCs w:val="22"/>
        </w:rPr>
        <w:t xml:space="preserve">et </w:t>
      </w:r>
      <w:r w:rsidR="00165939" w:rsidRPr="006F1D4A">
        <w:rPr>
          <w:rFonts w:cstheme="minorHAnsi"/>
          <w:sz w:val="22"/>
          <w:szCs w:val="22"/>
        </w:rPr>
        <w:t>du</w:t>
      </w:r>
      <w:r w:rsidR="0051551A" w:rsidRPr="006F1D4A">
        <w:rPr>
          <w:rFonts w:cstheme="minorHAnsi"/>
          <w:sz w:val="22"/>
          <w:szCs w:val="22"/>
        </w:rPr>
        <w:t xml:space="preserve"> Groupe régional pour les États </w:t>
      </w:r>
      <w:r w:rsidR="00165939" w:rsidRPr="006F1D4A">
        <w:rPr>
          <w:rFonts w:cstheme="minorHAnsi"/>
          <w:sz w:val="22"/>
          <w:szCs w:val="22"/>
        </w:rPr>
        <w:t>arabes (</w:t>
      </w:r>
      <w:hyperlink r:id="rId25" w:history="1">
        <w:r w:rsidR="00165939" w:rsidRPr="006F1D4A">
          <w:rPr>
            <w:rStyle w:val="Hyperlink"/>
            <w:rFonts w:cstheme="minorHAnsi"/>
            <w:sz w:val="22"/>
            <w:szCs w:val="22"/>
          </w:rPr>
          <w:t>RG5RG-ARB</w:t>
        </w:r>
      </w:hyperlink>
      <w:r w:rsidR="00165939" w:rsidRPr="006F1D4A">
        <w:rPr>
          <w:rFonts w:cstheme="minorHAnsi"/>
          <w:sz w:val="22"/>
          <w:szCs w:val="22"/>
        </w:rPr>
        <w:t>). Les réunions des Groupes régionaux s</w:t>
      </w:r>
      <w:r w:rsidR="0051551A" w:rsidRPr="006F1D4A">
        <w:rPr>
          <w:rFonts w:cstheme="minorHAnsi"/>
          <w:sz w:val="22"/>
          <w:szCs w:val="22"/>
        </w:rPr>
        <w:t>eront réservées aux délégués et </w:t>
      </w:r>
      <w:r w:rsidR="00165939" w:rsidRPr="006F1D4A">
        <w:rPr>
          <w:rFonts w:cstheme="minorHAnsi"/>
          <w:sz w:val="22"/>
          <w:szCs w:val="22"/>
        </w:rPr>
        <w:t xml:space="preserve">aux représentants des États Membres, des Membres de Secteur et des Associés de la Commission d'études 5 de l'UIT-T </w:t>
      </w:r>
      <w:r w:rsidR="008C74D5" w:rsidRPr="006F1D4A">
        <w:rPr>
          <w:rFonts w:cstheme="minorHAnsi"/>
          <w:sz w:val="22"/>
          <w:szCs w:val="22"/>
        </w:rPr>
        <w:t xml:space="preserve">de </w:t>
      </w:r>
      <w:r w:rsidR="00165939" w:rsidRPr="006F1D4A">
        <w:rPr>
          <w:rFonts w:cstheme="minorHAnsi"/>
          <w:sz w:val="22"/>
          <w:szCs w:val="22"/>
        </w:rPr>
        <w:t>la région, conformément au §</w:t>
      </w:r>
      <w:r w:rsidR="00EA4854" w:rsidRPr="006F1D4A">
        <w:rPr>
          <w:rFonts w:cstheme="minorHAnsi"/>
          <w:sz w:val="22"/>
          <w:szCs w:val="22"/>
        </w:rPr>
        <w:t xml:space="preserve"> 2.3.3 de la Résolution 1 (Rév.</w:t>
      </w:r>
      <w:r w:rsidR="0051551A" w:rsidRPr="006F1D4A">
        <w:rPr>
          <w:rFonts w:cstheme="minorHAnsi"/>
          <w:sz w:val="22"/>
          <w:szCs w:val="22"/>
        </w:rPr>
        <w:t> </w:t>
      </w:r>
      <w:r w:rsidR="00165939" w:rsidRPr="006F1D4A">
        <w:rPr>
          <w:rFonts w:cstheme="minorHAnsi"/>
          <w:sz w:val="22"/>
          <w:szCs w:val="22"/>
        </w:rPr>
        <w:t>Hammamet, 2016)</w:t>
      </w:r>
      <w:r w:rsidR="00863089" w:rsidRPr="006F1D4A">
        <w:rPr>
          <w:sz w:val="22"/>
          <w:szCs w:val="22"/>
        </w:rPr>
        <w:t xml:space="preserve"> </w:t>
      </w:r>
      <w:r w:rsidR="00863089" w:rsidRPr="006F1D4A">
        <w:rPr>
          <w:rFonts w:cstheme="minorHAnsi"/>
          <w:sz w:val="22"/>
          <w:szCs w:val="22"/>
        </w:rPr>
        <w:t>de l'AMNT</w:t>
      </w:r>
      <w:r w:rsidR="00165939" w:rsidRPr="006F1D4A">
        <w:rPr>
          <w:rFonts w:cstheme="minorHAnsi"/>
          <w:sz w:val="22"/>
          <w:szCs w:val="22"/>
        </w:rPr>
        <w:t xml:space="preserve">. </w:t>
      </w:r>
    </w:p>
    <w:p w14:paraId="309CE27F" w14:textId="6F0F6E29" w:rsidR="00140A97" w:rsidRPr="006F1D4A" w:rsidRDefault="00140A97" w:rsidP="0051551A">
      <w:pPr>
        <w:rPr>
          <w:sz w:val="22"/>
          <w:szCs w:val="22"/>
        </w:rPr>
      </w:pPr>
      <w:r w:rsidRPr="006F1D4A">
        <w:rPr>
          <w:sz w:val="22"/>
          <w:szCs w:val="22"/>
        </w:rPr>
        <w:t>Veuillez agréer, Madame, Monsieur, l'assurance de ma considération distinguée.</w:t>
      </w:r>
    </w:p>
    <w:p w14:paraId="279D4214" w14:textId="1B7E8456" w:rsidR="00517A03" w:rsidRPr="006F1D4A" w:rsidRDefault="00DF1A5F" w:rsidP="00B77CFF">
      <w:pPr>
        <w:spacing w:before="960"/>
        <w:ind w:right="-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A79FEC" wp14:editId="1038CE96">
            <wp:simplePos x="0" y="0"/>
            <wp:positionH relativeFrom="column">
              <wp:posOffset>635</wp:posOffset>
            </wp:positionH>
            <wp:positionV relativeFrom="paragraph">
              <wp:posOffset>151765</wp:posOffset>
            </wp:positionV>
            <wp:extent cx="452966" cy="339725"/>
            <wp:effectExtent l="0" t="0" r="4445" b="3175"/>
            <wp:wrapNone/>
            <wp:docPr id="3" name="Picture 3" descr="A picture containing font, graphics, whit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white, logo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66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9B5" w:rsidRPr="006F1D4A">
        <w:rPr>
          <w:sz w:val="22"/>
          <w:szCs w:val="22"/>
        </w:rPr>
        <w:t>Seizo Onoe</w:t>
      </w:r>
      <w:r w:rsidR="00036F4F" w:rsidRPr="006F1D4A">
        <w:rPr>
          <w:sz w:val="22"/>
          <w:szCs w:val="22"/>
        </w:rPr>
        <w:br/>
        <w:t xml:space="preserve">Directeur du Bureau de la normalisation </w:t>
      </w:r>
      <w:r w:rsidR="00036F4F" w:rsidRPr="006F1D4A">
        <w:rPr>
          <w:sz w:val="22"/>
          <w:szCs w:val="22"/>
        </w:rPr>
        <w:br/>
        <w:t>des télécommunications</w:t>
      </w:r>
    </w:p>
    <w:sectPr w:rsidR="00517A03" w:rsidRPr="006F1D4A" w:rsidSect="00A15179">
      <w:headerReference w:type="default" r:id="rId27"/>
      <w:footerReference w:type="first" r:id="rId2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BCFB" w14:textId="77777777" w:rsidR="00B52F22" w:rsidRDefault="00B52F22">
      <w:r>
        <w:separator/>
      </w:r>
    </w:p>
  </w:endnote>
  <w:endnote w:type="continuationSeparator" w:id="0">
    <w:p w14:paraId="503E7817" w14:textId="77777777" w:rsidR="00B52F22" w:rsidRDefault="00B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514A" w14:textId="77777777" w:rsidR="005120A2" w:rsidRPr="00EB11AA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EB11AA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EB11AA">
      <w:rPr>
        <w:color w:val="0070C0"/>
        <w:sz w:val="18"/>
        <w:szCs w:val="18"/>
        <w:lang w:val="fr-CH"/>
      </w:rPr>
      <w:t xml:space="preserve"> •</w:t>
    </w:r>
    <w:r w:rsidRPr="00EB11AA">
      <w:rPr>
        <w:color w:val="0070C0"/>
        <w:sz w:val="18"/>
        <w:szCs w:val="18"/>
        <w:lang w:val="fr-CH"/>
      </w:rPr>
      <w:t xml:space="preserve"> CH</w:t>
    </w:r>
    <w:r w:rsidRPr="00EB11AA">
      <w:rPr>
        <w:color w:val="0070C0"/>
        <w:sz w:val="18"/>
        <w:szCs w:val="18"/>
        <w:lang w:val="fr-CH"/>
      </w:rPr>
      <w:noBreakHyphen/>
      <w:t>1211 Genève 20</w:t>
    </w:r>
    <w:r w:rsidR="00085F5A" w:rsidRPr="00EB11AA">
      <w:rPr>
        <w:color w:val="0070C0"/>
        <w:sz w:val="18"/>
        <w:szCs w:val="18"/>
        <w:lang w:val="fr-CH"/>
      </w:rPr>
      <w:t xml:space="preserve"> •</w:t>
    </w:r>
    <w:r w:rsidRPr="00EB11AA">
      <w:rPr>
        <w:color w:val="0070C0"/>
        <w:sz w:val="18"/>
        <w:szCs w:val="18"/>
        <w:lang w:val="fr-CH"/>
      </w:rPr>
      <w:t xml:space="preserve"> Suisse </w:t>
    </w:r>
    <w:r w:rsidRPr="00EB11AA">
      <w:rPr>
        <w:color w:val="0070C0"/>
        <w:sz w:val="18"/>
        <w:szCs w:val="18"/>
        <w:lang w:val="fr-CH"/>
      </w:rPr>
      <w:br/>
    </w:r>
    <w:proofErr w:type="gramStart"/>
    <w:r w:rsidRPr="00EB11AA">
      <w:rPr>
        <w:color w:val="0070C0"/>
        <w:sz w:val="18"/>
        <w:szCs w:val="18"/>
        <w:lang w:val="fr-CH"/>
      </w:rPr>
      <w:t>Tél</w:t>
    </w:r>
    <w:r w:rsidR="00085F5A" w:rsidRPr="00EB11AA">
      <w:rPr>
        <w:color w:val="0070C0"/>
        <w:sz w:val="18"/>
        <w:szCs w:val="18"/>
        <w:lang w:val="fr-CH"/>
      </w:rPr>
      <w:t>.</w:t>
    </w:r>
    <w:r w:rsidRPr="00EB11AA">
      <w:rPr>
        <w:color w:val="0070C0"/>
        <w:sz w:val="18"/>
        <w:szCs w:val="18"/>
        <w:lang w:val="fr-CH"/>
      </w:rPr>
      <w:t>:</w:t>
    </w:r>
    <w:proofErr w:type="gramEnd"/>
    <w:r w:rsidRPr="00EB11AA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EB11AA">
      <w:rPr>
        <w:color w:val="0070C0"/>
        <w:sz w:val="18"/>
        <w:szCs w:val="18"/>
        <w:lang w:val="fr-CH"/>
      </w:rPr>
      <w:t>Courriel</w:t>
    </w:r>
    <w:r w:rsidRPr="00EB11AA">
      <w:rPr>
        <w:color w:val="0070C0"/>
        <w:sz w:val="18"/>
        <w:szCs w:val="18"/>
        <w:lang w:val="fr-CH"/>
      </w:rPr>
      <w:t xml:space="preserve">: </w:t>
    </w:r>
    <w:hyperlink r:id="rId1" w:history="1">
      <w:r w:rsidRPr="00EB11AA">
        <w:rPr>
          <w:rStyle w:val="Hyperlink"/>
          <w:color w:val="0070C0"/>
          <w:sz w:val="18"/>
          <w:szCs w:val="18"/>
        </w:rPr>
        <w:t>itumail@itu.int</w:t>
      </w:r>
    </w:hyperlink>
    <w:r w:rsidRPr="00EB11AA">
      <w:rPr>
        <w:color w:val="0070C0"/>
        <w:sz w:val="18"/>
        <w:szCs w:val="18"/>
        <w:lang w:val="fr-CH"/>
      </w:rPr>
      <w:t xml:space="preserve"> • </w:t>
    </w:r>
    <w:hyperlink r:id="rId2" w:history="1">
      <w:r w:rsidRPr="00EB11AA">
        <w:rPr>
          <w:rStyle w:val="Hyperlink"/>
          <w:color w:val="0070C0"/>
          <w:sz w:val="18"/>
          <w:szCs w:val="18"/>
        </w:rPr>
        <w:t>www.itu.int</w:t>
      </w:r>
    </w:hyperlink>
    <w:r w:rsidRPr="00EB11AA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BA87" w14:textId="77777777" w:rsidR="00B52F22" w:rsidRDefault="00B52F22">
      <w:r>
        <w:t>____________________</w:t>
      </w:r>
    </w:p>
  </w:footnote>
  <w:footnote w:type="continuationSeparator" w:id="0">
    <w:p w14:paraId="590988A3" w14:textId="77777777" w:rsidR="00B52F22" w:rsidRDefault="00B5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5D7F" w14:textId="2C813921" w:rsidR="00697BC1" w:rsidRDefault="00DF1A5F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6F1D4A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8A49899" w14:textId="075554D0" w:rsidR="006D2999" w:rsidRPr="00697BC1" w:rsidRDefault="006D2999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EC56A8">
      <w:rPr>
        <w:noProof/>
        <w:sz w:val="18"/>
        <w:szCs w:val="16"/>
      </w:rPr>
      <w:t>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927809">
    <w:abstractNumId w:val="1"/>
  </w:num>
  <w:num w:numId="2" w16cid:durableId="155994402">
    <w:abstractNumId w:val="5"/>
  </w:num>
  <w:num w:numId="3" w16cid:durableId="823279889">
    <w:abstractNumId w:val="4"/>
  </w:num>
  <w:num w:numId="4" w16cid:durableId="92747226">
    <w:abstractNumId w:val="0"/>
  </w:num>
  <w:num w:numId="5" w16cid:durableId="1673678616">
    <w:abstractNumId w:val="2"/>
  </w:num>
  <w:num w:numId="6" w16cid:durableId="140294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97"/>
    <w:rsid w:val="000039EE"/>
    <w:rsid w:val="00005468"/>
    <w:rsid w:val="00005622"/>
    <w:rsid w:val="0002519E"/>
    <w:rsid w:val="00027905"/>
    <w:rsid w:val="00035B43"/>
    <w:rsid w:val="00036F4F"/>
    <w:rsid w:val="00043CA0"/>
    <w:rsid w:val="00074BB0"/>
    <w:rsid w:val="000758B3"/>
    <w:rsid w:val="00085F5A"/>
    <w:rsid w:val="000B0D96"/>
    <w:rsid w:val="000B59D8"/>
    <w:rsid w:val="000B67F9"/>
    <w:rsid w:val="000B7B60"/>
    <w:rsid w:val="000C1F6B"/>
    <w:rsid w:val="000C1FE9"/>
    <w:rsid w:val="000C25CC"/>
    <w:rsid w:val="000C56BE"/>
    <w:rsid w:val="000D1744"/>
    <w:rsid w:val="001026FD"/>
    <w:rsid w:val="001077FD"/>
    <w:rsid w:val="00115DD7"/>
    <w:rsid w:val="00125001"/>
    <w:rsid w:val="001279B5"/>
    <w:rsid w:val="00140A97"/>
    <w:rsid w:val="00165939"/>
    <w:rsid w:val="00167472"/>
    <w:rsid w:val="00167F92"/>
    <w:rsid w:val="001724CB"/>
    <w:rsid w:val="00173738"/>
    <w:rsid w:val="001B79A3"/>
    <w:rsid w:val="001C2CED"/>
    <w:rsid w:val="001D09A7"/>
    <w:rsid w:val="001F2DC1"/>
    <w:rsid w:val="002152A3"/>
    <w:rsid w:val="002E395D"/>
    <w:rsid w:val="003131F0"/>
    <w:rsid w:val="00333A80"/>
    <w:rsid w:val="00341117"/>
    <w:rsid w:val="00364E95"/>
    <w:rsid w:val="00372875"/>
    <w:rsid w:val="0039011B"/>
    <w:rsid w:val="003B1E80"/>
    <w:rsid w:val="003B66E8"/>
    <w:rsid w:val="003C4433"/>
    <w:rsid w:val="003D4023"/>
    <w:rsid w:val="003E66AD"/>
    <w:rsid w:val="004033F1"/>
    <w:rsid w:val="00411B43"/>
    <w:rsid w:val="00414B0C"/>
    <w:rsid w:val="00423C21"/>
    <w:rsid w:val="004257AC"/>
    <w:rsid w:val="0043096D"/>
    <w:rsid w:val="0043711B"/>
    <w:rsid w:val="00446360"/>
    <w:rsid w:val="00447F5B"/>
    <w:rsid w:val="00471873"/>
    <w:rsid w:val="004977C9"/>
    <w:rsid w:val="004B732E"/>
    <w:rsid w:val="004D51F4"/>
    <w:rsid w:val="004D64E0"/>
    <w:rsid w:val="005120A2"/>
    <w:rsid w:val="0051210D"/>
    <w:rsid w:val="005136D2"/>
    <w:rsid w:val="0051551A"/>
    <w:rsid w:val="00515CD8"/>
    <w:rsid w:val="00517A03"/>
    <w:rsid w:val="00524E2C"/>
    <w:rsid w:val="00531C81"/>
    <w:rsid w:val="005A3DD9"/>
    <w:rsid w:val="005B1DFC"/>
    <w:rsid w:val="005F2AB3"/>
    <w:rsid w:val="00601682"/>
    <w:rsid w:val="00603470"/>
    <w:rsid w:val="00611EE5"/>
    <w:rsid w:val="00621434"/>
    <w:rsid w:val="00625E79"/>
    <w:rsid w:val="00630191"/>
    <w:rsid w:val="006333F7"/>
    <w:rsid w:val="006427A1"/>
    <w:rsid w:val="00644741"/>
    <w:rsid w:val="006542BC"/>
    <w:rsid w:val="00697BC1"/>
    <w:rsid w:val="00697E95"/>
    <w:rsid w:val="006A6FFE"/>
    <w:rsid w:val="006C5A91"/>
    <w:rsid w:val="006D2999"/>
    <w:rsid w:val="006F1D4A"/>
    <w:rsid w:val="00716BBC"/>
    <w:rsid w:val="007321BC"/>
    <w:rsid w:val="00760063"/>
    <w:rsid w:val="00761EDC"/>
    <w:rsid w:val="00775E4B"/>
    <w:rsid w:val="00780411"/>
    <w:rsid w:val="0079553B"/>
    <w:rsid w:val="00795679"/>
    <w:rsid w:val="007A40FE"/>
    <w:rsid w:val="007C6B24"/>
    <w:rsid w:val="007E0E4D"/>
    <w:rsid w:val="00810105"/>
    <w:rsid w:val="008157E0"/>
    <w:rsid w:val="00850477"/>
    <w:rsid w:val="00854E1D"/>
    <w:rsid w:val="00863089"/>
    <w:rsid w:val="00883C55"/>
    <w:rsid w:val="00887FA6"/>
    <w:rsid w:val="008C4397"/>
    <w:rsid w:val="008C465A"/>
    <w:rsid w:val="008C74D5"/>
    <w:rsid w:val="008F2C9B"/>
    <w:rsid w:val="00923CD6"/>
    <w:rsid w:val="00935AA8"/>
    <w:rsid w:val="00942257"/>
    <w:rsid w:val="0094289B"/>
    <w:rsid w:val="00971C9A"/>
    <w:rsid w:val="009775DC"/>
    <w:rsid w:val="009B2301"/>
    <w:rsid w:val="009C4729"/>
    <w:rsid w:val="009D51FA"/>
    <w:rsid w:val="009F1E23"/>
    <w:rsid w:val="00A06A26"/>
    <w:rsid w:val="00A15179"/>
    <w:rsid w:val="00A51537"/>
    <w:rsid w:val="00A5280F"/>
    <w:rsid w:val="00A5645A"/>
    <w:rsid w:val="00A60FC1"/>
    <w:rsid w:val="00A946F7"/>
    <w:rsid w:val="00A97C37"/>
    <w:rsid w:val="00AA131B"/>
    <w:rsid w:val="00AC37B5"/>
    <w:rsid w:val="00AD752F"/>
    <w:rsid w:val="00AD7CD9"/>
    <w:rsid w:val="00AF08A4"/>
    <w:rsid w:val="00AF7709"/>
    <w:rsid w:val="00B11308"/>
    <w:rsid w:val="00B217AE"/>
    <w:rsid w:val="00B27B41"/>
    <w:rsid w:val="00B42659"/>
    <w:rsid w:val="00B52F22"/>
    <w:rsid w:val="00B564FD"/>
    <w:rsid w:val="00B77CFF"/>
    <w:rsid w:val="00B77FCC"/>
    <w:rsid w:val="00B83D38"/>
    <w:rsid w:val="00B8573E"/>
    <w:rsid w:val="00BB24C0"/>
    <w:rsid w:val="00BD6ECF"/>
    <w:rsid w:val="00C17301"/>
    <w:rsid w:val="00C26F2E"/>
    <w:rsid w:val="00C302E3"/>
    <w:rsid w:val="00C4395C"/>
    <w:rsid w:val="00C45376"/>
    <w:rsid w:val="00C53A5C"/>
    <w:rsid w:val="00C7007E"/>
    <w:rsid w:val="00C81DF1"/>
    <w:rsid w:val="00C9028F"/>
    <w:rsid w:val="00CA0416"/>
    <w:rsid w:val="00CB1125"/>
    <w:rsid w:val="00CD042E"/>
    <w:rsid w:val="00CE197B"/>
    <w:rsid w:val="00CF2560"/>
    <w:rsid w:val="00CF5B46"/>
    <w:rsid w:val="00D0298F"/>
    <w:rsid w:val="00D43605"/>
    <w:rsid w:val="00D46B68"/>
    <w:rsid w:val="00D53CFF"/>
    <w:rsid w:val="00D542A5"/>
    <w:rsid w:val="00D57B1D"/>
    <w:rsid w:val="00DA0F5D"/>
    <w:rsid w:val="00DC3D47"/>
    <w:rsid w:val="00DD2A12"/>
    <w:rsid w:val="00DD6455"/>
    <w:rsid w:val="00DD77DA"/>
    <w:rsid w:val="00DF1A5F"/>
    <w:rsid w:val="00E06C61"/>
    <w:rsid w:val="00E13633"/>
    <w:rsid w:val="00E13DB3"/>
    <w:rsid w:val="00E2408B"/>
    <w:rsid w:val="00E340CF"/>
    <w:rsid w:val="00E615DF"/>
    <w:rsid w:val="00E62CEA"/>
    <w:rsid w:val="00E72AE1"/>
    <w:rsid w:val="00EA4854"/>
    <w:rsid w:val="00EB11AA"/>
    <w:rsid w:val="00EC3833"/>
    <w:rsid w:val="00EC56A8"/>
    <w:rsid w:val="00ED0C5A"/>
    <w:rsid w:val="00ED6A7A"/>
    <w:rsid w:val="00EE4C36"/>
    <w:rsid w:val="00F346CE"/>
    <w:rsid w:val="00F34F98"/>
    <w:rsid w:val="00F40540"/>
    <w:rsid w:val="00F67402"/>
    <w:rsid w:val="00F766A2"/>
    <w:rsid w:val="00F9451D"/>
    <w:rsid w:val="00FB2A8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C9A04A"/>
  <w15:docId w15:val="{13233FFA-1833-46FF-8A4A-953AE36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140A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0A9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40A9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4E2C"/>
    <w:rPr>
      <w:color w:val="605E5C"/>
      <w:shd w:val="clear" w:color="auto" w:fill="E1DFDD"/>
    </w:rPr>
  </w:style>
  <w:style w:type="table" w:styleId="TableGrid">
    <w:name w:val="Table Grid"/>
    <w:basedOn w:val="TableNormal"/>
    <w:rsid w:val="0012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sg05rg/sdtw/20230516/Pages/default.aspx" TargetMode="External"/><Relationship Id="rId18" Type="http://schemas.openxmlformats.org/officeDocument/2006/relationships/hyperlink" Target="https://www.itu.int/en/ITU-T/regionalgroups/sg05-arb/Pages/default.aspx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itu.int/en/ITU-T/Workshops-and-Seminars/sg05rg/sdtw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sg05rg/sdtw/20230515/Pages/default.aspx" TargetMode="External"/><Relationship Id="rId17" Type="http://schemas.openxmlformats.org/officeDocument/2006/relationships/hyperlink" Target="https://www.itu.int/en/itu-t/regionalgroups/sg05-afr/Pages/default.aspx" TargetMode="External"/><Relationship Id="rId25" Type="http://schemas.openxmlformats.org/officeDocument/2006/relationships/hyperlink" Target="https://www.itu.int/en/ITU-T/studygroups/2017-2020/05/sg5rgarb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sg05rg/sdtw/20230519/Pages/default.aspx" TargetMode="External"/><Relationship Id="rId20" Type="http://schemas.openxmlformats.org/officeDocument/2006/relationships/hyperlink" Target="https://www.itu.int/en/ITU-T/regionalgroups/sg05-arb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sg5rgarb/Pages/default.aspx" TargetMode="External"/><Relationship Id="rId24" Type="http://schemas.openxmlformats.org/officeDocument/2006/relationships/hyperlink" Target="https://www.itu.int/en/ITU-T/studygroups/2017-2020/05/sg5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sg05rg/sdtw/20230518/Pages/default.aspx" TargetMode="External"/><Relationship Id="rId23" Type="http://schemas.openxmlformats.org/officeDocument/2006/relationships/hyperlink" Target="https://www.itu.int/net4/CRM/xreg/web/Login.aspx?src=Registration&amp;Event=C-0001249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en/ITU-T/studygroups/2017-2020/05/sg5rgafr/Pages/default.aspx" TargetMode="External"/><Relationship Id="rId19" Type="http://schemas.openxmlformats.org/officeDocument/2006/relationships/hyperlink" Target="https://www.itu.int/en/itu-t/regionalgroups/sg05-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Workshops-and-Seminars/sg05rg/sdtw/20230516/Pages/default.aspx" TargetMode="External"/><Relationship Id="rId22" Type="http://schemas.openxmlformats.org/officeDocument/2006/relationships/hyperlink" Target="https://www.itu.int/en/ITU-T/Workshops-and-Seminars/sg05rg/sdtw/Documents/Practical%20Information%20Uganda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rd\AppData\Roaming\Microsoft\Templates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B633-5654-4052-8ED7-20C1BD77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24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9509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2023-05-15T13:54:00Z</cp:lastPrinted>
  <dcterms:created xsi:type="dcterms:W3CDTF">2023-04-18T06:16:00Z</dcterms:created>
  <dcterms:modified xsi:type="dcterms:W3CDTF">2023-05-15T13:55:00Z</dcterms:modified>
</cp:coreProperties>
</file>