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1134"/>
        <w:gridCol w:w="142"/>
        <w:gridCol w:w="3402"/>
        <w:gridCol w:w="3119"/>
        <w:gridCol w:w="2126"/>
      </w:tblGrid>
      <w:tr w:rsidR="00FA46A0" w:rsidRPr="0078395B" w14:paraId="1851D63E" w14:textId="77777777" w:rsidTr="00634658">
        <w:trPr>
          <w:trHeight w:val="1282"/>
        </w:trPr>
        <w:tc>
          <w:tcPr>
            <w:tcW w:w="1276" w:type="dxa"/>
            <w:gridSpan w:val="2"/>
            <w:shd w:val="clear" w:color="auto" w:fill="auto"/>
            <w:tcMar>
              <w:left w:w="0" w:type="dxa"/>
              <w:right w:w="0" w:type="dxa"/>
            </w:tcMar>
            <w:vAlign w:val="center"/>
          </w:tcPr>
          <w:p w14:paraId="5729E76F" w14:textId="77777777" w:rsidR="00FA46A0" w:rsidRPr="0078395B" w:rsidRDefault="009747C5" w:rsidP="00F020AB">
            <w:pPr>
              <w:pStyle w:val="Tabletext"/>
              <w:jc w:val="center"/>
            </w:pPr>
            <w:r w:rsidRPr="0078395B">
              <w:rPr>
                <w:noProof/>
                <w:lang w:val="en-US" w:eastAsia="zh-CN"/>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DA07B77" w14:textId="77777777" w:rsidR="00FA46A0" w:rsidRPr="0078395B" w:rsidRDefault="00B61012" w:rsidP="00F020AB">
            <w:pPr>
              <w:spacing w:before="0"/>
              <w:rPr>
                <w:rFonts w:cs="Times New Roman Bold"/>
                <w:b/>
                <w:bCs/>
                <w:smallCaps/>
                <w:sz w:val="26"/>
                <w:szCs w:val="26"/>
              </w:rPr>
            </w:pPr>
            <w:r w:rsidRPr="0078395B">
              <w:rPr>
                <w:rFonts w:cs="Times New Roman Bold"/>
                <w:b/>
                <w:bCs/>
                <w:smallCaps/>
                <w:sz w:val="36"/>
                <w:szCs w:val="36"/>
              </w:rPr>
              <w:t>International telecommunication union</w:t>
            </w:r>
          </w:p>
          <w:p w14:paraId="10AD84E3" w14:textId="77777777" w:rsidR="00FA46A0" w:rsidRPr="0078395B" w:rsidRDefault="00B61012" w:rsidP="00F020AB">
            <w:pPr>
              <w:spacing w:before="0"/>
              <w:rPr>
                <w:rFonts w:ascii="Verdana" w:hAnsi="Verdana"/>
                <w:color w:val="FFFFFF"/>
                <w:sz w:val="26"/>
                <w:szCs w:val="26"/>
              </w:rPr>
            </w:pPr>
            <w:r w:rsidRPr="0078395B">
              <w:rPr>
                <w:rFonts w:cs="Times New Roman Bold"/>
                <w:b/>
                <w:bCs/>
                <w:iCs/>
                <w:smallCaps/>
                <w:sz w:val="28"/>
                <w:szCs w:val="28"/>
              </w:rPr>
              <w:t>Telecommunication Standardization Bureau</w:t>
            </w:r>
          </w:p>
        </w:tc>
        <w:tc>
          <w:tcPr>
            <w:tcW w:w="2126" w:type="dxa"/>
            <w:shd w:val="clear" w:color="auto" w:fill="auto"/>
            <w:vAlign w:val="center"/>
          </w:tcPr>
          <w:p w14:paraId="6BCFA74B" w14:textId="77777777" w:rsidR="00FA46A0" w:rsidRPr="0078395B" w:rsidRDefault="00FA46A0" w:rsidP="00F020AB">
            <w:pPr>
              <w:spacing w:before="0"/>
              <w:jc w:val="right"/>
              <w:rPr>
                <w:rFonts w:ascii="Verdana" w:hAnsi="Verdana"/>
                <w:color w:val="FFFFFF"/>
                <w:sz w:val="26"/>
                <w:szCs w:val="26"/>
              </w:rPr>
            </w:pPr>
          </w:p>
        </w:tc>
      </w:tr>
      <w:tr w:rsidR="00FA46A0" w:rsidRPr="0078395B" w14:paraId="26B97C93" w14:textId="77777777" w:rsidTr="00634658">
        <w:trPr>
          <w:cantSplit/>
          <w:trHeight w:val="635"/>
        </w:trPr>
        <w:tc>
          <w:tcPr>
            <w:tcW w:w="4678" w:type="dxa"/>
            <w:gridSpan w:val="3"/>
            <w:vAlign w:val="center"/>
          </w:tcPr>
          <w:p w14:paraId="1694D4E1" w14:textId="77777777" w:rsidR="00FA46A0" w:rsidRPr="00A43097" w:rsidRDefault="00FA46A0" w:rsidP="00F020AB">
            <w:pPr>
              <w:pStyle w:val="Tabletext"/>
              <w:jc w:val="right"/>
              <w:rPr>
                <w:sz w:val="22"/>
                <w:szCs w:val="22"/>
              </w:rPr>
            </w:pPr>
          </w:p>
        </w:tc>
        <w:tc>
          <w:tcPr>
            <w:tcW w:w="5245" w:type="dxa"/>
            <w:gridSpan w:val="2"/>
            <w:vAlign w:val="center"/>
          </w:tcPr>
          <w:p w14:paraId="66B772BC" w14:textId="2B17371C" w:rsidR="00FA46A0" w:rsidRPr="00A43097" w:rsidRDefault="00B61012" w:rsidP="00776EDA">
            <w:pPr>
              <w:pStyle w:val="Tabletext"/>
              <w:spacing w:before="0" w:after="120"/>
              <w:ind w:left="-108"/>
              <w:rPr>
                <w:sz w:val="22"/>
                <w:szCs w:val="22"/>
              </w:rPr>
            </w:pPr>
            <w:r w:rsidRPr="00A43097">
              <w:rPr>
                <w:sz w:val="22"/>
                <w:szCs w:val="22"/>
              </w:rPr>
              <w:t xml:space="preserve">Geneva, </w:t>
            </w:r>
            <w:r w:rsidR="00A43097" w:rsidRPr="00A43097">
              <w:rPr>
                <w:sz w:val="22"/>
                <w:szCs w:val="22"/>
              </w:rPr>
              <w:t>03 May</w:t>
            </w:r>
            <w:r w:rsidR="0078395B" w:rsidRPr="00A43097">
              <w:rPr>
                <w:sz w:val="22"/>
                <w:szCs w:val="22"/>
              </w:rPr>
              <w:t xml:space="preserve"> 2023</w:t>
            </w:r>
          </w:p>
        </w:tc>
      </w:tr>
      <w:tr w:rsidR="00F46912" w:rsidRPr="0078395B" w14:paraId="51F4638F" w14:textId="77777777" w:rsidTr="00634658">
        <w:trPr>
          <w:cantSplit/>
          <w:trHeight w:val="283"/>
        </w:trPr>
        <w:tc>
          <w:tcPr>
            <w:tcW w:w="1134" w:type="dxa"/>
          </w:tcPr>
          <w:p w14:paraId="34ECEAEB" w14:textId="77777777" w:rsidR="00F46912" w:rsidRPr="00A43097" w:rsidRDefault="00F46912" w:rsidP="00F020AB">
            <w:pPr>
              <w:pStyle w:val="Tabletext"/>
              <w:ind w:left="-110"/>
              <w:rPr>
                <w:sz w:val="22"/>
                <w:szCs w:val="22"/>
              </w:rPr>
            </w:pPr>
            <w:r w:rsidRPr="00A43097">
              <w:rPr>
                <w:b/>
                <w:sz w:val="22"/>
                <w:szCs w:val="22"/>
              </w:rPr>
              <w:t>Ref:</w:t>
            </w:r>
          </w:p>
        </w:tc>
        <w:tc>
          <w:tcPr>
            <w:tcW w:w="3544" w:type="dxa"/>
            <w:gridSpan w:val="2"/>
          </w:tcPr>
          <w:p w14:paraId="5A0E45A2" w14:textId="28AE1898" w:rsidR="00F46912" w:rsidRPr="00A43097" w:rsidRDefault="00F46912" w:rsidP="00F020AB">
            <w:pPr>
              <w:pStyle w:val="Tabletext"/>
              <w:rPr>
                <w:b/>
                <w:bCs/>
                <w:sz w:val="22"/>
                <w:szCs w:val="22"/>
              </w:rPr>
            </w:pPr>
            <w:r w:rsidRPr="00A43097">
              <w:rPr>
                <w:b/>
                <w:bCs/>
                <w:sz w:val="22"/>
                <w:szCs w:val="22"/>
              </w:rPr>
              <w:t xml:space="preserve">TSB Circular </w:t>
            </w:r>
            <w:r w:rsidR="00A43097" w:rsidRPr="00A43097">
              <w:rPr>
                <w:b/>
                <w:bCs/>
                <w:sz w:val="22"/>
                <w:szCs w:val="22"/>
              </w:rPr>
              <w:t>96</w:t>
            </w:r>
          </w:p>
          <w:p w14:paraId="7FFD1933" w14:textId="5D8C8165" w:rsidR="00F46912" w:rsidRPr="00A43097" w:rsidRDefault="00F46912" w:rsidP="00F020AB">
            <w:pPr>
              <w:pStyle w:val="Tabletext"/>
              <w:rPr>
                <w:b/>
                <w:bCs/>
                <w:sz w:val="22"/>
                <w:szCs w:val="22"/>
              </w:rPr>
            </w:pPr>
            <w:r w:rsidRPr="00A43097">
              <w:rPr>
                <w:b/>
                <w:bCs/>
                <w:sz w:val="22"/>
                <w:szCs w:val="22"/>
              </w:rPr>
              <w:t>SG20/CB</w:t>
            </w:r>
          </w:p>
        </w:tc>
        <w:tc>
          <w:tcPr>
            <w:tcW w:w="5245" w:type="dxa"/>
            <w:gridSpan w:val="2"/>
            <w:vMerge w:val="restart"/>
          </w:tcPr>
          <w:p w14:paraId="2BBCC5F2" w14:textId="77777777" w:rsidR="00F46912" w:rsidRPr="00A43097" w:rsidRDefault="00F46912" w:rsidP="00F020AB">
            <w:pPr>
              <w:tabs>
                <w:tab w:val="clear" w:pos="794"/>
                <w:tab w:val="clear" w:pos="1191"/>
                <w:tab w:val="clear" w:pos="1588"/>
                <w:tab w:val="clear" w:pos="1985"/>
                <w:tab w:val="left" w:pos="241"/>
              </w:tabs>
              <w:spacing w:before="0"/>
              <w:ind w:left="283" w:hanging="391"/>
              <w:rPr>
                <w:sz w:val="22"/>
                <w:szCs w:val="22"/>
              </w:rPr>
            </w:pPr>
            <w:r w:rsidRPr="00A43097">
              <w:rPr>
                <w:b/>
                <w:sz w:val="22"/>
                <w:szCs w:val="22"/>
              </w:rPr>
              <w:t>To:</w:t>
            </w:r>
          </w:p>
          <w:p w14:paraId="72819B9D" w14:textId="60140300" w:rsidR="00F46912" w:rsidRPr="00A43097" w:rsidRDefault="00F46912" w:rsidP="00634658">
            <w:pPr>
              <w:tabs>
                <w:tab w:val="clear" w:pos="794"/>
                <w:tab w:val="clear" w:pos="1191"/>
                <w:tab w:val="clear" w:pos="1588"/>
                <w:tab w:val="clear" w:pos="1985"/>
              </w:tabs>
              <w:spacing w:before="0"/>
              <w:ind w:left="318" w:hanging="318"/>
              <w:rPr>
                <w:sz w:val="22"/>
                <w:szCs w:val="22"/>
              </w:rPr>
            </w:pPr>
            <w:r w:rsidRPr="00A43097">
              <w:rPr>
                <w:sz w:val="22"/>
                <w:szCs w:val="22"/>
              </w:rPr>
              <w:t>-</w:t>
            </w:r>
            <w:r w:rsidRPr="00A43097">
              <w:rPr>
                <w:sz w:val="22"/>
                <w:szCs w:val="22"/>
              </w:rPr>
              <w:tab/>
              <w:t xml:space="preserve">Administrations of Member States of the </w:t>
            </w:r>
            <w:proofErr w:type="gramStart"/>
            <w:r w:rsidRPr="00A43097">
              <w:rPr>
                <w:sz w:val="22"/>
                <w:szCs w:val="22"/>
              </w:rPr>
              <w:t>Union;</w:t>
            </w:r>
            <w:proofErr w:type="gramEnd"/>
          </w:p>
          <w:p w14:paraId="3C9B7DAA" w14:textId="77777777" w:rsidR="00776EDA" w:rsidRPr="00A43097" w:rsidRDefault="00776EDA" w:rsidP="00634658">
            <w:pPr>
              <w:pStyle w:val="Tabletext"/>
              <w:spacing w:before="0" w:after="0"/>
              <w:ind w:left="283" w:hanging="391"/>
              <w:rPr>
                <w:sz w:val="22"/>
                <w:szCs w:val="22"/>
              </w:rPr>
            </w:pPr>
            <w:r w:rsidRPr="00A43097">
              <w:rPr>
                <w:b/>
                <w:sz w:val="22"/>
                <w:szCs w:val="22"/>
              </w:rPr>
              <w:t>Copy to:</w:t>
            </w:r>
          </w:p>
          <w:p w14:paraId="3430C404" w14:textId="77777777" w:rsidR="00776EDA" w:rsidRPr="00A43097" w:rsidRDefault="00776EDA" w:rsidP="00634658">
            <w:pPr>
              <w:pStyle w:val="Tabletext"/>
              <w:spacing w:before="0" w:after="0"/>
              <w:ind w:left="283" w:hanging="283"/>
              <w:rPr>
                <w:sz w:val="22"/>
                <w:szCs w:val="22"/>
              </w:rPr>
            </w:pPr>
            <w:r w:rsidRPr="00A43097">
              <w:rPr>
                <w:sz w:val="22"/>
                <w:szCs w:val="22"/>
              </w:rPr>
              <w:t>-</w:t>
            </w:r>
            <w:r w:rsidRPr="00A43097">
              <w:rPr>
                <w:sz w:val="22"/>
                <w:szCs w:val="22"/>
              </w:rPr>
              <w:tab/>
              <w:t>ITU-T Sector Members;</w:t>
            </w:r>
          </w:p>
          <w:p w14:paraId="4DDC9E73" w14:textId="77777777" w:rsidR="00776EDA" w:rsidRPr="00A43097" w:rsidRDefault="00776EDA" w:rsidP="00634658">
            <w:pPr>
              <w:pStyle w:val="Tabletext"/>
              <w:spacing w:before="0" w:after="0"/>
              <w:ind w:left="283" w:hanging="283"/>
              <w:rPr>
                <w:sz w:val="22"/>
                <w:szCs w:val="22"/>
              </w:rPr>
            </w:pPr>
            <w:r w:rsidRPr="00A43097">
              <w:rPr>
                <w:sz w:val="22"/>
                <w:szCs w:val="22"/>
              </w:rPr>
              <w:t>-</w:t>
            </w:r>
            <w:r w:rsidRPr="00A43097">
              <w:rPr>
                <w:sz w:val="22"/>
                <w:szCs w:val="22"/>
              </w:rPr>
              <w:tab/>
              <w:t xml:space="preserve">Associates of ITU-T Study Group 20; </w:t>
            </w:r>
          </w:p>
          <w:p w14:paraId="23B7892E" w14:textId="77777777" w:rsidR="00776EDA" w:rsidRPr="00A43097" w:rsidRDefault="00776EDA" w:rsidP="00634658">
            <w:pPr>
              <w:pStyle w:val="Tabletext"/>
              <w:spacing w:before="0" w:after="0"/>
              <w:ind w:left="283" w:hanging="283"/>
              <w:rPr>
                <w:sz w:val="22"/>
                <w:szCs w:val="22"/>
              </w:rPr>
            </w:pPr>
            <w:r w:rsidRPr="00A43097">
              <w:rPr>
                <w:sz w:val="22"/>
                <w:szCs w:val="22"/>
              </w:rPr>
              <w:t>-</w:t>
            </w:r>
            <w:r w:rsidRPr="00A43097">
              <w:rPr>
                <w:sz w:val="22"/>
                <w:szCs w:val="22"/>
              </w:rPr>
              <w:tab/>
              <w:t>ITU Academia;</w:t>
            </w:r>
          </w:p>
          <w:p w14:paraId="531676A9" w14:textId="77777777" w:rsidR="00776EDA" w:rsidRPr="00A43097" w:rsidRDefault="00776EDA" w:rsidP="00634658">
            <w:pPr>
              <w:pStyle w:val="Tabletext"/>
              <w:spacing w:before="0" w:after="0"/>
              <w:ind w:left="283" w:hanging="283"/>
              <w:rPr>
                <w:sz w:val="22"/>
                <w:szCs w:val="22"/>
              </w:rPr>
            </w:pPr>
            <w:r w:rsidRPr="00A43097">
              <w:rPr>
                <w:sz w:val="22"/>
                <w:szCs w:val="22"/>
              </w:rPr>
              <w:t>-</w:t>
            </w:r>
            <w:r w:rsidRPr="00A43097">
              <w:rPr>
                <w:sz w:val="22"/>
                <w:szCs w:val="22"/>
              </w:rPr>
              <w:tab/>
              <w:t>The Chairman and Vice-Chairmen of ITU-T Study Group 20;</w:t>
            </w:r>
          </w:p>
          <w:p w14:paraId="25EC91F1" w14:textId="77777777" w:rsidR="00634658" w:rsidRDefault="00776EDA" w:rsidP="00634658">
            <w:pPr>
              <w:pStyle w:val="Tabletext"/>
              <w:spacing w:before="0" w:after="0"/>
              <w:ind w:left="283" w:hanging="283"/>
              <w:rPr>
                <w:sz w:val="22"/>
                <w:szCs w:val="22"/>
              </w:rPr>
            </w:pPr>
            <w:r w:rsidRPr="00A43097">
              <w:rPr>
                <w:sz w:val="22"/>
                <w:szCs w:val="22"/>
              </w:rPr>
              <w:t>-</w:t>
            </w:r>
            <w:r w:rsidRPr="00A43097">
              <w:rPr>
                <w:sz w:val="22"/>
                <w:szCs w:val="22"/>
              </w:rPr>
              <w:tab/>
              <w:t xml:space="preserve">The Director of the Telecommunication Development </w:t>
            </w:r>
            <w:proofErr w:type="gramStart"/>
            <w:r w:rsidRPr="00A43097">
              <w:rPr>
                <w:sz w:val="22"/>
                <w:szCs w:val="22"/>
              </w:rPr>
              <w:t>Bureau;</w:t>
            </w:r>
            <w:proofErr w:type="gramEnd"/>
          </w:p>
          <w:p w14:paraId="2003EEFF" w14:textId="7FA7A104" w:rsidR="00F46912" w:rsidRPr="00A43097" w:rsidRDefault="00634658" w:rsidP="00634658">
            <w:pPr>
              <w:pStyle w:val="Tabletext"/>
              <w:spacing w:before="0" w:after="0"/>
              <w:ind w:left="283" w:hanging="283"/>
              <w:rPr>
                <w:sz w:val="22"/>
                <w:szCs w:val="22"/>
              </w:rPr>
            </w:pPr>
            <w:r>
              <w:rPr>
                <w:sz w:val="22"/>
                <w:szCs w:val="22"/>
              </w:rPr>
              <w:t>-</w:t>
            </w:r>
            <w:r w:rsidR="00776EDA" w:rsidRPr="00A43097">
              <w:rPr>
                <w:sz w:val="22"/>
                <w:szCs w:val="22"/>
              </w:rPr>
              <w:tab/>
              <w:t>The Director of the Radiocommunication Bureau</w:t>
            </w:r>
          </w:p>
        </w:tc>
      </w:tr>
      <w:tr w:rsidR="00F46912" w:rsidRPr="0078395B" w14:paraId="56892459" w14:textId="77777777" w:rsidTr="00634658">
        <w:trPr>
          <w:cantSplit/>
          <w:trHeight w:val="221"/>
        </w:trPr>
        <w:tc>
          <w:tcPr>
            <w:tcW w:w="1134" w:type="dxa"/>
          </w:tcPr>
          <w:p w14:paraId="279C4443" w14:textId="77777777" w:rsidR="00F46912" w:rsidRPr="0078395B" w:rsidRDefault="00F46912" w:rsidP="00F020AB">
            <w:pPr>
              <w:pStyle w:val="Tabletext"/>
              <w:ind w:left="-110"/>
              <w:rPr>
                <w:sz w:val="22"/>
                <w:szCs w:val="22"/>
              </w:rPr>
            </w:pPr>
            <w:r w:rsidRPr="0078395B">
              <w:rPr>
                <w:b/>
                <w:sz w:val="22"/>
                <w:szCs w:val="22"/>
              </w:rPr>
              <w:t>Tel:</w:t>
            </w:r>
          </w:p>
        </w:tc>
        <w:tc>
          <w:tcPr>
            <w:tcW w:w="3544" w:type="dxa"/>
            <w:gridSpan w:val="2"/>
          </w:tcPr>
          <w:p w14:paraId="30F3739D" w14:textId="2D2C48BE" w:rsidR="00F46912" w:rsidRPr="0078395B" w:rsidRDefault="00F46912" w:rsidP="00F020AB">
            <w:pPr>
              <w:pStyle w:val="Tabletext"/>
              <w:rPr>
                <w:b/>
                <w:sz w:val="22"/>
                <w:szCs w:val="22"/>
              </w:rPr>
            </w:pPr>
            <w:r w:rsidRPr="0078395B">
              <w:rPr>
                <w:sz w:val="22"/>
                <w:szCs w:val="22"/>
              </w:rPr>
              <w:t>+41 22 730 6301</w:t>
            </w:r>
          </w:p>
        </w:tc>
        <w:tc>
          <w:tcPr>
            <w:tcW w:w="5245" w:type="dxa"/>
            <w:gridSpan w:val="2"/>
            <w:vMerge/>
          </w:tcPr>
          <w:p w14:paraId="06A72D7F" w14:textId="77777777" w:rsidR="00F46912" w:rsidRPr="0078395B" w:rsidRDefault="00F46912" w:rsidP="00F020AB">
            <w:pPr>
              <w:pStyle w:val="Tabletext"/>
              <w:ind w:left="142" w:hanging="391"/>
              <w:rPr>
                <w:sz w:val="22"/>
                <w:szCs w:val="22"/>
                <w:highlight w:val="yellow"/>
              </w:rPr>
            </w:pPr>
          </w:p>
        </w:tc>
      </w:tr>
      <w:tr w:rsidR="00F46912" w:rsidRPr="0078395B" w14:paraId="7799F95C" w14:textId="77777777" w:rsidTr="00634658">
        <w:trPr>
          <w:cantSplit/>
          <w:trHeight w:val="2244"/>
        </w:trPr>
        <w:tc>
          <w:tcPr>
            <w:tcW w:w="1134" w:type="dxa"/>
          </w:tcPr>
          <w:p w14:paraId="726EA0EE" w14:textId="77777777" w:rsidR="00F46912" w:rsidRPr="0078395B" w:rsidRDefault="00F46912" w:rsidP="00F020AB">
            <w:pPr>
              <w:pStyle w:val="Tabletext"/>
              <w:ind w:left="-110"/>
              <w:rPr>
                <w:b/>
                <w:sz w:val="22"/>
                <w:szCs w:val="22"/>
              </w:rPr>
            </w:pPr>
            <w:r w:rsidRPr="0078395B">
              <w:rPr>
                <w:b/>
                <w:sz w:val="22"/>
                <w:szCs w:val="22"/>
              </w:rPr>
              <w:t>Fax:</w:t>
            </w:r>
          </w:p>
          <w:p w14:paraId="6644418C" w14:textId="1920CE1D" w:rsidR="00776EDA" w:rsidRPr="0078395B" w:rsidRDefault="00776EDA" w:rsidP="00F020AB">
            <w:pPr>
              <w:pStyle w:val="Tabletext"/>
              <w:ind w:left="-110"/>
              <w:rPr>
                <w:sz w:val="22"/>
                <w:szCs w:val="22"/>
              </w:rPr>
            </w:pPr>
            <w:r w:rsidRPr="0078395B">
              <w:rPr>
                <w:b/>
                <w:sz w:val="22"/>
                <w:szCs w:val="22"/>
              </w:rPr>
              <w:t>E-mail:</w:t>
            </w:r>
          </w:p>
        </w:tc>
        <w:tc>
          <w:tcPr>
            <w:tcW w:w="3544" w:type="dxa"/>
            <w:gridSpan w:val="2"/>
          </w:tcPr>
          <w:p w14:paraId="2819499B" w14:textId="77777777" w:rsidR="00F46912" w:rsidRPr="0078395B" w:rsidRDefault="00F46912" w:rsidP="00F020AB">
            <w:pPr>
              <w:pStyle w:val="Tabletext"/>
              <w:rPr>
                <w:sz w:val="22"/>
                <w:szCs w:val="22"/>
              </w:rPr>
            </w:pPr>
            <w:r w:rsidRPr="0078395B">
              <w:rPr>
                <w:sz w:val="22"/>
                <w:szCs w:val="22"/>
              </w:rPr>
              <w:t>+41 22 730 5853</w:t>
            </w:r>
          </w:p>
          <w:p w14:paraId="6393822E" w14:textId="6D297C99" w:rsidR="00776EDA" w:rsidRPr="0078395B" w:rsidRDefault="00C01F40" w:rsidP="00F020AB">
            <w:pPr>
              <w:pStyle w:val="Tabletext"/>
              <w:rPr>
                <w:b/>
                <w:sz w:val="22"/>
                <w:szCs w:val="22"/>
              </w:rPr>
            </w:pPr>
            <w:hyperlink r:id="rId9" w:history="1">
              <w:r w:rsidR="00776EDA" w:rsidRPr="0078395B">
                <w:rPr>
                  <w:rStyle w:val="Hyperlink"/>
                  <w:sz w:val="22"/>
                  <w:szCs w:val="22"/>
                </w:rPr>
                <w:t>tsbsg20@itu.int</w:t>
              </w:r>
            </w:hyperlink>
          </w:p>
        </w:tc>
        <w:tc>
          <w:tcPr>
            <w:tcW w:w="5245" w:type="dxa"/>
            <w:gridSpan w:val="2"/>
            <w:vMerge/>
          </w:tcPr>
          <w:p w14:paraId="2CF61540" w14:textId="77777777" w:rsidR="00F46912" w:rsidRPr="0078395B" w:rsidRDefault="00F46912" w:rsidP="00F020AB">
            <w:pPr>
              <w:pStyle w:val="Tabletext"/>
              <w:ind w:left="142" w:hanging="391"/>
              <w:rPr>
                <w:sz w:val="22"/>
                <w:szCs w:val="22"/>
                <w:highlight w:val="yellow"/>
              </w:rPr>
            </w:pPr>
          </w:p>
        </w:tc>
      </w:tr>
      <w:tr w:rsidR="00FA46A0" w:rsidRPr="0078395B" w14:paraId="5077CF3E" w14:textId="77777777" w:rsidTr="00634658">
        <w:trPr>
          <w:cantSplit/>
          <w:trHeight w:val="1129"/>
        </w:trPr>
        <w:tc>
          <w:tcPr>
            <w:tcW w:w="1134" w:type="dxa"/>
          </w:tcPr>
          <w:p w14:paraId="5072539B" w14:textId="77777777" w:rsidR="00FA46A0" w:rsidRPr="003F6436" w:rsidRDefault="00B61012" w:rsidP="00F020AB">
            <w:pPr>
              <w:pStyle w:val="Tabletext"/>
              <w:ind w:left="-110"/>
              <w:rPr>
                <w:rFonts w:cs="Calibri"/>
                <w:sz w:val="22"/>
                <w:szCs w:val="22"/>
              </w:rPr>
            </w:pPr>
            <w:r w:rsidRPr="003F6436">
              <w:rPr>
                <w:rFonts w:cs="Calibri"/>
                <w:b/>
                <w:sz w:val="22"/>
                <w:szCs w:val="22"/>
              </w:rPr>
              <w:t>Subject:</w:t>
            </w:r>
          </w:p>
        </w:tc>
        <w:tc>
          <w:tcPr>
            <w:tcW w:w="8789" w:type="dxa"/>
            <w:gridSpan w:val="4"/>
          </w:tcPr>
          <w:p w14:paraId="7684B08E" w14:textId="77777777" w:rsidR="00B60460" w:rsidRPr="003F6436" w:rsidRDefault="00B60460" w:rsidP="00B60460">
            <w:pPr>
              <w:pStyle w:val="Tabletext"/>
              <w:spacing w:before="0" w:after="0"/>
              <w:rPr>
                <w:rFonts w:cs="Calibri"/>
                <w:b/>
                <w:sz w:val="22"/>
                <w:szCs w:val="22"/>
              </w:rPr>
            </w:pPr>
            <w:r w:rsidRPr="003F6436">
              <w:rPr>
                <w:rFonts w:cs="Calibri"/>
                <w:b/>
                <w:sz w:val="22"/>
                <w:szCs w:val="22"/>
              </w:rPr>
              <w:t xml:space="preserve">Member State consultation on Determined draft new Recommendations </w:t>
            </w:r>
          </w:p>
          <w:p w14:paraId="4CFE3D05" w14:textId="275474EB" w:rsidR="00FA46A0" w:rsidRPr="003F6436" w:rsidRDefault="00B60460" w:rsidP="00B60460">
            <w:pPr>
              <w:pStyle w:val="Tabletext"/>
              <w:spacing w:before="0" w:after="0"/>
              <w:rPr>
                <w:rFonts w:cs="Calibri"/>
                <w:b/>
                <w:bCs/>
                <w:sz w:val="22"/>
                <w:szCs w:val="22"/>
              </w:rPr>
            </w:pPr>
            <w:r w:rsidRPr="003F6436">
              <w:rPr>
                <w:rFonts w:cs="Calibri"/>
                <w:b/>
                <w:sz w:val="22"/>
                <w:szCs w:val="22"/>
              </w:rPr>
              <w:t xml:space="preserve">ITU-T </w:t>
            </w:r>
            <w:bookmarkStart w:id="0" w:name="_Hlk46831557"/>
            <w:r w:rsidR="00820981" w:rsidRPr="003F6436">
              <w:rPr>
                <w:rFonts w:cs="Calibri"/>
                <w:b/>
                <w:sz w:val="22"/>
                <w:szCs w:val="22"/>
              </w:rPr>
              <w:t xml:space="preserve">Y.4221 (ex </w:t>
            </w:r>
            <w:proofErr w:type="spellStart"/>
            <w:r w:rsidR="00820981" w:rsidRPr="003F6436">
              <w:rPr>
                <w:rFonts w:cs="Calibri"/>
                <w:b/>
                <w:sz w:val="22"/>
                <w:szCs w:val="22"/>
              </w:rPr>
              <w:t>Y.ElecMon-Reqts</w:t>
            </w:r>
            <w:proofErr w:type="spellEnd"/>
            <w:r w:rsidR="00820981" w:rsidRPr="003F6436">
              <w:rPr>
                <w:rFonts w:cs="Calibri"/>
                <w:b/>
                <w:sz w:val="22"/>
                <w:szCs w:val="22"/>
              </w:rPr>
              <w:t>)</w:t>
            </w:r>
            <w:r w:rsidR="003F6436" w:rsidRPr="003F6436">
              <w:rPr>
                <w:rFonts w:cs="Calibri"/>
                <w:b/>
                <w:sz w:val="22"/>
                <w:szCs w:val="22"/>
              </w:rPr>
              <w:t xml:space="preserve">, Y.4222 (ex </w:t>
            </w:r>
            <w:proofErr w:type="spellStart"/>
            <w:r w:rsidR="003F6436" w:rsidRPr="003F6436">
              <w:rPr>
                <w:rFonts w:cs="Calibri"/>
                <w:b/>
                <w:sz w:val="22"/>
                <w:szCs w:val="22"/>
              </w:rPr>
              <w:t>Y.smart</w:t>
            </w:r>
            <w:proofErr w:type="spellEnd"/>
            <w:r w:rsidR="003F6436" w:rsidRPr="003F6436">
              <w:rPr>
                <w:rFonts w:cs="Calibri"/>
                <w:b/>
                <w:sz w:val="22"/>
                <w:szCs w:val="22"/>
              </w:rPr>
              <w:t>-evacuation), Y.4223 (ex Y.SCC-</w:t>
            </w:r>
            <w:proofErr w:type="spellStart"/>
            <w:r w:rsidR="003F6436" w:rsidRPr="003F6436">
              <w:rPr>
                <w:rFonts w:cs="Calibri"/>
                <w:b/>
                <w:sz w:val="22"/>
                <w:szCs w:val="22"/>
              </w:rPr>
              <w:t>Reqts</w:t>
            </w:r>
            <w:proofErr w:type="spellEnd"/>
            <w:r w:rsidR="003F6436" w:rsidRPr="003F6436">
              <w:rPr>
                <w:rFonts w:cs="Calibri"/>
                <w:b/>
                <w:sz w:val="22"/>
                <w:szCs w:val="22"/>
              </w:rPr>
              <w:t xml:space="preserve">), Y.4487 (ex Y.RMDFS-arch), Y.4488 (ex </w:t>
            </w:r>
            <w:proofErr w:type="spellStart"/>
            <w:r w:rsidR="003F6436" w:rsidRPr="003F6436">
              <w:rPr>
                <w:rFonts w:cs="Calibri"/>
                <w:b/>
                <w:sz w:val="22"/>
                <w:szCs w:val="22"/>
              </w:rPr>
              <w:t>Y.IoT</w:t>
            </w:r>
            <w:proofErr w:type="spellEnd"/>
            <w:r w:rsidR="003F6436" w:rsidRPr="003F6436">
              <w:rPr>
                <w:rFonts w:cs="Calibri"/>
                <w:b/>
                <w:sz w:val="22"/>
                <w:szCs w:val="22"/>
              </w:rPr>
              <w:t xml:space="preserve">-SPWE) </w:t>
            </w:r>
            <w:r w:rsidRPr="003F6436">
              <w:rPr>
                <w:rFonts w:cs="Calibri"/>
                <w:b/>
                <w:sz w:val="22"/>
                <w:szCs w:val="22"/>
              </w:rPr>
              <w:t xml:space="preserve">and </w:t>
            </w:r>
            <w:bookmarkEnd w:id="0"/>
            <w:r w:rsidR="003F6436" w:rsidRPr="003F6436">
              <w:rPr>
                <w:rFonts w:cs="Calibri"/>
                <w:b/>
                <w:sz w:val="22"/>
                <w:szCs w:val="22"/>
              </w:rPr>
              <w:t xml:space="preserve">Y.4604 (ex </w:t>
            </w:r>
            <w:proofErr w:type="spellStart"/>
            <w:r w:rsidR="003F6436" w:rsidRPr="003F6436">
              <w:rPr>
                <w:rFonts w:cs="Calibri"/>
                <w:b/>
                <w:sz w:val="22"/>
                <w:szCs w:val="22"/>
              </w:rPr>
              <w:t>Y.IoT</w:t>
            </w:r>
            <w:proofErr w:type="spellEnd"/>
            <w:r w:rsidR="003F6436" w:rsidRPr="003F6436">
              <w:rPr>
                <w:rFonts w:cs="Calibri"/>
                <w:b/>
                <w:sz w:val="22"/>
                <w:szCs w:val="22"/>
              </w:rPr>
              <w:t xml:space="preserve">-MCSI) </w:t>
            </w:r>
            <w:r w:rsidRPr="003F6436">
              <w:rPr>
                <w:rFonts w:cs="Calibri"/>
                <w:b/>
                <w:sz w:val="22"/>
                <w:szCs w:val="22"/>
              </w:rPr>
              <w:t>proposed for approval at the meeting of ITU-T Study Group 20 (</w:t>
            </w:r>
            <w:r w:rsidR="003F6436" w:rsidRPr="003F6436">
              <w:rPr>
                <w:rFonts w:cs="Calibri"/>
                <w:b/>
                <w:sz w:val="22"/>
                <w:szCs w:val="22"/>
              </w:rPr>
              <w:t>Arusha</w:t>
            </w:r>
            <w:r w:rsidRPr="003F6436">
              <w:rPr>
                <w:rFonts w:cs="Calibri"/>
                <w:b/>
                <w:sz w:val="22"/>
                <w:szCs w:val="22"/>
              </w:rPr>
              <w:t xml:space="preserve">, </w:t>
            </w:r>
            <w:r w:rsidR="003F6436" w:rsidRPr="003F6436">
              <w:rPr>
                <w:rFonts w:cs="Calibri"/>
                <w:b/>
                <w:sz w:val="22"/>
                <w:szCs w:val="22"/>
              </w:rPr>
              <w:t>13-22 September 2023</w:t>
            </w:r>
            <w:r w:rsidRPr="003F6436">
              <w:rPr>
                <w:rFonts w:cs="Calibri"/>
                <w:b/>
                <w:sz w:val="22"/>
                <w:szCs w:val="22"/>
              </w:rPr>
              <w:t>)</w:t>
            </w:r>
          </w:p>
        </w:tc>
      </w:tr>
    </w:tbl>
    <w:p w14:paraId="10B264CC" w14:textId="77777777" w:rsidR="00B60460" w:rsidRPr="00820981" w:rsidRDefault="00B60460" w:rsidP="00776EDA">
      <w:pPr>
        <w:spacing w:before="200"/>
        <w:rPr>
          <w:rFonts w:cs="Calibri"/>
          <w:sz w:val="22"/>
          <w:szCs w:val="22"/>
        </w:rPr>
      </w:pPr>
      <w:r w:rsidRPr="00820981">
        <w:rPr>
          <w:rFonts w:cs="Calibri"/>
          <w:sz w:val="22"/>
          <w:szCs w:val="22"/>
        </w:rPr>
        <w:t>Dear Sir/Madam,</w:t>
      </w:r>
    </w:p>
    <w:p w14:paraId="26D19A56" w14:textId="2B20BE67" w:rsidR="00B60460" w:rsidRPr="00820981" w:rsidRDefault="00B60460" w:rsidP="00B60460">
      <w:pPr>
        <w:rPr>
          <w:rFonts w:cs="Calibri"/>
          <w:sz w:val="22"/>
          <w:szCs w:val="22"/>
        </w:rPr>
      </w:pPr>
      <w:r w:rsidRPr="00820981">
        <w:rPr>
          <w:rFonts w:cs="Calibri"/>
          <w:sz w:val="22"/>
          <w:szCs w:val="22"/>
        </w:rPr>
        <w:t>1</w:t>
      </w:r>
      <w:r w:rsidRPr="00820981">
        <w:rPr>
          <w:rFonts w:cs="Calibri"/>
          <w:sz w:val="22"/>
          <w:szCs w:val="22"/>
        </w:rPr>
        <w:tab/>
        <w:t>ITU-T Study Group 20 (SG20: Internet of things (IoT) and smart cities and communities (SC&amp;C)) intends to apply the Traditional Approval Procedure as described in Section 9 of WTSA Resolution 1 (Rev.</w:t>
      </w:r>
      <w:r w:rsidR="00776EDA" w:rsidRPr="00820981">
        <w:rPr>
          <w:rFonts w:cs="Calibri"/>
          <w:sz w:val="22"/>
          <w:szCs w:val="22"/>
        </w:rPr>
        <w:t> </w:t>
      </w:r>
      <w:r w:rsidR="00D836C0" w:rsidRPr="00820981">
        <w:rPr>
          <w:rFonts w:cs="Calibri"/>
          <w:sz w:val="22"/>
          <w:szCs w:val="22"/>
        </w:rPr>
        <w:t>Geneva</w:t>
      </w:r>
      <w:r w:rsidRPr="00820981">
        <w:rPr>
          <w:rFonts w:cs="Calibri"/>
          <w:sz w:val="22"/>
          <w:szCs w:val="22"/>
        </w:rPr>
        <w:t>, 20</w:t>
      </w:r>
      <w:r w:rsidR="00D836C0" w:rsidRPr="00820981">
        <w:rPr>
          <w:rFonts w:cs="Calibri"/>
          <w:sz w:val="22"/>
          <w:szCs w:val="22"/>
        </w:rPr>
        <w:t>22</w:t>
      </w:r>
      <w:r w:rsidRPr="00820981">
        <w:rPr>
          <w:rFonts w:cs="Calibri"/>
          <w:sz w:val="22"/>
          <w:szCs w:val="22"/>
        </w:rPr>
        <w:t xml:space="preserve">) for the approval of the above-mentioned draft Recommendations at its next meeting </w:t>
      </w:r>
      <w:r w:rsidR="002722B2">
        <w:rPr>
          <w:rFonts w:cs="Calibri"/>
          <w:sz w:val="22"/>
          <w:szCs w:val="22"/>
        </w:rPr>
        <w:t xml:space="preserve">in Arusha, Tanzania, </w:t>
      </w:r>
      <w:r w:rsidR="00C40781" w:rsidRPr="00820981">
        <w:rPr>
          <w:rFonts w:cs="Calibri"/>
          <w:sz w:val="22"/>
          <w:szCs w:val="22"/>
        </w:rPr>
        <w:t>from</w:t>
      </w:r>
      <w:r w:rsidRPr="00820981">
        <w:rPr>
          <w:rFonts w:cs="Calibri"/>
          <w:sz w:val="22"/>
          <w:szCs w:val="22"/>
        </w:rPr>
        <w:t xml:space="preserve"> </w:t>
      </w:r>
      <w:r w:rsidR="00820981" w:rsidRPr="00820981">
        <w:rPr>
          <w:rFonts w:cs="Calibri"/>
          <w:sz w:val="22"/>
          <w:szCs w:val="22"/>
        </w:rPr>
        <w:t>13</w:t>
      </w:r>
      <w:r w:rsidR="002722B2">
        <w:rPr>
          <w:rFonts w:cs="Calibri"/>
          <w:sz w:val="22"/>
          <w:szCs w:val="22"/>
        </w:rPr>
        <w:t xml:space="preserve"> to </w:t>
      </w:r>
      <w:r w:rsidR="00820981" w:rsidRPr="00820981">
        <w:rPr>
          <w:rFonts w:cs="Calibri"/>
          <w:sz w:val="22"/>
          <w:szCs w:val="22"/>
        </w:rPr>
        <w:t>22 September 2023</w:t>
      </w:r>
      <w:r w:rsidRPr="00820981">
        <w:rPr>
          <w:rFonts w:cs="Calibri"/>
          <w:sz w:val="22"/>
          <w:szCs w:val="22"/>
        </w:rPr>
        <w:t>. The agenda and all relevant information concerning the ITU</w:t>
      </w:r>
      <w:r w:rsidR="00776EDA" w:rsidRPr="00820981">
        <w:rPr>
          <w:rFonts w:cs="Calibri"/>
          <w:sz w:val="22"/>
          <w:szCs w:val="22"/>
        </w:rPr>
        <w:noBreakHyphen/>
      </w:r>
      <w:r w:rsidRPr="00820981">
        <w:rPr>
          <w:rFonts w:cs="Calibri"/>
          <w:sz w:val="22"/>
          <w:szCs w:val="22"/>
        </w:rPr>
        <w:t>T</w:t>
      </w:r>
      <w:r w:rsidR="00776EDA" w:rsidRPr="00820981">
        <w:rPr>
          <w:rFonts w:cs="Calibri"/>
          <w:sz w:val="22"/>
          <w:szCs w:val="22"/>
        </w:rPr>
        <w:t> </w:t>
      </w:r>
      <w:r w:rsidRPr="00820981">
        <w:rPr>
          <w:rFonts w:cs="Calibri"/>
          <w:sz w:val="22"/>
          <w:szCs w:val="22"/>
        </w:rPr>
        <w:t xml:space="preserve">Study Group 20 meeting will be available in </w:t>
      </w:r>
      <w:hyperlink r:id="rId10" w:history="1">
        <w:r w:rsidRPr="00820981">
          <w:rPr>
            <w:rStyle w:val="Hyperlink"/>
            <w:rFonts w:cs="Calibri"/>
            <w:sz w:val="22"/>
            <w:szCs w:val="22"/>
          </w:rPr>
          <w:t xml:space="preserve">Collective letter </w:t>
        </w:r>
        <w:r w:rsidR="00820981" w:rsidRPr="00820981">
          <w:rPr>
            <w:rStyle w:val="Hyperlink"/>
            <w:rFonts w:cs="Calibri"/>
            <w:sz w:val="22"/>
            <w:szCs w:val="22"/>
          </w:rPr>
          <w:t>3</w:t>
        </w:r>
        <w:r w:rsidRPr="00820981">
          <w:rPr>
            <w:rStyle w:val="Hyperlink"/>
            <w:rFonts w:cs="Calibri"/>
            <w:sz w:val="22"/>
            <w:szCs w:val="22"/>
          </w:rPr>
          <w:t>/20</w:t>
        </w:r>
      </w:hyperlink>
      <w:r w:rsidRPr="00820981">
        <w:rPr>
          <w:rFonts w:cs="Calibri"/>
          <w:sz w:val="22"/>
          <w:szCs w:val="22"/>
        </w:rPr>
        <w:t>.</w:t>
      </w:r>
    </w:p>
    <w:p w14:paraId="521A9FDF" w14:textId="208F0E35" w:rsidR="00B60460" w:rsidRPr="005677BF" w:rsidRDefault="00B60460" w:rsidP="00B60460">
      <w:pPr>
        <w:rPr>
          <w:rFonts w:cs="Calibri"/>
          <w:sz w:val="22"/>
          <w:szCs w:val="22"/>
        </w:rPr>
      </w:pPr>
      <w:r w:rsidRPr="005677BF">
        <w:rPr>
          <w:rFonts w:cs="Calibri"/>
          <w:sz w:val="22"/>
          <w:szCs w:val="22"/>
        </w:rPr>
        <w:t>2</w:t>
      </w:r>
      <w:r w:rsidRPr="005677BF">
        <w:rPr>
          <w:rFonts w:cs="Calibri"/>
          <w:sz w:val="22"/>
          <w:szCs w:val="22"/>
        </w:rPr>
        <w:tab/>
        <w:t xml:space="preserve">The titles, summaries and locations of the draft new Recommendations </w:t>
      </w:r>
      <w:r w:rsidR="00820981" w:rsidRPr="005677BF">
        <w:rPr>
          <w:rFonts w:cs="Calibri"/>
          <w:sz w:val="22"/>
          <w:szCs w:val="22"/>
        </w:rPr>
        <w:t xml:space="preserve">ITU-T </w:t>
      </w:r>
      <w:r w:rsidR="005677BF" w:rsidRPr="005677BF">
        <w:rPr>
          <w:rFonts w:cs="Calibri"/>
          <w:sz w:val="22"/>
          <w:szCs w:val="22"/>
        </w:rPr>
        <w:t>Y.4221 (ex</w:t>
      </w:r>
      <w:r w:rsidR="00634658">
        <w:rPr>
          <w:rFonts w:cs="Calibri"/>
          <w:sz w:val="22"/>
          <w:szCs w:val="22"/>
        </w:rPr>
        <w:t> </w:t>
      </w:r>
      <w:proofErr w:type="spellStart"/>
      <w:proofErr w:type="gramStart"/>
      <w:r w:rsidR="005677BF" w:rsidRPr="005677BF">
        <w:rPr>
          <w:rFonts w:cs="Calibri"/>
          <w:sz w:val="22"/>
          <w:szCs w:val="22"/>
        </w:rPr>
        <w:t>Y.ElecMon</w:t>
      </w:r>
      <w:proofErr w:type="gramEnd"/>
      <w:r w:rsidR="005677BF" w:rsidRPr="005677BF">
        <w:rPr>
          <w:rFonts w:cs="Calibri"/>
          <w:sz w:val="22"/>
          <w:szCs w:val="22"/>
        </w:rPr>
        <w:t>-Reqts</w:t>
      </w:r>
      <w:proofErr w:type="spellEnd"/>
      <w:r w:rsidR="005677BF" w:rsidRPr="005677BF">
        <w:rPr>
          <w:rFonts w:cs="Calibri"/>
          <w:sz w:val="22"/>
          <w:szCs w:val="22"/>
        </w:rPr>
        <w:t xml:space="preserve">), Y.4222 (ex </w:t>
      </w:r>
      <w:proofErr w:type="spellStart"/>
      <w:r w:rsidR="005677BF" w:rsidRPr="005677BF">
        <w:rPr>
          <w:rFonts w:cs="Calibri"/>
          <w:sz w:val="22"/>
          <w:szCs w:val="22"/>
        </w:rPr>
        <w:t>Y.smart</w:t>
      </w:r>
      <w:proofErr w:type="spellEnd"/>
      <w:r w:rsidR="005677BF" w:rsidRPr="005677BF">
        <w:rPr>
          <w:rFonts w:cs="Calibri"/>
          <w:sz w:val="22"/>
          <w:szCs w:val="22"/>
        </w:rPr>
        <w:t>-evacuation), Y.4223 (ex Y.SCC-</w:t>
      </w:r>
      <w:proofErr w:type="spellStart"/>
      <w:r w:rsidR="005677BF" w:rsidRPr="005677BF">
        <w:rPr>
          <w:rFonts w:cs="Calibri"/>
          <w:sz w:val="22"/>
          <w:szCs w:val="22"/>
        </w:rPr>
        <w:t>Reqts</w:t>
      </w:r>
      <w:proofErr w:type="spellEnd"/>
      <w:r w:rsidR="005677BF" w:rsidRPr="005677BF">
        <w:rPr>
          <w:rFonts w:cs="Calibri"/>
          <w:sz w:val="22"/>
          <w:szCs w:val="22"/>
        </w:rPr>
        <w:t xml:space="preserve">), Y.4487 (ex Y.RMDFS-arch), Y.4488 (ex </w:t>
      </w:r>
      <w:proofErr w:type="spellStart"/>
      <w:r w:rsidR="005677BF" w:rsidRPr="005677BF">
        <w:rPr>
          <w:rFonts w:cs="Calibri"/>
          <w:sz w:val="22"/>
          <w:szCs w:val="22"/>
        </w:rPr>
        <w:t>Y.IoT</w:t>
      </w:r>
      <w:proofErr w:type="spellEnd"/>
      <w:r w:rsidR="005677BF" w:rsidRPr="005677BF">
        <w:rPr>
          <w:rFonts w:cs="Calibri"/>
          <w:sz w:val="22"/>
          <w:szCs w:val="22"/>
        </w:rPr>
        <w:t xml:space="preserve">-SPWE) and Y.4604 (ex </w:t>
      </w:r>
      <w:proofErr w:type="spellStart"/>
      <w:r w:rsidR="005677BF" w:rsidRPr="005677BF">
        <w:rPr>
          <w:rFonts w:cs="Calibri"/>
          <w:sz w:val="22"/>
          <w:szCs w:val="22"/>
        </w:rPr>
        <w:t>Y.IoT</w:t>
      </w:r>
      <w:proofErr w:type="spellEnd"/>
      <w:r w:rsidR="005677BF" w:rsidRPr="005677BF">
        <w:rPr>
          <w:rFonts w:cs="Calibri"/>
          <w:sz w:val="22"/>
          <w:szCs w:val="22"/>
        </w:rPr>
        <w:t>-MCSI)</w:t>
      </w:r>
      <w:r w:rsidRPr="005677BF">
        <w:rPr>
          <w:rFonts w:cs="Calibri"/>
          <w:sz w:val="22"/>
          <w:szCs w:val="22"/>
        </w:rPr>
        <w:t>, proposed for approval can be found in Annex 1.</w:t>
      </w:r>
    </w:p>
    <w:p w14:paraId="6274048D" w14:textId="0D701980" w:rsidR="00B60460" w:rsidRPr="00820981" w:rsidRDefault="00B60460" w:rsidP="00B60460">
      <w:pPr>
        <w:rPr>
          <w:rFonts w:cs="Calibri"/>
          <w:sz w:val="22"/>
          <w:szCs w:val="22"/>
        </w:rPr>
      </w:pPr>
      <w:r w:rsidRPr="00820981">
        <w:rPr>
          <w:rFonts w:cs="Calibri"/>
          <w:sz w:val="22"/>
          <w:szCs w:val="22"/>
        </w:rPr>
        <w:t>3</w:t>
      </w:r>
      <w:r w:rsidRPr="00820981">
        <w:rPr>
          <w:rFonts w:cs="Calibri"/>
          <w:sz w:val="22"/>
          <w:szCs w:val="22"/>
        </w:rPr>
        <w:tab/>
      </w:r>
      <w:proofErr w:type="gramStart"/>
      <w:r w:rsidRPr="00820981">
        <w:rPr>
          <w:rFonts w:cs="Calibri"/>
          <w:sz w:val="22"/>
          <w:szCs w:val="22"/>
        </w:rPr>
        <w:t>This Circular initiates</w:t>
      </w:r>
      <w:proofErr w:type="gramEnd"/>
      <w:r w:rsidRPr="00820981">
        <w:rPr>
          <w:rFonts w:cs="Calibri"/>
          <w:sz w:val="22"/>
          <w:szCs w:val="22"/>
        </w:rPr>
        <w:t xml:space="preserve"> the formal consultation with ITU Member States on whether these texts may be considered for approval at the upcoming meeting, in accordance with clause 9.4 of Resolution 1. Member</w:t>
      </w:r>
      <w:r w:rsidR="00776EDA" w:rsidRPr="00820981">
        <w:rPr>
          <w:rFonts w:cs="Calibri"/>
          <w:sz w:val="22"/>
          <w:szCs w:val="22"/>
        </w:rPr>
        <w:t> </w:t>
      </w:r>
      <w:r w:rsidRPr="00820981">
        <w:rPr>
          <w:rFonts w:cs="Calibri"/>
          <w:sz w:val="22"/>
          <w:szCs w:val="22"/>
        </w:rPr>
        <w:t xml:space="preserve">States are kindly requested to complete and return the form in Annex 2 by 2359 hours UTC on </w:t>
      </w:r>
      <w:r w:rsidR="00D836C0" w:rsidRPr="00820981">
        <w:rPr>
          <w:rFonts w:cs="Calibri"/>
          <w:b/>
          <w:bCs/>
          <w:sz w:val="22"/>
          <w:szCs w:val="22"/>
        </w:rPr>
        <w:t>1</w:t>
      </w:r>
      <w:r w:rsidR="00634658">
        <w:rPr>
          <w:rFonts w:cs="Calibri"/>
          <w:b/>
          <w:bCs/>
          <w:sz w:val="22"/>
          <w:szCs w:val="22"/>
        </w:rPr>
        <w:t> </w:t>
      </w:r>
      <w:r w:rsidR="00820981" w:rsidRPr="00820981">
        <w:rPr>
          <w:rFonts w:cs="Calibri"/>
          <w:b/>
          <w:bCs/>
          <w:sz w:val="22"/>
          <w:szCs w:val="22"/>
        </w:rPr>
        <w:t>September</w:t>
      </w:r>
      <w:r w:rsidRPr="00820981">
        <w:rPr>
          <w:rFonts w:cs="Calibri"/>
          <w:b/>
          <w:bCs/>
          <w:sz w:val="22"/>
          <w:szCs w:val="22"/>
        </w:rPr>
        <w:t xml:space="preserve"> 202</w:t>
      </w:r>
      <w:r w:rsidR="00D836C0" w:rsidRPr="00820981">
        <w:rPr>
          <w:rFonts w:cs="Calibri"/>
          <w:b/>
          <w:bCs/>
          <w:sz w:val="22"/>
          <w:szCs w:val="22"/>
        </w:rPr>
        <w:t>3</w:t>
      </w:r>
      <w:r w:rsidRPr="00820981">
        <w:rPr>
          <w:rFonts w:cs="Calibri"/>
          <w:sz w:val="22"/>
          <w:szCs w:val="22"/>
        </w:rPr>
        <w:t>.</w:t>
      </w:r>
    </w:p>
    <w:p w14:paraId="17DF8D8F" w14:textId="1F3D4AED" w:rsidR="00B60460" w:rsidRPr="00820981" w:rsidRDefault="00B60460" w:rsidP="00B60460">
      <w:pPr>
        <w:rPr>
          <w:rFonts w:cs="Calibri"/>
          <w:sz w:val="22"/>
          <w:szCs w:val="22"/>
        </w:rPr>
      </w:pPr>
      <w:r w:rsidRPr="00820981">
        <w:rPr>
          <w:rFonts w:cs="Calibri"/>
          <w:sz w:val="22"/>
          <w:szCs w:val="22"/>
        </w:rPr>
        <w:t>4</w:t>
      </w:r>
      <w:r w:rsidRPr="00820981">
        <w:rPr>
          <w:rFonts w:cs="Calibri"/>
          <w:sz w:val="22"/>
          <w:szCs w:val="22"/>
        </w:rPr>
        <w:tab/>
        <w:t xml:space="preserve">If 70% or more of the replies from Member States support consideration for approval, one Plenary session will be devoted to </w:t>
      </w:r>
      <w:proofErr w:type="gramStart"/>
      <w:r w:rsidRPr="00820981">
        <w:rPr>
          <w:rFonts w:cs="Calibri"/>
          <w:sz w:val="22"/>
          <w:szCs w:val="22"/>
        </w:rPr>
        <w:t>apply</w:t>
      </w:r>
      <w:proofErr w:type="gramEnd"/>
      <w:r w:rsidRPr="00820981">
        <w:rPr>
          <w:rFonts w:cs="Calibri"/>
          <w:sz w:val="22"/>
          <w:szCs w:val="22"/>
        </w:rPr>
        <w:t xml:space="preserve"> the approval procedure. Member States that do not assign authority to proceed should inform the Director of TSB of the reasons for this opinion and indicate the possible changes that would enable the work to progress.</w:t>
      </w:r>
    </w:p>
    <w:p w14:paraId="764675D9" w14:textId="77777777" w:rsidR="00B60460" w:rsidRPr="00820981" w:rsidRDefault="00B60460" w:rsidP="00B60460">
      <w:pPr>
        <w:spacing w:before="100"/>
        <w:rPr>
          <w:rFonts w:cs="Calibri"/>
          <w:sz w:val="22"/>
          <w:szCs w:val="22"/>
        </w:rPr>
      </w:pPr>
      <w:r w:rsidRPr="00820981">
        <w:rPr>
          <w:rFonts w:cs="Calibri"/>
          <w:sz w:val="22"/>
          <w:szCs w:val="22"/>
        </w:rPr>
        <w:t xml:space="preserve">TSB NOTE 1– As of the date of this Circular, no IPR statements had been received by TSB regarding any of these draft texts. For up-to-date information, members are invited to consult the IPR database at </w:t>
      </w:r>
      <w:hyperlink r:id="rId11" w:history="1">
        <w:r w:rsidRPr="00820981">
          <w:rPr>
            <w:rStyle w:val="Hyperlink"/>
            <w:rFonts w:cs="Calibri"/>
            <w:sz w:val="22"/>
            <w:szCs w:val="22"/>
          </w:rPr>
          <w:t>www.itu.int/ipr/</w:t>
        </w:r>
      </w:hyperlink>
      <w:r w:rsidRPr="00820981">
        <w:rPr>
          <w:rFonts w:cs="Calibri"/>
          <w:sz w:val="22"/>
          <w:szCs w:val="22"/>
        </w:rPr>
        <w:t>.</w:t>
      </w:r>
    </w:p>
    <w:p w14:paraId="3C1D2EDD" w14:textId="174873FB" w:rsidR="00B60460" w:rsidRPr="00820981" w:rsidRDefault="00B60460" w:rsidP="00776EDA">
      <w:pPr>
        <w:pStyle w:val="Tabletext"/>
        <w:spacing w:before="120"/>
        <w:rPr>
          <w:rFonts w:cs="Calibri"/>
          <w:sz w:val="22"/>
          <w:szCs w:val="22"/>
        </w:rPr>
      </w:pPr>
      <w:r w:rsidRPr="00820981">
        <w:rPr>
          <w:rFonts w:cs="Calibri"/>
          <w:sz w:val="22"/>
          <w:szCs w:val="22"/>
        </w:rPr>
        <w:t>Yours faithfully</w:t>
      </w:r>
    </w:p>
    <w:p w14:paraId="7723D1F0" w14:textId="36636E18" w:rsidR="00B60460" w:rsidRPr="00820981" w:rsidRDefault="00C01F40" w:rsidP="00634658">
      <w:pPr>
        <w:pStyle w:val="Tabletext"/>
        <w:spacing w:before="840" w:after="0"/>
        <w:rPr>
          <w:rFonts w:cs="Calibri"/>
          <w:sz w:val="22"/>
          <w:szCs w:val="22"/>
        </w:rPr>
      </w:pPr>
      <w:r>
        <w:rPr>
          <w:rFonts w:cs="Calibri"/>
          <w:noProof/>
          <w:sz w:val="22"/>
          <w:szCs w:val="22"/>
        </w:rPr>
        <w:drawing>
          <wp:anchor distT="0" distB="0" distL="114300" distR="114300" simplePos="0" relativeHeight="251658240" behindDoc="1" locked="0" layoutInCell="1" allowOverlap="1" wp14:anchorId="1F8363EA" wp14:editId="3AE546DA">
            <wp:simplePos x="0" y="0"/>
            <wp:positionH relativeFrom="column">
              <wp:posOffset>3809</wp:posOffset>
            </wp:positionH>
            <wp:positionV relativeFrom="paragraph">
              <wp:posOffset>86995</wp:posOffset>
            </wp:positionV>
            <wp:extent cx="653765" cy="27615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61662" cy="279495"/>
                    </a:xfrm>
                    <a:prstGeom prst="rect">
                      <a:avLst/>
                    </a:prstGeom>
                  </pic:spPr>
                </pic:pic>
              </a:graphicData>
            </a:graphic>
            <wp14:sizeRelH relativeFrom="margin">
              <wp14:pctWidth>0</wp14:pctWidth>
            </wp14:sizeRelH>
            <wp14:sizeRelV relativeFrom="margin">
              <wp14:pctHeight>0</wp14:pctHeight>
            </wp14:sizeRelV>
          </wp:anchor>
        </w:drawing>
      </w:r>
      <w:r w:rsidR="00820981">
        <w:rPr>
          <w:rFonts w:cs="Calibri"/>
          <w:noProof/>
          <w:sz w:val="22"/>
          <w:szCs w:val="22"/>
        </w:rPr>
        <w:t>Seizo Onoe</w:t>
      </w:r>
      <w:r w:rsidR="00820981" w:rsidRPr="00820981">
        <w:rPr>
          <w:rFonts w:cs="Calibri"/>
          <w:sz w:val="22"/>
          <w:szCs w:val="22"/>
        </w:rPr>
        <w:t xml:space="preserve"> </w:t>
      </w:r>
      <w:r w:rsidR="00B60460" w:rsidRPr="00820981">
        <w:rPr>
          <w:rFonts w:cs="Calibri"/>
          <w:sz w:val="22"/>
          <w:szCs w:val="22"/>
        </w:rPr>
        <w:br/>
        <w:t>Director of the Telecommunication</w:t>
      </w:r>
      <w:r w:rsidR="00B60460" w:rsidRPr="00820981">
        <w:rPr>
          <w:rFonts w:cs="Calibri"/>
          <w:sz w:val="22"/>
          <w:szCs w:val="22"/>
        </w:rPr>
        <w:br/>
        <w:t>Standardization Bureau</w:t>
      </w:r>
    </w:p>
    <w:p w14:paraId="31653AC6" w14:textId="6F2DE15C" w:rsidR="002D69A3" w:rsidRPr="00820981" w:rsidRDefault="00B60460" w:rsidP="00634658">
      <w:pPr>
        <w:spacing w:before="240"/>
        <w:rPr>
          <w:rFonts w:cs="Calibri"/>
          <w:bCs/>
          <w:sz w:val="22"/>
          <w:szCs w:val="22"/>
        </w:rPr>
      </w:pPr>
      <w:r w:rsidRPr="00820981">
        <w:rPr>
          <w:rFonts w:cs="Calibri"/>
          <w:b/>
          <w:sz w:val="22"/>
          <w:szCs w:val="22"/>
        </w:rPr>
        <w:t xml:space="preserve">Annexes: </w:t>
      </w:r>
      <w:r w:rsidRPr="00820981">
        <w:rPr>
          <w:rFonts w:cs="Calibri"/>
          <w:bCs/>
          <w:sz w:val="22"/>
          <w:szCs w:val="22"/>
        </w:rPr>
        <w:t>2</w:t>
      </w:r>
    </w:p>
    <w:p w14:paraId="28506383" w14:textId="77777777" w:rsidR="00B60460" w:rsidRPr="00572180" w:rsidRDefault="00B60460" w:rsidP="00B60460">
      <w:pPr>
        <w:keepNext/>
        <w:keepLines/>
        <w:spacing w:before="240" w:after="280"/>
        <w:jc w:val="center"/>
        <w:rPr>
          <w:rFonts w:eastAsia="Times New Roman"/>
          <w:b/>
          <w:sz w:val="28"/>
        </w:rPr>
      </w:pPr>
      <w:r w:rsidRPr="00572180">
        <w:rPr>
          <w:rFonts w:eastAsia="Times New Roman"/>
          <w:b/>
          <w:sz w:val="28"/>
        </w:rPr>
        <w:lastRenderedPageBreak/>
        <w:t>Annex 1</w:t>
      </w:r>
    </w:p>
    <w:p w14:paraId="2F066E02" w14:textId="7F56DA7D" w:rsidR="00B60460" w:rsidRPr="00572180" w:rsidRDefault="00B60460" w:rsidP="00B60460">
      <w:pPr>
        <w:keepNext/>
        <w:keepLines/>
        <w:spacing w:before="240" w:after="280"/>
        <w:jc w:val="center"/>
        <w:rPr>
          <w:rFonts w:eastAsia="Times New Roman"/>
          <w:b/>
          <w:sz w:val="28"/>
        </w:rPr>
      </w:pPr>
      <w:r w:rsidRPr="00572180">
        <w:rPr>
          <w:rFonts w:eastAsia="Times New Roman"/>
          <w:b/>
          <w:sz w:val="28"/>
        </w:rPr>
        <w:t xml:space="preserve">Summary and location of Determined draft new Recommendations </w:t>
      </w:r>
      <w:r w:rsidR="00E609F7" w:rsidRPr="00572180">
        <w:rPr>
          <w:rFonts w:eastAsia="Times New Roman"/>
          <w:b/>
          <w:sz w:val="28"/>
        </w:rPr>
        <w:t xml:space="preserve">ITU-T </w:t>
      </w:r>
      <w:r w:rsidR="00572180" w:rsidRPr="00572180">
        <w:rPr>
          <w:rFonts w:eastAsia="Times New Roman"/>
          <w:b/>
          <w:sz w:val="28"/>
        </w:rPr>
        <w:t xml:space="preserve">Y.4221 (ex </w:t>
      </w:r>
      <w:proofErr w:type="spellStart"/>
      <w:proofErr w:type="gramStart"/>
      <w:r w:rsidR="00572180" w:rsidRPr="00572180">
        <w:rPr>
          <w:rFonts w:eastAsia="Times New Roman"/>
          <w:b/>
          <w:sz w:val="28"/>
        </w:rPr>
        <w:t>Y.ElecMon</w:t>
      </w:r>
      <w:proofErr w:type="gramEnd"/>
      <w:r w:rsidR="00572180" w:rsidRPr="00572180">
        <w:rPr>
          <w:rFonts w:eastAsia="Times New Roman"/>
          <w:b/>
          <w:sz w:val="28"/>
        </w:rPr>
        <w:t>-Reqts</w:t>
      </w:r>
      <w:proofErr w:type="spellEnd"/>
      <w:r w:rsidR="00572180" w:rsidRPr="00572180">
        <w:rPr>
          <w:rFonts w:eastAsia="Times New Roman"/>
          <w:b/>
          <w:sz w:val="28"/>
        </w:rPr>
        <w:t xml:space="preserve">), Y.4222 (ex </w:t>
      </w:r>
      <w:proofErr w:type="spellStart"/>
      <w:r w:rsidR="00572180" w:rsidRPr="00572180">
        <w:rPr>
          <w:rFonts w:eastAsia="Times New Roman"/>
          <w:b/>
          <w:sz w:val="28"/>
        </w:rPr>
        <w:t>Y.smart</w:t>
      </w:r>
      <w:proofErr w:type="spellEnd"/>
      <w:r w:rsidR="00572180" w:rsidRPr="00572180">
        <w:rPr>
          <w:rFonts w:eastAsia="Times New Roman"/>
          <w:b/>
          <w:sz w:val="28"/>
        </w:rPr>
        <w:t>-evacuation), Y.4223 (ex Y.SCC-</w:t>
      </w:r>
      <w:proofErr w:type="spellStart"/>
      <w:r w:rsidR="00572180" w:rsidRPr="00572180">
        <w:rPr>
          <w:rFonts w:eastAsia="Times New Roman"/>
          <w:b/>
          <w:sz w:val="28"/>
        </w:rPr>
        <w:t>Reqts</w:t>
      </w:r>
      <w:proofErr w:type="spellEnd"/>
      <w:r w:rsidR="00572180" w:rsidRPr="00572180">
        <w:rPr>
          <w:rFonts w:eastAsia="Times New Roman"/>
          <w:b/>
          <w:sz w:val="28"/>
        </w:rPr>
        <w:t xml:space="preserve">), Y.4487 (ex Y.RMDFS-arch), Y.4488 (ex </w:t>
      </w:r>
      <w:proofErr w:type="spellStart"/>
      <w:r w:rsidR="00572180" w:rsidRPr="00572180">
        <w:rPr>
          <w:rFonts w:eastAsia="Times New Roman"/>
          <w:b/>
          <w:sz w:val="28"/>
        </w:rPr>
        <w:t>Y.IoT</w:t>
      </w:r>
      <w:proofErr w:type="spellEnd"/>
      <w:r w:rsidR="00572180" w:rsidRPr="00572180">
        <w:rPr>
          <w:rFonts w:eastAsia="Times New Roman"/>
          <w:b/>
          <w:sz w:val="28"/>
        </w:rPr>
        <w:t xml:space="preserve">-SPWE) and Y.4604 (ex </w:t>
      </w:r>
      <w:proofErr w:type="spellStart"/>
      <w:r w:rsidR="00572180" w:rsidRPr="00572180">
        <w:rPr>
          <w:rFonts w:eastAsia="Times New Roman"/>
          <w:b/>
          <w:sz w:val="28"/>
        </w:rPr>
        <w:t>Y.IoT</w:t>
      </w:r>
      <w:proofErr w:type="spellEnd"/>
      <w:r w:rsidR="00572180" w:rsidRPr="00572180">
        <w:rPr>
          <w:rFonts w:eastAsia="Times New Roman"/>
          <w:b/>
          <w:sz w:val="28"/>
        </w:rPr>
        <w:t>-MCSI)</w:t>
      </w:r>
    </w:p>
    <w:p w14:paraId="24B71F44" w14:textId="784010C4" w:rsidR="00B60460" w:rsidRPr="00572180" w:rsidRDefault="00B60460" w:rsidP="00B60460">
      <w:pPr>
        <w:keepNext/>
        <w:keepLines/>
        <w:spacing w:before="280"/>
        <w:ind w:left="1134" w:hanging="1134"/>
        <w:outlineLvl w:val="0"/>
        <w:rPr>
          <w:rFonts w:eastAsia="Times New Roman" w:cs="Calibri"/>
          <w:b/>
          <w:sz w:val="28"/>
          <w:lang w:val="fr-CH"/>
        </w:rPr>
      </w:pPr>
      <w:r w:rsidRPr="00572180">
        <w:rPr>
          <w:rFonts w:eastAsia="Times New Roman" w:cs="Calibri"/>
          <w:b/>
          <w:sz w:val="28"/>
          <w:lang w:val="fr-CH"/>
        </w:rPr>
        <w:t>1</w:t>
      </w:r>
      <w:r w:rsidRPr="00572180">
        <w:rPr>
          <w:rFonts w:eastAsia="Times New Roman" w:cs="Calibri"/>
          <w:b/>
          <w:sz w:val="28"/>
          <w:lang w:val="fr-CH"/>
        </w:rPr>
        <w:tab/>
        <w:t xml:space="preserve">Draft new </w:t>
      </w:r>
      <w:proofErr w:type="spellStart"/>
      <w:r w:rsidRPr="00572180">
        <w:rPr>
          <w:rFonts w:eastAsia="Times New Roman" w:cs="Calibri"/>
          <w:b/>
          <w:sz w:val="28"/>
          <w:lang w:val="fr-CH"/>
        </w:rPr>
        <w:t>Recommendation</w:t>
      </w:r>
      <w:proofErr w:type="spellEnd"/>
      <w:r w:rsidRPr="00572180">
        <w:rPr>
          <w:rFonts w:eastAsia="Times New Roman" w:cs="Calibri"/>
          <w:b/>
          <w:sz w:val="28"/>
          <w:lang w:val="fr-CH"/>
        </w:rPr>
        <w:t xml:space="preserve"> ITU-T </w:t>
      </w:r>
      <w:r w:rsidR="00572180" w:rsidRPr="00572180">
        <w:rPr>
          <w:rFonts w:eastAsia="Times New Roman"/>
          <w:b/>
          <w:sz w:val="28"/>
          <w:lang w:val="fr-CH"/>
        </w:rPr>
        <w:t xml:space="preserve">Y.4221 (ex </w:t>
      </w:r>
      <w:proofErr w:type="spellStart"/>
      <w:proofErr w:type="gramStart"/>
      <w:r w:rsidR="00572180" w:rsidRPr="00572180">
        <w:rPr>
          <w:rFonts w:eastAsia="Times New Roman"/>
          <w:b/>
          <w:sz w:val="28"/>
          <w:lang w:val="fr-CH"/>
        </w:rPr>
        <w:t>Y.ElecMon</w:t>
      </w:r>
      <w:proofErr w:type="gramEnd"/>
      <w:r w:rsidR="00572180" w:rsidRPr="00572180">
        <w:rPr>
          <w:rFonts w:eastAsia="Times New Roman"/>
          <w:b/>
          <w:sz w:val="28"/>
          <w:lang w:val="fr-CH"/>
        </w:rPr>
        <w:t>-Reqts</w:t>
      </w:r>
      <w:proofErr w:type="spellEnd"/>
      <w:r w:rsidR="00572180" w:rsidRPr="00572180">
        <w:rPr>
          <w:rFonts w:eastAsia="Times New Roman"/>
          <w:b/>
          <w:sz w:val="28"/>
          <w:lang w:val="fr-CH"/>
        </w:rPr>
        <w:t xml:space="preserve">): </w:t>
      </w:r>
      <w:r w:rsidRPr="00572180">
        <w:rPr>
          <w:rFonts w:eastAsia="Times New Roman" w:cs="Calibri"/>
          <w:b/>
          <w:sz w:val="28"/>
          <w:lang w:val="fr-CH"/>
        </w:rPr>
        <w:t>[</w:t>
      </w:r>
      <w:hyperlink r:id="rId13" w:history="1">
        <w:r w:rsidR="00E609F7" w:rsidRPr="00572180">
          <w:rPr>
            <w:rStyle w:val="Hyperlink"/>
            <w:rFonts w:eastAsia="Times New Roman" w:cs="Calibri"/>
            <w:b/>
            <w:sz w:val="28"/>
            <w:lang w:val="fr-CH"/>
          </w:rPr>
          <w:t>R</w:t>
        </w:r>
        <w:r w:rsidR="00572180" w:rsidRPr="00572180">
          <w:rPr>
            <w:rStyle w:val="Hyperlink"/>
            <w:rFonts w:eastAsia="Times New Roman" w:cs="Calibri"/>
            <w:b/>
            <w:sz w:val="28"/>
            <w:lang w:val="fr-CH"/>
          </w:rPr>
          <w:t>5</w:t>
        </w:r>
      </w:hyperlink>
      <w:r w:rsidRPr="00572180">
        <w:rPr>
          <w:rFonts w:eastAsia="Times New Roman" w:cs="Calibri"/>
          <w:b/>
          <w:sz w:val="28"/>
          <w:lang w:val="fr-CH"/>
        </w:rPr>
        <w:t>]</w:t>
      </w:r>
    </w:p>
    <w:p w14:paraId="1CFDFB45" w14:textId="77777777" w:rsidR="00572180" w:rsidRPr="00572180" w:rsidRDefault="00572180" w:rsidP="00B60460">
      <w:pPr>
        <w:keepNext/>
        <w:keepLines/>
        <w:ind w:left="1134" w:hanging="1134"/>
        <w:outlineLvl w:val="1"/>
        <w:rPr>
          <w:rFonts w:eastAsia="Times New Roman" w:cs="Calibri"/>
          <w:b/>
          <w:szCs w:val="24"/>
          <w:lang w:val="en-US"/>
        </w:rPr>
      </w:pPr>
      <w:r w:rsidRPr="00572180">
        <w:rPr>
          <w:rFonts w:eastAsia="Times New Roman" w:cs="Calibri"/>
          <w:b/>
          <w:szCs w:val="24"/>
          <w:lang w:val="en-US"/>
        </w:rPr>
        <w:t xml:space="preserve">Requirements of IoT-based electric power infrastructure monitoring </w:t>
      </w:r>
      <w:proofErr w:type="gramStart"/>
      <w:r w:rsidRPr="00572180">
        <w:rPr>
          <w:rFonts w:eastAsia="Times New Roman" w:cs="Calibri"/>
          <w:b/>
          <w:szCs w:val="24"/>
          <w:lang w:val="en-US"/>
        </w:rPr>
        <w:t>system</w:t>
      </w:r>
      <w:proofErr w:type="gramEnd"/>
      <w:r w:rsidRPr="00572180">
        <w:rPr>
          <w:rFonts w:eastAsia="Times New Roman" w:cs="Calibri"/>
          <w:b/>
          <w:szCs w:val="24"/>
          <w:lang w:val="en-US"/>
        </w:rPr>
        <w:t xml:space="preserve"> </w:t>
      </w:r>
    </w:p>
    <w:p w14:paraId="00C6EBCA" w14:textId="0630E641" w:rsidR="00B60460" w:rsidRPr="00572180" w:rsidRDefault="00B60460" w:rsidP="00B60460">
      <w:pPr>
        <w:keepNext/>
        <w:keepLines/>
        <w:ind w:left="1134" w:hanging="1134"/>
        <w:outlineLvl w:val="1"/>
        <w:rPr>
          <w:rFonts w:eastAsia="Times New Roman" w:cs="Calibri"/>
          <w:b/>
          <w:szCs w:val="24"/>
        </w:rPr>
      </w:pPr>
      <w:r w:rsidRPr="00572180">
        <w:rPr>
          <w:rFonts w:eastAsia="Times New Roman" w:cs="Calibri"/>
          <w:b/>
          <w:szCs w:val="24"/>
        </w:rPr>
        <w:t>Summary</w:t>
      </w:r>
    </w:p>
    <w:p w14:paraId="55635D1C" w14:textId="77777777" w:rsidR="00572180" w:rsidRPr="00572180" w:rsidRDefault="00572180" w:rsidP="00572180">
      <w:pPr>
        <w:keepNext/>
        <w:keepLines/>
        <w:tabs>
          <w:tab w:val="clear" w:pos="1191"/>
          <w:tab w:val="left" w:pos="0"/>
        </w:tabs>
        <w:spacing w:before="280"/>
        <w:outlineLvl w:val="0"/>
        <w:rPr>
          <w:rFonts w:eastAsia="DengXian" w:cs="Calibri"/>
          <w:szCs w:val="24"/>
          <w:lang w:val="en-US" w:eastAsia="zh-CN"/>
        </w:rPr>
      </w:pPr>
      <w:r w:rsidRPr="00572180">
        <w:rPr>
          <w:rFonts w:eastAsia="DengXian" w:cs="Calibri"/>
          <w:szCs w:val="24"/>
          <w:lang w:val="en-US" w:eastAsia="zh-CN"/>
        </w:rPr>
        <w:t xml:space="preserve">An IoT-based electric power infrastructure monitoring system is an effective means to obtain the operation health status of electric power infrastructures. It provides advanced and efficient auxiliary monitoring and diagnosis methods for maintaining the safe and stable operation of an electric power system and improving the comprehensive management level of such a system. Thus, it brings great convenience for maintaining electric power infrastructures. </w:t>
      </w:r>
    </w:p>
    <w:p w14:paraId="6CF679F1" w14:textId="77777777" w:rsidR="00572180" w:rsidRPr="00572180" w:rsidRDefault="00572180" w:rsidP="00572180">
      <w:pPr>
        <w:keepNext/>
        <w:keepLines/>
        <w:tabs>
          <w:tab w:val="clear" w:pos="1191"/>
          <w:tab w:val="left" w:pos="0"/>
        </w:tabs>
        <w:outlineLvl w:val="0"/>
        <w:rPr>
          <w:rFonts w:eastAsia="DengXian" w:cs="Calibri"/>
          <w:szCs w:val="24"/>
          <w:lang w:val="en-US" w:eastAsia="zh-CN"/>
        </w:rPr>
      </w:pPr>
      <w:r w:rsidRPr="00572180">
        <w:rPr>
          <w:rFonts w:eastAsia="DengXian" w:cs="Calibri"/>
          <w:szCs w:val="24"/>
          <w:lang w:val="en-US" w:eastAsia="zh-CN"/>
        </w:rPr>
        <w:t>This Recommendation specifies the requirements specific to an IoT-based electric power infrastructure monitoring system for the purpose of maintaining electric power infrastructure.</w:t>
      </w:r>
    </w:p>
    <w:p w14:paraId="3DCB5757" w14:textId="655A1197" w:rsidR="00B60460" w:rsidRPr="00572180" w:rsidRDefault="00B60460" w:rsidP="00572180">
      <w:pPr>
        <w:keepNext/>
        <w:keepLines/>
        <w:spacing w:before="280"/>
        <w:ind w:left="1134" w:hanging="1134"/>
        <w:outlineLvl w:val="0"/>
        <w:rPr>
          <w:rFonts w:eastAsia="Times New Roman" w:cs="Calibri"/>
          <w:b/>
          <w:sz w:val="28"/>
          <w:lang w:val="fr-CH"/>
        </w:rPr>
      </w:pPr>
      <w:r w:rsidRPr="00572180">
        <w:rPr>
          <w:rFonts w:eastAsia="Times New Roman" w:cs="Calibri"/>
          <w:b/>
          <w:sz w:val="28"/>
          <w:lang w:val="fr-CH"/>
        </w:rPr>
        <w:t>2</w:t>
      </w:r>
      <w:r w:rsidRPr="00572180">
        <w:rPr>
          <w:rFonts w:eastAsia="Times New Roman" w:cs="Calibri"/>
          <w:b/>
          <w:sz w:val="28"/>
          <w:lang w:val="fr-CH"/>
        </w:rPr>
        <w:tab/>
        <w:t xml:space="preserve">Draft new </w:t>
      </w:r>
      <w:proofErr w:type="spellStart"/>
      <w:r w:rsidRPr="00572180">
        <w:rPr>
          <w:rFonts w:eastAsia="Times New Roman" w:cs="Calibri"/>
          <w:b/>
          <w:sz w:val="28"/>
          <w:lang w:val="fr-CH"/>
        </w:rPr>
        <w:t>Recommendation</w:t>
      </w:r>
      <w:proofErr w:type="spellEnd"/>
      <w:r w:rsidRPr="00572180">
        <w:rPr>
          <w:rFonts w:eastAsia="Times New Roman" w:cs="Calibri"/>
          <w:b/>
          <w:sz w:val="28"/>
          <w:lang w:val="fr-CH"/>
        </w:rPr>
        <w:t xml:space="preserve"> ITU-T </w:t>
      </w:r>
      <w:r w:rsidR="00572180" w:rsidRPr="00572180">
        <w:rPr>
          <w:rFonts w:eastAsia="Times New Roman"/>
          <w:b/>
          <w:sz w:val="28"/>
          <w:lang w:val="fr-CH"/>
        </w:rPr>
        <w:t xml:space="preserve">Y.4222 (ex </w:t>
      </w:r>
      <w:proofErr w:type="spellStart"/>
      <w:proofErr w:type="gramStart"/>
      <w:r w:rsidR="00572180" w:rsidRPr="00572180">
        <w:rPr>
          <w:rFonts w:eastAsia="Times New Roman"/>
          <w:b/>
          <w:sz w:val="28"/>
          <w:lang w:val="fr-CH"/>
        </w:rPr>
        <w:t>Y.smart</w:t>
      </w:r>
      <w:proofErr w:type="gramEnd"/>
      <w:r w:rsidR="00572180" w:rsidRPr="00572180">
        <w:rPr>
          <w:rFonts w:eastAsia="Times New Roman"/>
          <w:b/>
          <w:sz w:val="28"/>
          <w:lang w:val="fr-CH"/>
        </w:rPr>
        <w:t>-evacuation</w:t>
      </w:r>
      <w:proofErr w:type="spellEnd"/>
      <w:r w:rsidR="00572180" w:rsidRPr="00572180">
        <w:rPr>
          <w:rFonts w:eastAsia="Times New Roman"/>
          <w:b/>
          <w:sz w:val="28"/>
          <w:lang w:val="fr-CH"/>
        </w:rPr>
        <w:t>)</w:t>
      </w:r>
      <w:r w:rsidR="0054116D">
        <w:rPr>
          <w:rFonts w:eastAsia="Times New Roman"/>
          <w:b/>
          <w:sz w:val="28"/>
          <w:lang w:val="fr-CH"/>
        </w:rPr>
        <w:t>:</w:t>
      </w:r>
      <w:r w:rsidR="00572180" w:rsidRPr="00572180">
        <w:rPr>
          <w:rFonts w:eastAsia="Times New Roman"/>
          <w:b/>
          <w:sz w:val="28"/>
          <w:lang w:val="fr-CH"/>
        </w:rPr>
        <w:t xml:space="preserve"> </w:t>
      </w:r>
      <w:r w:rsidRPr="00572180">
        <w:rPr>
          <w:rFonts w:eastAsia="Times New Roman" w:cs="Calibri"/>
          <w:b/>
          <w:sz w:val="28"/>
          <w:lang w:val="fr-CH"/>
        </w:rPr>
        <w:t>[</w:t>
      </w:r>
      <w:hyperlink r:id="rId14" w:history="1">
        <w:r w:rsidRPr="00572180">
          <w:rPr>
            <w:rStyle w:val="Hyperlink"/>
            <w:rFonts w:eastAsia="Times New Roman" w:cs="Calibri"/>
            <w:b/>
            <w:sz w:val="28"/>
            <w:lang w:val="fr-CH"/>
          </w:rPr>
          <w:t>R</w:t>
        </w:r>
        <w:r w:rsidR="00572180" w:rsidRPr="00572180">
          <w:rPr>
            <w:rStyle w:val="Hyperlink"/>
            <w:rFonts w:eastAsia="Times New Roman" w:cs="Calibri"/>
            <w:b/>
            <w:sz w:val="28"/>
            <w:lang w:val="fr-CH"/>
          </w:rPr>
          <w:t>6</w:t>
        </w:r>
      </w:hyperlink>
      <w:r w:rsidRPr="00572180">
        <w:rPr>
          <w:rFonts w:eastAsia="Times New Roman" w:cs="Calibri"/>
          <w:b/>
          <w:sz w:val="28"/>
          <w:lang w:val="fr-CH"/>
        </w:rPr>
        <w:t>]</w:t>
      </w:r>
    </w:p>
    <w:p w14:paraId="1AE197B7" w14:textId="77777777" w:rsidR="00572180" w:rsidRPr="00572180" w:rsidRDefault="00572180" w:rsidP="00B60460">
      <w:pPr>
        <w:keepNext/>
        <w:keepLines/>
        <w:ind w:left="1134" w:hanging="1134"/>
        <w:outlineLvl w:val="1"/>
        <w:rPr>
          <w:rFonts w:eastAsia="Times New Roman" w:cs="Calibri"/>
          <w:b/>
          <w:bCs/>
        </w:rPr>
      </w:pPr>
      <w:r w:rsidRPr="00572180">
        <w:rPr>
          <w:rFonts w:eastAsia="Times New Roman" w:cs="Calibri"/>
          <w:b/>
          <w:bCs/>
        </w:rPr>
        <w:t>Framework of smart evacuation in a disaster or emergency in smart cities and communities</w:t>
      </w:r>
    </w:p>
    <w:p w14:paraId="568FDECD" w14:textId="740264CA" w:rsidR="00B60460" w:rsidRPr="00572180" w:rsidRDefault="00B60460" w:rsidP="00B60460">
      <w:pPr>
        <w:keepNext/>
        <w:keepLines/>
        <w:ind w:left="1134" w:hanging="1134"/>
        <w:outlineLvl w:val="1"/>
        <w:rPr>
          <w:rFonts w:eastAsia="Times New Roman" w:cs="Calibri"/>
          <w:b/>
        </w:rPr>
      </w:pPr>
      <w:r w:rsidRPr="00572180">
        <w:rPr>
          <w:rFonts w:eastAsia="Times New Roman" w:cs="Calibri"/>
          <w:b/>
        </w:rPr>
        <w:t>Summary</w:t>
      </w:r>
    </w:p>
    <w:p w14:paraId="37C5AB6E" w14:textId="77777777" w:rsidR="00572180" w:rsidRPr="00572180" w:rsidRDefault="00572180" w:rsidP="00572180">
      <w:pPr>
        <w:pBdr>
          <w:top w:val="nil"/>
          <w:left w:val="nil"/>
          <w:bottom w:val="nil"/>
          <w:right w:val="nil"/>
          <w:between w:val="nil"/>
          <w:bar w:val="nil"/>
        </w:pBdr>
        <w:rPr>
          <w:color w:val="000000"/>
          <w:u w:color="000000"/>
          <w:bdr w:val="nil"/>
          <w14:textOutline w14:w="12700" w14:cap="flat" w14:cmpd="sng" w14:algn="ctr">
            <w14:noFill/>
            <w14:prstDash w14:val="solid"/>
            <w14:miter w14:lim="400000"/>
          </w14:textOutline>
        </w:rPr>
      </w:pPr>
      <w:r w:rsidRPr="00572180">
        <w:rPr>
          <w:rFonts w:eastAsia="Times New Roman"/>
          <w:color w:val="000000"/>
          <w:u w:color="000000"/>
          <w:bdr w:val="nil"/>
          <w:lang w:eastAsia="ko-KR"/>
          <w14:textOutline w14:w="12700" w14:cap="flat" w14:cmpd="sng" w14:algn="ctr">
            <w14:noFill/>
            <w14:prstDash w14:val="solid"/>
            <w14:miter w14:lim="400000"/>
          </w14:textOutline>
        </w:rPr>
        <w:t>Smart</w:t>
      </w:r>
      <w:r w:rsidRPr="00572180">
        <w:t xml:space="preserve"> evacuation facilitates effective and efficient solutions for people inside a disaster or emergency zone and for people that need to enter such a zone as part of the response. Internet of things (IoT) and smart cities and communities could be used to provide smart evacuation during a disaster or an emergency.</w:t>
      </w:r>
    </w:p>
    <w:p w14:paraId="354E6285" w14:textId="77777777" w:rsidR="00572180" w:rsidRPr="00572180" w:rsidRDefault="00572180" w:rsidP="00572180">
      <w:pPr>
        <w:pBdr>
          <w:top w:val="nil"/>
          <w:left w:val="nil"/>
          <w:bottom w:val="nil"/>
          <w:right w:val="nil"/>
          <w:between w:val="nil"/>
          <w:bar w:val="nil"/>
        </w:pBdr>
        <w:rPr>
          <w:color w:val="000000"/>
          <w:u w:color="000000"/>
          <w:bdr w:val="nil"/>
          <w14:textOutline w14:w="12700" w14:cap="flat" w14:cmpd="sng" w14:algn="ctr">
            <w14:noFill/>
            <w14:prstDash w14:val="solid"/>
            <w14:miter w14:lim="400000"/>
          </w14:textOutline>
        </w:rPr>
      </w:pPr>
      <w:r w:rsidRPr="00572180">
        <w:t xml:space="preserve">This Recommendation describes concepts and features of smart evacuation control in disaster and emergency situations. It identifies high-level requirements and ICT infrastructure for smart evacuation along with use cases in disaster and emergency situations. </w:t>
      </w:r>
    </w:p>
    <w:p w14:paraId="1B264DB4" w14:textId="77777777" w:rsidR="00572180" w:rsidRPr="0054116D" w:rsidRDefault="00572180" w:rsidP="00572180">
      <w:pPr>
        <w:pBdr>
          <w:top w:val="nil"/>
          <w:left w:val="nil"/>
          <w:bottom w:val="nil"/>
          <w:right w:val="nil"/>
          <w:between w:val="nil"/>
          <w:bar w:val="nil"/>
        </w:pBdr>
        <w:rPr>
          <w:u w:color="000000"/>
          <w:bdr w:val="nil"/>
          <w14:textOutline w14:w="12700" w14:cap="flat" w14:cmpd="sng" w14:algn="ctr">
            <w14:noFill/>
            <w14:prstDash w14:val="solid"/>
            <w14:miter w14:lim="400000"/>
          </w14:textOutline>
        </w:rPr>
      </w:pPr>
      <w:r w:rsidRPr="00572180">
        <w:t>The introduction of a smart evacuation service will allow the maintenance of the level of comfort for the population achieved in a smart city even in the event of an emergency of natural or man-made origin. This is fundamental to justify the enormous material costs for the rapid development of smart cities around the world against the background of natural and man-made emergencies t</w:t>
      </w:r>
      <w:r w:rsidRPr="0054116D">
        <w:t>hat have become more frequent throughout the world.</w:t>
      </w:r>
    </w:p>
    <w:p w14:paraId="1FEF0E59" w14:textId="5B5B5DB3" w:rsidR="009D7100" w:rsidRPr="0054116D" w:rsidRDefault="009D7100" w:rsidP="009D7100">
      <w:pPr>
        <w:keepNext/>
        <w:keepLines/>
        <w:spacing w:before="280"/>
        <w:ind w:left="1134" w:hanging="1134"/>
        <w:outlineLvl w:val="0"/>
        <w:rPr>
          <w:rFonts w:eastAsia="Times New Roman" w:cs="Calibri"/>
          <w:b/>
          <w:sz w:val="28"/>
          <w:lang w:val="fr-CH"/>
        </w:rPr>
      </w:pPr>
      <w:r w:rsidRPr="0054116D">
        <w:rPr>
          <w:rFonts w:eastAsia="Times New Roman" w:cs="Calibri"/>
          <w:b/>
          <w:sz w:val="28"/>
          <w:lang w:val="fr-CH"/>
        </w:rPr>
        <w:lastRenderedPageBreak/>
        <w:t>3</w:t>
      </w:r>
      <w:r w:rsidRPr="0054116D">
        <w:rPr>
          <w:rFonts w:eastAsia="Times New Roman" w:cs="Calibri"/>
          <w:b/>
          <w:sz w:val="28"/>
          <w:lang w:val="fr-CH"/>
        </w:rPr>
        <w:tab/>
        <w:t xml:space="preserve">Draft new </w:t>
      </w:r>
      <w:proofErr w:type="spellStart"/>
      <w:r w:rsidRPr="0054116D">
        <w:rPr>
          <w:rFonts w:eastAsia="Times New Roman" w:cs="Calibri"/>
          <w:b/>
          <w:sz w:val="28"/>
          <w:lang w:val="fr-CH"/>
        </w:rPr>
        <w:t>Recommendation</w:t>
      </w:r>
      <w:proofErr w:type="spellEnd"/>
      <w:r w:rsidRPr="0054116D">
        <w:rPr>
          <w:rFonts w:eastAsia="Times New Roman" w:cs="Calibri"/>
          <w:b/>
          <w:sz w:val="28"/>
          <w:lang w:val="fr-CH"/>
        </w:rPr>
        <w:t xml:space="preserve"> ITU-T </w:t>
      </w:r>
      <w:r w:rsidRPr="0054116D">
        <w:rPr>
          <w:rFonts w:eastAsia="Times New Roman"/>
          <w:b/>
          <w:sz w:val="28"/>
          <w:lang w:val="fr-CH"/>
        </w:rPr>
        <w:t>Y.4223 (ex Y.SCC-</w:t>
      </w:r>
      <w:proofErr w:type="spellStart"/>
      <w:r w:rsidRPr="0054116D">
        <w:rPr>
          <w:rFonts w:eastAsia="Times New Roman"/>
          <w:b/>
          <w:sz w:val="28"/>
          <w:lang w:val="fr-CH"/>
        </w:rPr>
        <w:t>Reqts</w:t>
      </w:r>
      <w:proofErr w:type="spellEnd"/>
      <w:proofErr w:type="gramStart"/>
      <w:r w:rsidRPr="0054116D">
        <w:rPr>
          <w:rFonts w:eastAsia="Times New Roman"/>
          <w:b/>
          <w:sz w:val="28"/>
          <w:lang w:val="fr-CH"/>
        </w:rPr>
        <w:t>)</w:t>
      </w:r>
      <w:r w:rsidR="0054116D">
        <w:rPr>
          <w:rFonts w:eastAsia="Times New Roman"/>
          <w:b/>
          <w:sz w:val="28"/>
          <w:lang w:val="fr-CH"/>
        </w:rPr>
        <w:t>:</w:t>
      </w:r>
      <w:proofErr w:type="gramEnd"/>
      <w:r w:rsidRPr="0054116D">
        <w:rPr>
          <w:rFonts w:eastAsia="Times New Roman"/>
          <w:b/>
          <w:sz w:val="28"/>
          <w:lang w:val="fr-CH"/>
        </w:rPr>
        <w:t xml:space="preserve"> </w:t>
      </w:r>
      <w:r w:rsidRPr="0054116D">
        <w:rPr>
          <w:rFonts w:eastAsia="Times New Roman" w:cs="Calibri"/>
          <w:b/>
          <w:sz w:val="28"/>
          <w:lang w:val="fr-CH"/>
        </w:rPr>
        <w:t>[</w:t>
      </w:r>
      <w:hyperlink r:id="rId15" w:history="1">
        <w:r w:rsidRPr="0054116D">
          <w:rPr>
            <w:rStyle w:val="Hyperlink"/>
            <w:rFonts w:eastAsia="Times New Roman" w:cs="Calibri"/>
            <w:b/>
            <w:sz w:val="28"/>
            <w:lang w:val="fr-CH"/>
          </w:rPr>
          <w:t>R7</w:t>
        </w:r>
      </w:hyperlink>
      <w:r w:rsidRPr="0054116D">
        <w:rPr>
          <w:rFonts w:eastAsia="Times New Roman" w:cs="Calibri"/>
          <w:b/>
          <w:sz w:val="28"/>
          <w:lang w:val="fr-CH"/>
        </w:rPr>
        <w:t>]</w:t>
      </w:r>
    </w:p>
    <w:p w14:paraId="031C0032" w14:textId="77777777" w:rsidR="009D7100" w:rsidRPr="0054116D" w:rsidRDefault="009D7100" w:rsidP="009D7100">
      <w:pPr>
        <w:keepNext/>
        <w:keepLines/>
        <w:tabs>
          <w:tab w:val="clear" w:pos="1191"/>
        </w:tabs>
        <w:outlineLvl w:val="1"/>
        <w:rPr>
          <w:rFonts w:eastAsia="Times New Roman" w:cs="Calibri"/>
          <w:b/>
          <w:bCs/>
        </w:rPr>
      </w:pPr>
      <w:r w:rsidRPr="0054116D">
        <w:rPr>
          <w:rFonts w:eastAsia="Times New Roman" w:cs="Calibri"/>
          <w:b/>
          <w:bCs/>
        </w:rPr>
        <w:t>Common requirements and capabilities of smart cities and communities from IoT and ICT perspectives</w:t>
      </w:r>
    </w:p>
    <w:p w14:paraId="545DCA18" w14:textId="15EEBED7" w:rsidR="009D7100" w:rsidRPr="0054116D" w:rsidRDefault="009D7100" w:rsidP="009D7100">
      <w:pPr>
        <w:keepNext/>
        <w:keepLines/>
        <w:ind w:left="1134" w:hanging="1134"/>
        <w:outlineLvl w:val="1"/>
        <w:rPr>
          <w:rFonts w:eastAsia="Times New Roman" w:cs="Calibri"/>
          <w:b/>
        </w:rPr>
      </w:pPr>
      <w:r w:rsidRPr="0054116D">
        <w:rPr>
          <w:rFonts w:eastAsia="Times New Roman" w:cs="Calibri"/>
          <w:b/>
        </w:rPr>
        <w:t>Summary</w:t>
      </w:r>
    </w:p>
    <w:p w14:paraId="22EF45F6" w14:textId="77777777" w:rsidR="009D7100" w:rsidRPr="0054116D" w:rsidRDefault="009D7100" w:rsidP="009D7100">
      <w:pPr>
        <w:keepNext/>
        <w:keepLines/>
        <w:tabs>
          <w:tab w:val="clear" w:pos="1191"/>
          <w:tab w:val="left" w:pos="0"/>
        </w:tabs>
        <w:outlineLvl w:val="0"/>
        <w:rPr>
          <w:rFonts w:eastAsia="Times New Roman"/>
          <w:color w:val="000000"/>
          <w:u w:color="000000"/>
          <w:bdr w:val="nil"/>
          <w:lang w:eastAsia="ko-KR"/>
          <w14:textOutline w14:w="12700" w14:cap="flat" w14:cmpd="sng" w14:algn="ctr">
            <w14:noFill/>
            <w14:prstDash w14:val="solid"/>
            <w14:miter w14:lim="400000"/>
          </w14:textOutline>
        </w:rPr>
      </w:pPr>
      <w:r w:rsidRPr="0054116D">
        <w:rPr>
          <w:rFonts w:eastAsia="Times New Roman"/>
          <w:color w:val="000000"/>
          <w:u w:color="000000"/>
          <w:bdr w:val="nil"/>
          <w:lang w:eastAsia="ko-KR"/>
          <w14:textOutline w14:w="12700" w14:cap="flat" w14:cmpd="sng" w14:algn="ctr">
            <w14:noFill/>
            <w14:prstDash w14:val="solid"/>
            <w14:miter w14:lim="400000"/>
          </w14:textOutline>
        </w:rPr>
        <w:t>Smart cities and communities (SC&amp;C) share the goal of achieving urban sustainability without sacrificing the quality of life (QoL) of their citizens. SC&amp;C strive to create a sustainable living environment for citizens using Internet of things (IoT) technologies and information communication technologies (ICTs).</w:t>
      </w:r>
    </w:p>
    <w:p w14:paraId="505BA85C" w14:textId="77777777" w:rsidR="009D7100" w:rsidRPr="0054116D" w:rsidRDefault="009D7100" w:rsidP="009D7100">
      <w:pPr>
        <w:keepNext/>
        <w:keepLines/>
        <w:tabs>
          <w:tab w:val="clear" w:pos="1191"/>
          <w:tab w:val="left" w:pos="0"/>
        </w:tabs>
        <w:outlineLvl w:val="0"/>
        <w:rPr>
          <w:rFonts w:eastAsia="Times New Roman"/>
          <w:color w:val="000000"/>
          <w:u w:color="000000"/>
          <w:bdr w:val="nil"/>
          <w:lang w:eastAsia="ko-KR"/>
          <w14:textOutline w14:w="12700" w14:cap="flat" w14:cmpd="sng" w14:algn="ctr">
            <w14:noFill/>
            <w14:prstDash w14:val="solid"/>
            <w14:miter w14:lim="400000"/>
          </w14:textOutline>
        </w:rPr>
      </w:pPr>
      <w:r w:rsidRPr="0054116D">
        <w:rPr>
          <w:rFonts w:eastAsia="Times New Roman"/>
          <w:color w:val="000000"/>
          <w:u w:color="000000"/>
          <w:bdr w:val="nil"/>
          <w:lang w:eastAsia="ko-KR"/>
          <w14:textOutline w14:w="12700" w14:cap="flat" w14:cmpd="sng" w14:algn="ctr">
            <w14:noFill/>
            <w14:prstDash w14:val="solid"/>
            <w14:miter w14:lim="400000"/>
          </w14:textOutline>
        </w:rPr>
        <w:t xml:space="preserve">SC&amp;C standardization is ongoing in ITU-T and other relevant standards developing organizations, related to aspects including, but not limited to, SC&amp;C framework, infrastructure, integrated sensing and management system, platform, data processing and services and applications (e.g., smart water management, smart buildings, smart residential community, smart </w:t>
      </w:r>
      <w:proofErr w:type="gramStart"/>
      <w:r w:rsidRPr="0054116D">
        <w:rPr>
          <w:rFonts w:eastAsia="Times New Roman"/>
          <w:color w:val="000000"/>
          <w:u w:color="000000"/>
          <w:bdr w:val="nil"/>
          <w:lang w:eastAsia="ko-KR"/>
          <w14:textOutline w14:w="12700" w14:cap="flat" w14:cmpd="sng" w14:algn="ctr">
            <w14:noFill/>
            <w14:prstDash w14:val="solid"/>
            <w14:miter w14:lim="400000"/>
          </w14:textOutline>
        </w:rPr>
        <w:t>tourism</w:t>
      </w:r>
      <w:proofErr w:type="gramEnd"/>
      <w:r w:rsidRPr="0054116D">
        <w:rPr>
          <w:rFonts w:eastAsia="Times New Roman"/>
          <w:color w:val="000000"/>
          <w:u w:color="000000"/>
          <w:bdr w:val="nil"/>
          <w:lang w:eastAsia="ko-KR"/>
          <w14:textOutline w14:w="12700" w14:cap="flat" w14:cmpd="sng" w14:algn="ctr">
            <w14:noFill/>
            <w14:prstDash w14:val="solid"/>
            <w14:miter w14:lim="400000"/>
          </w14:textOutline>
        </w:rPr>
        <w:t xml:space="preserve"> and smart parking lots, amongst many others). Based on the fundamental characteristics of smart cities and communities, this Recommendation specifies common requirements and capabilities of SC&amp;C from IoT and ICT perspectives.</w:t>
      </w:r>
    </w:p>
    <w:p w14:paraId="225F6676" w14:textId="77777777" w:rsidR="009D7100" w:rsidRPr="0054116D" w:rsidRDefault="009D7100" w:rsidP="009D7100">
      <w:pPr>
        <w:keepNext/>
        <w:keepLines/>
        <w:tabs>
          <w:tab w:val="clear" w:pos="1191"/>
          <w:tab w:val="left" w:pos="0"/>
        </w:tabs>
        <w:outlineLvl w:val="0"/>
        <w:rPr>
          <w:rFonts w:eastAsia="Times New Roman"/>
          <w:color w:val="000000"/>
          <w:u w:color="000000"/>
          <w:bdr w:val="nil"/>
          <w:lang w:eastAsia="ko-KR"/>
          <w14:textOutline w14:w="12700" w14:cap="flat" w14:cmpd="sng" w14:algn="ctr">
            <w14:noFill/>
            <w14:prstDash w14:val="solid"/>
            <w14:miter w14:lim="400000"/>
          </w14:textOutline>
        </w:rPr>
      </w:pPr>
      <w:r w:rsidRPr="0054116D">
        <w:rPr>
          <w:rFonts w:eastAsia="Times New Roman"/>
          <w:color w:val="000000"/>
          <w:u w:color="000000"/>
          <w:bdr w:val="nil"/>
          <w:lang w:eastAsia="ko-KR"/>
          <w14:textOutline w14:w="12700" w14:cap="flat" w14:cmpd="sng" w14:algn="ctr">
            <w14:noFill/>
            <w14:prstDash w14:val="solid"/>
            <w14:miter w14:lim="400000"/>
          </w14:textOutline>
        </w:rPr>
        <w:t xml:space="preserve">The specified common requirements and capabilities are intended to be generally applicable in SC&amp;C. </w:t>
      </w:r>
    </w:p>
    <w:p w14:paraId="173A1315" w14:textId="5B26745E" w:rsidR="009D7100" w:rsidRPr="0054116D" w:rsidRDefault="009D7100" w:rsidP="009D7100">
      <w:pPr>
        <w:keepNext/>
        <w:keepLines/>
        <w:spacing w:before="280"/>
        <w:ind w:left="1134" w:hanging="1134"/>
        <w:outlineLvl w:val="0"/>
        <w:rPr>
          <w:rFonts w:eastAsia="Times New Roman" w:cs="Calibri"/>
          <w:b/>
          <w:sz w:val="28"/>
        </w:rPr>
      </w:pPr>
      <w:r w:rsidRPr="0054116D">
        <w:rPr>
          <w:rFonts w:eastAsia="Times New Roman" w:cs="Calibri"/>
          <w:b/>
          <w:sz w:val="28"/>
        </w:rPr>
        <w:t>4</w:t>
      </w:r>
      <w:r w:rsidRPr="0054116D">
        <w:rPr>
          <w:rFonts w:eastAsia="Times New Roman" w:cs="Calibri"/>
          <w:b/>
          <w:sz w:val="28"/>
        </w:rPr>
        <w:tab/>
        <w:t xml:space="preserve">Draft new Recommendation ITU-T </w:t>
      </w:r>
      <w:r w:rsidR="00A256EF" w:rsidRPr="0054116D">
        <w:rPr>
          <w:rFonts w:eastAsia="Times New Roman"/>
          <w:b/>
          <w:sz w:val="28"/>
        </w:rPr>
        <w:t xml:space="preserve">Y.4487 (ex </w:t>
      </w:r>
      <w:proofErr w:type="gramStart"/>
      <w:r w:rsidR="00A256EF" w:rsidRPr="0054116D">
        <w:rPr>
          <w:rFonts w:eastAsia="Times New Roman"/>
          <w:b/>
          <w:sz w:val="28"/>
        </w:rPr>
        <w:t>Y.RMDFS</w:t>
      </w:r>
      <w:proofErr w:type="gramEnd"/>
      <w:r w:rsidR="00A256EF" w:rsidRPr="0054116D">
        <w:rPr>
          <w:rFonts w:eastAsia="Times New Roman"/>
          <w:b/>
          <w:sz w:val="28"/>
        </w:rPr>
        <w:t>-arch)</w:t>
      </w:r>
      <w:r w:rsidR="0054116D">
        <w:rPr>
          <w:rFonts w:eastAsia="Times New Roman"/>
          <w:b/>
          <w:sz w:val="28"/>
        </w:rPr>
        <w:t>:</w:t>
      </w:r>
      <w:r w:rsidR="00A256EF" w:rsidRPr="0054116D">
        <w:rPr>
          <w:rFonts w:eastAsia="Times New Roman"/>
          <w:b/>
          <w:sz w:val="28"/>
        </w:rPr>
        <w:t xml:space="preserve"> </w:t>
      </w:r>
      <w:r w:rsidRPr="0054116D">
        <w:rPr>
          <w:rFonts w:eastAsia="Times New Roman" w:cs="Calibri"/>
          <w:b/>
          <w:sz w:val="28"/>
        </w:rPr>
        <w:t>[</w:t>
      </w:r>
      <w:hyperlink r:id="rId16" w:history="1">
        <w:r w:rsidRPr="0054116D">
          <w:rPr>
            <w:rStyle w:val="Hyperlink"/>
            <w:rFonts w:eastAsia="Times New Roman" w:cs="Calibri"/>
            <w:b/>
            <w:sz w:val="28"/>
          </w:rPr>
          <w:t>R</w:t>
        </w:r>
        <w:r w:rsidR="00A256EF" w:rsidRPr="0054116D">
          <w:rPr>
            <w:rStyle w:val="Hyperlink"/>
            <w:rFonts w:eastAsia="Times New Roman" w:cs="Calibri"/>
            <w:b/>
            <w:sz w:val="28"/>
          </w:rPr>
          <w:t>8</w:t>
        </w:r>
      </w:hyperlink>
      <w:r w:rsidRPr="0054116D">
        <w:rPr>
          <w:rFonts w:eastAsia="Times New Roman" w:cs="Calibri"/>
          <w:b/>
          <w:sz w:val="28"/>
        </w:rPr>
        <w:t>]</w:t>
      </w:r>
    </w:p>
    <w:p w14:paraId="77F44695" w14:textId="77777777" w:rsidR="00A256EF" w:rsidRPr="0054116D" w:rsidRDefault="00A256EF" w:rsidP="009D7100">
      <w:pPr>
        <w:keepNext/>
        <w:keepLines/>
        <w:ind w:left="1134" w:hanging="1134"/>
        <w:outlineLvl w:val="1"/>
        <w:rPr>
          <w:rFonts w:eastAsia="Times New Roman" w:cs="Calibri"/>
          <w:b/>
          <w:bCs/>
        </w:rPr>
      </w:pPr>
      <w:r w:rsidRPr="0054116D">
        <w:rPr>
          <w:rFonts w:eastAsia="Times New Roman" w:cs="Calibri"/>
          <w:b/>
          <w:bCs/>
        </w:rPr>
        <w:t>A functional architecture of roadside multi-sensor data fusion systems for autonomous vehicles</w:t>
      </w:r>
    </w:p>
    <w:p w14:paraId="1629A0A5" w14:textId="6FCBC93E" w:rsidR="009D7100" w:rsidRPr="0054116D" w:rsidRDefault="009D7100" w:rsidP="009D7100">
      <w:pPr>
        <w:keepNext/>
        <w:keepLines/>
        <w:ind w:left="1134" w:hanging="1134"/>
        <w:outlineLvl w:val="1"/>
        <w:rPr>
          <w:rFonts w:eastAsia="Times New Roman" w:cs="Calibri"/>
          <w:b/>
        </w:rPr>
      </w:pPr>
      <w:r w:rsidRPr="0054116D">
        <w:rPr>
          <w:rFonts w:eastAsia="Times New Roman" w:cs="Calibri"/>
          <w:b/>
        </w:rPr>
        <w:t>Summary</w:t>
      </w:r>
    </w:p>
    <w:p w14:paraId="082B8B99" w14:textId="77777777" w:rsidR="00A256EF" w:rsidRPr="0054116D" w:rsidRDefault="00A256EF" w:rsidP="005B2095">
      <w:pPr>
        <w:keepNext/>
        <w:keepLines/>
        <w:outlineLvl w:val="0"/>
        <w:rPr>
          <w:rFonts w:eastAsia="Times New Roman"/>
          <w:color w:val="000000"/>
          <w:u w:color="000000"/>
          <w:bdr w:val="nil"/>
          <w:lang w:eastAsia="ko-KR"/>
          <w14:textOutline w14:w="12700" w14:cap="flat" w14:cmpd="sng" w14:algn="ctr">
            <w14:noFill/>
            <w14:prstDash w14:val="solid"/>
            <w14:miter w14:lim="400000"/>
          </w14:textOutline>
        </w:rPr>
      </w:pPr>
      <w:r w:rsidRPr="0054116D">
        <w:rPr>
          <w:rFonts w:eastAsia="Times New Roman"/>
          <w:color w:val="000000"/>
          <w:u w:color="000000"/>
          <w:bdr w:val="nil"/>
          <w:lang w:eastAsia="ko-KR"/>
          <w14:textOutline w14:w="12700" w14:cap="flat" w14:cmpd="sng" w14:algn="ctr">
            <w14:noFill/>
            <w14:prstDash w14:val="solid"/>
            <w14:miter w14:lim="400000"/>
          </w14:textOutline>
        </w:rPr>
        <w:t xml:space="preserve">With the development of autonomous driving, perception methods relying solely on the vehicle's own sensors or on traditional roadside sensing systems that lack sufficient collaboration between devices are no longer sufficient to support higher-level autonomous driving applications. A higher requirement for roadside perception capabilities is therefore proposed. The roadside multi-sensor data fusion system (RMDFS) can provide new functionalities which will contribute to enhancing roadside perception capabilities by combining different types of roadside sensing devices such as cameras, lidars, millimetre wave radars, etc. according to their characteristics, and perform unified management and coordination </w:t>
      </w:r>
      <w:proofErr w:type="gramStart"/>
      <w:r w:rsidRPr="0054116D">
        <w:rPr>
          <w:rFonts w:eastAsia="Times New Roman"/>
          <w:color w:val="000000"/>
          <w:u w:color="000000"/>
          <w:bdr w:val="nil"/>
          <w:lang w:eastAsia="ko-KR"/>
          <w14:textOutline w14:w="12700" w14:cap="flat" w14:cmpd="sng" w14:algn="ctr">
            <w14:noFill/>
            <w14:prstDash w14:val="solid"/>
            <w14:miter w14:lim="400000"/>
          </w14:textOutline>
        </w:rPr>
        <w:t>so as to</w:t>
      </w:r>
      <w:proofErr w:type="gramEnd"/>
      <w:r w:rsidRPr="0054116D">
        <w:rPr>
          <w:rFonts w:eastAsia="Times New Roman"/>
          <w:color w:val="000000"/>
          <w:u w:color="000000"/>
          <w:bdr w:val="nil"/>
          <w:lang w:eastAsia="ko-KR"/>
          <w14:textOutline w14:w="12700" w14:cap="flat" w14:cmpd="sng" w14:algn="ctr">
            <w14:noFill/>
            <w14:prstDash w14:val="solid"/>
            <w14:miter w14:lim="400000"/>
          </w14:textOutline>
        </w:rPr>
        <w:t xml:space="preserve"> achieve accurate perception of road information, and support for autonomous driving applications.</w:t>
      </w:r>
    </w:p>
    <w:p w14:paraId="59FC013C" w14:textId="77777777" w:rsidR="00A256EF" w:rsidRPr="0054116D" w:rsidRDefault="00A256EF" w:rsidP="005B2095">
      <w:pPr>
        <w:keepNext/>
        <w:keepLines/>
        <w:outlineLvl w:val="0"/>
        <w:rPr>
          <w:rFonts w:eastAsia="Times New Roman"/>
          <w:color w:val="000000"/>
          <w:u w:color="000000"/>
          <w:bdr w:val="nil"/>
          <w:lang w:eastAsia="ko-KR"/>
          <w14:textOutline w14:w="12700" w14:cap="flat" w14:cmpd="sng" w14:algn="ctr">
            <w14:noFill/>
            <w14:prstDash w14:val="solid"/>
            <w14:miter w14:lim="400000"/>
          </w14:textOutline>
        </w:rPr>
      </w:pPr>
      <w:r w:rsidRPr="0054116D">
        <w:rPr>
          <w:rFonts w:eastAsia="Times New Roman"/>
          <w:color w:val="000000"/>
          <w:u w:color="000000"/>
          <w:bdr w:val="nil"/>
          <w:lang w:eastAsia="ko-KR"/>
          <w14:textOutline w14:w="12700" w14:cap="flat" w14:cmpd="sng" w14:algn="ctr">
            <w14:noFill/>
            <w14:prstDash w14:val="solid"/>
            <w14:miter w14:lim="400000"/>
          </w14:textOutline>
        </w:rPr>
        <w:t xml:space="preserve">Recommendation ITU-T Y.4487 defines a reference functional architecture of roadside multi-sensor data fusion systems. It clarifies the concept and components of the </w:t>
      </w:r>
      <w:proofErr w:type="gramStart"/>
      <w:r w:rsidRPr="0054116D">
        <w:rPr>
          <w:rFonts w:eastAsia="Times New Roman"/>
          <w:color w:val="000000"/>
          <w:u w:color="000000"/>
          <w:bdr w:val="nil"/>
          <w:lang w:eastAsia="ko-KR"/>
          <w14:textOutline w14:w="12700" w14:cap="flat" w14:cmpd="sng" w14:algn="ctr">
            <w14:noFill/>
            <w14:prstDash w14:val="solid"/>
            <w14:miter w14:lim="400000"/>
          </w14:textOutline>
        </w:rPr>
        <w:t>systems, and</w:t>
      </w:r>
      <w:proofErr w:type="gramEnd"/>
      <w:r w:rsidRPr="0054116D">
        <w:rPr>
          <w:rFonts w:eastAsia="Times New Roman"/>
          <w:color w:val="000000"/>
          <w:u w:color="000000"/>
          <w:bdr w:val="nil"/>
          <w:lang w:eastAsia="ko-KR"/>
          <w14:textOutline w14:w="12700" w14:cap="flat" w14:cmpd="sng" w14:algn="ctr">
            <w14:noFill/>
            <w14:prstDash w14:val="solid"/>
            <w14:miter w14:lim="400000"/>
          </w14:textOutline>
        </w:rPr>
        <w:t xml:space="preserve"> specifies the key functional entities of the systems and the reference points between the functional entities. Use cases based on roadside multi-sensor data fusion systems are also provided in the appendix.</w:t>
      </w:r>
    </w:p>
    <w:p w14:paraId="6FF1E678" w14:textId="6D4B19E8" w:rsidR="009D7100" w:rsidRPr="00634658" w:rsidRDefault="009D7100" w:rsidP="00A256EF">
      <w:pPr>
        <w:keepNext/>
        <w:keepLines/>
        <w:spacing w:before="280"/>
        <w:ind w:left="1134" w:hanging="1134"/>
        <w:outlineLvl w:val="0"/>
        <w:rPr>
          <w:rFonts w:eastAsia="Times New Roman" w:cs="Calibri"/>
          <w:b/>
          <w:sz w:val="28"/>
          <w:lang w:val="fr-CH"/>
        </w:rPr>
      </w:pPr>
      <w:r w:rsidRPr="00634658">
        <w:rPr>
          <w:rFonts w:eastAsia="Times New Roman" w:cs="Calibri"/>
          <w:b/>
          <w:sz w:val="28"/>
          <w:lang w:val="fr-CH"/>
        </w:rPr>
        <w:t>5</w:t>
      </w:r>
      <w:r w:rsidRPr="00634658">
        <w:rPr>
          <w:rFonts w:eastAsia="Times New Roman" w:cs="Calibri"/>
          <w:b/>
          <w:sz w:val="28"/>
          <w:lang w:val="fr-CH"/>
        </w:rPr>
        <w:tab/>
        <w:t xml:space="preserve">Draft new </w:t>
      </w:r>
      <w:proofErr w:type="spellStart"/>
      <w:r w:rsidRPr="00634658">
        <w:rPr>
          <w:rFonts w:eastAsia="Times New Roman" w:cs="Calibri"/>
          <w:b/>
          <w:sz w:val="28"/>
          <w:lang w:val="fr-CH"/>
        </w:rPr>
        <w:t>Recommendation</w:t>
      </w:r>
      <w:proofErr w:type="spellEnd"/>
      <w:r w:rsidRPr="00634658">
        <w:rPr>
          <w:rFonts w:eastAsia="Times New Roman" w:cs="Calibri"/>
          <w:b/>
          <w:sz w:val="28"/>
          <w:lang w:val="fr-CH"/>
        </w:rPr>
        <w:t xml:space="preserve"> ITU-T </w:t>
      </w:r>
      <w:r w:rsidR="0024614D" w:rsidRPr="00634658">
        <w:rPr>
          <w:rFonts w:eastAsia="Times New Roman"/>
          <w:b/>
          <w:sz w:val="28"/>
          <w:lang w:val="fr-CH"/>
        </w:rPr>
        <w:t xml:space="preserve">Y.4488 (ex </w:t>
      </w:r>
      <w:proofErr w:type="spellStart"/>
      <w:proofErr w:type="gramStart"/>
      <w:r w:rsidR="0024614D" w:rsidRPr="00634658">
        <w:rPr>
          <w:rFonts w:eastAsia="Times New Roman"/>
          <w:b/>
          <w:sz w:val="28"/>
          <w:lang w:val="fr-CH"/>
        </w:rPr>
        <w:t>Y.IoT</w:t>
      </w:r>
      <w:proofErr w:type="gramEnd"/>
      <w:r w:rsidR="0024614D" w:rsidRPr="00634658">
        <w:rPr>
          <w:rFonts w:eastAsia="Times New Roman"/>
          <w:b/>
          <w:sz w:val="28"/>
          <w:lang w:val="fr-CH"/>
        </w:rPr>
        <w:t>-SPWE</w:t>
      </w:r>
      <w:proofErr w:type="spellEnd"/>
      <w:r w:rsidR="0024614D" w:rsidRPr="00634658">
        <w:rPr>
          <w:rFonts w:eastAsia="Times New Roman"/>
          <w:b/>
          <w:sz w:val="28"/>
          <w:lang w:val="fr-CH"/>
        </w:rPr>
        <w:t>)</w:t>
      </w:r>
      <w:r w:rsidR="0054116D" w:rsidRPr="00634658">
        <w:rPr>
          <w:rFonts w:eastAsia="Times New Roman"/>
          <w:b/>
          <w:sz w:val="28"/>
          <w:lang w:val="fr-CH"/>
        </w:rPr>
        <w:t>:</w:t>
      </w:r>
      <w:r w:rsidR="0024614D" w:rsidRPr="00634658">
        <w:rPr>
          <w:rFonts w:eastAsia="Times New Roman"/>
          <w:b/>
          <w:sz w:val="28"/>
          <w:lang w:val="fr-CH"/>
        </w:rPr>
        <w:t xml:space="preserve"> </w:t>
      </w:r>
      <w:r w:rsidRPr="00634658">
        <w:rPr>
          <w:rFonts w:eastAsia="Times New Roman" w:cs="Calibri"/>
          <w:b/>
          <w:sz w:val="28"/>
          <w:lang w:val="fr-CH"/>
        </w:rPr>
        <w:t>[</w:t>
      </w:r>
      <w:hyperlink r:id="rId17" w:history="1">
        <w:r w:rsidRPr="00634658">
          <w:rPr>
            <w:rStyle w:val="Hyperlink"/>
            <w:rFonts w:eastAsia="Times New Roman" w:cs="Calibri"/>
            <w:b/>
            <w:sz w:val="28"/>
            <w:lang w:val="fr-CH"/>
          </w:rPr>
          <w:t>R</w:t>
        </w:r>
        <w:r w:rsidR="0024614D" w:rsidRPr="00634658">
          <w:rPr>
            <w:rStyle w:val="Hyperlink"/>
            <w:rFonts w:eastAsia="Times New Roman" w:cs="Calibri"/>
            <w:b/>
            <w:sz w:val="28"/>
            <w:lang w:val="fr-CH"/>
          </w:rPr>
          <w:t>9</w:t>
        </w:r>
      </w:hyperlink>
      <w:r w:rsidRPr="00634658">
        <w:rPr>
          <w:rFonts w:eastAsia="Times New Roman" w:cs="Calibri"/>
          <w:b/>
          <w:sz w:val="28"/>
          <w:lang w:val="fr-CH"/>
        </w:rPr>
        <w:t>]</w:t>
      </w:r>
    </w:p>
    <w:p w14:paraId="24041BE0" w14:textId="77777777" w:rsidR="0024614D" w:rsidRPr="0054116D" w:rsidRDefault="0024614D" w:rsidP="009D7100">
      <w:pPr>
        <w:keepNext/>
        <w:keepLines/>
        <w:ind w:left="1134" w:hanging="1134"/>
        <w:outlineLvl w:val="1"/>
        <w:rPr>
          <w:rFonts w:eastAsia="Times New Roman" w:cs="Calibri"/>
          <w:b/>
          <w:bCs/>
        </w:rPr>
      </w:pPr>
      <w:r w:rsidRPr="0054116D">
        <w:rPr>
          <w:rFonts w:eastAsia="Times New Roman" w:cs="Calibri"/>
          <w:b/>
          <w:bCs/>
        </w:rPr>
        <w:t>Framework of IoT service for safety protection of working environments</w:t>
      </w:r>
    </w:p>
    <w:p w14:paraId="247E4807" w14:textId="4D968F4B" w:rsidR="009D7100" w:rsidRPr="0054116D" w:rsidRDefault="009D7100" w:rsidP="009D7100">
      <w:pPr>
        <w:keepNext/>
        <w:keepLines/>
        <w:ind w:left="1134" w:hanging="1134"/>
        <w:outlineLvl w:val="1"/>
        <w:rPr>
          <w:rFonts w:eastAsia="Times New Roman" w:cs="Calibri"/>
          <w:b/>
        </w:rPr>
      </w:pPr>
      <w:r w:rsidRPr="0054116D">
        <w:rPr>
          <w:rFonts w:eastAsia="Times New Roman" w:cs="Calibri"/>
          <w:b/>
        </w:rPr>
        <w:t>Summary</w:t>
      </w:r>
    </w:p>
    <w:p w14:paraId="2E0E9FCE" w14:textId="77777777" w:rsidR="0024614D" w:rsidRPr="0054116D" w:rsidRDefault="0024614D" w:rsidP="0024614D">
      <w:pPr>
        <w:keepNext/>
        <w:keepLines/>
        <w:tabs>
          <w:tab w:val="clear" w:pos="1191"/>
          <w:tab w:val="left" w:pos="0"/>
        </w:tabs>
        <w:outlineLvl w:val="0"/>
        <w:rPr>
          <w:rFonts w:eastAsia="Times New Roman"/>
          <w:color w:val="000000"/>
          <w:u w:color="000000"/>
          <w:bdr w:val="nil"/>
          <w:lang w:eastAsia="ko-KR"/>
          <w14:textOutline w14:w="12700" w14:cap="flat" w14:cmpd="sng" w14:algn="ctr">
            <w14:noFill/>
            <w14:prstDash w14:val="solid"/>
            <w14:miter w14:lim="400000"/>
          </w14:textOutline>
        </w:rPr>
      </w:pPr>
      <w:r w:rsidRPr="0054116D">
        <w:rPr>
          <w:rFonts w:eastAsia="Times New Roman"/>
          <w:color w:val="000000"/>
          <w:u w:color="000000"/>
          <w:bdr w:val="nil"/>
          <w:lang w:eastAsia="ko-KR"/>
          <w14:textOutline w14:w="12700" w14:cap="flat" w14:cmpd="sng" w14:algn="ctr">
            <w14:noFill/>
            <w14:prstDash w14:val="solid"/>
            <w14:miter w14:lim="400000"/>
          </w14:textOutline>
        </w:rPr>
        <w:t>This Recommendation specifies the framework of Internet of things (IoT) service for the safety protection of working environments.</w:t>
      </w:r>
    </w:p>
    <w:p w14:paraId="54D36C5C" w14:textId="77777777" w:rsidR="0024614D" w:rsidRPr="0054116D" w:rsidRDefault="0024614D" w:rsidP="0024614D">
      <w:pPr>
        <w:keepNext/>
        <w:keepLines/>
        <w:tabs>
          <w:tab w:val="clear" w:pos="1191"/>
          <w:tab w:val="left" w:pos="0"/>
        </w:tabs>
        <w:outlineLvl w:val="0"/>
        <w:rPr>
          <w:rFonts w:eastAsia="Times New Roman"/>
          <w:color w:val="000000"/>
          <w:u w:color="000000"/>
          <w:bdr w:val="nil"/>
          <w:lang w:eastAsia="ko-KR"/>
          <w14:textOutline w14:w="12700" w14:cap="flat" w14:cmpd="sng" w14:algn="ctr">
            <w14:noFill/>
            <w14:prstDash w14:val="solid"/>
            <w14:miter w14:lim="400000"/>
          </w14:textOutline>
        </w:rPr>
      </w:pPr>
      <w:r w:rsidRPr="0054116D">
        <w:rPr>
          <w:rFonts w:eastAsia="Times New Roman"/>
          <w:color w:val="000000"/>
          <w:u w:color="000000"/>
          <w:bdr w:val="nil"/>
          <w:lang w:eastAsia="ko-KR"/>
          <w14:textOutline w14:w="12700" w14:cap="flat" w14:cmpd="sng" w14:algn="ctr">
            <w14:noFill/>
            <w14:prstDash w14:val="solid"/>
            <w14:miter w14:lim="400000"/>
          </w14:textOutline>
        </w:rPr>
        <w:t xml:space="preserve">By deploying IoT services, the working environment makes use of the IoT technologies to collect information remotely, identify risky behaviour, equipment coordination, etc. These technologies could support intelligent services such as safety protection information monitoring including workers and environment, predictive maintenance, etc., which can help to reduce incidents and casualties and improve the safety level of working environments. </w:t>
      </w:r>
    </w:p>
    <w:p w14:paraId="2FF7A9EA" w14:textId="6A341574" w:rsidR="009D7100" w:rsidRPr="0054116D" w:rsidRDefault="009D7100" w:rsidP="0024614D">
      <w:pPr>
        <w:keepNext/>
        <w:keepLines/>
        <w:spacing w:before="280"/>
        <w:ind w:left="1134" w:hanging="1134"/>
        <w:outlineLvl w:val="0"/>
        <w:rPr>
          <w:rFonts w:eastAsia="Times New Roman" w:cs="Calibri"/>
          <w:b/>
          <w:sz w:val="28"/>
          <w:lang w:val="fr-CH"/>
        </w:rPr>
      </w:pPr>
      <w:r w:rsidRPr="0054116D">
        <w:rPr>
          <w:rFonts w:eastAsia="Times New Roman" w:cs="Calibri"/>
          <w:b/>
          <w:sz w:val="28"/>
          <w:lang w:val="fr-CH"/>
        </w:rPr>
        <w:lastRenderedPageBreak/>
        <w:t>6</w:t>
      </w:r>
      <w:r w:rsidRPr="0054116D">
        <w:rPr>
          <w:rFonts w:eastAsia="Times New Roman" w:cs="Calibri"/>
          <w:b/>
          <w:sz w:val="28"/>
          <w:lang w:val="fr-CH"/>
        </w:rPr>
        <w:tab/>
        <w:t xml:space="preserve">Draft new </w:t>
      </w:r>
      <w:proofErr w:type="spellStart"/>
      <w:r w:rsidRPr="0054116D">
        <w:rPr>
          <w:rFonts w:eastAsia="Times New Roman" w:cs="Calibri"/>
          <w:b/>
          <w:sz w:val="28"/>
          <w:lang w:val="fr-CH"/>
        </w:rPr>
        <w:t>Recommendation</w:t>
      </w:r>
      <w:proofErr w:type="spellEnd"/>
      <w:r w:rsidRPr="0054116D">
        <w:rPr>
          <w:rFonts w:eastAsia="Times New Roman" w:cs="Calibri"/>
          <w:b/>
          <w:sz w:val="28"/>
          <w:lang w:val="fr-CH"/>
        </w:rPr>
        <w:t xml:space="preserve"> ITU-T </w:t>
      </w:r>
      <w:r w:rsidR="0024614D" w:rsidRPr="0054116D">
        <w:rPr>
          <w:rFonts w:eastAsia="Times New Roman"/>
          <w:b/>
          <w:sz w:val="28"/>
          <w:lang w:val="fr-CH"/>
        </w:rPr>
        <w:t xml:space="preserve">Y.4604 (ex </w:t>
      </w:r>
      <w:proofErr w:type="spellStart"/>
      <w:proofErr w:type="gramStart"/>
      <w:r w:rsidR="0024614D" w:rsidRPr="0054116D">
        <w:rPr>
          <w:rFonts w:eastAsia="Times New Roman"/>
          <w:b/>
          <w:sz w:val="28"/>
          <w:lang w:val="fr-CH"/>
        </w:rPr>
        <w:t>Y.IoT</w:t>
      </w:r>
      <w:proofErr w:type="gramEnd"/>
      <w:r w:rsidR="0024614D" w:rsidRPr="0054116D">
        <w:rPr>
          <w:rFonts w:eastAsia="Times New Roman"/>
          <w:b/>
          <w:sz w:val="28"/>
          <w:lang w:val="fr-CH"/>
        </w:rPr>
        <w:t>-MCSI</w:t>
      </w:r>
      <w:proofErr w:type="spellEnd"/>
      <w:r w:rsidR="0024614D" w:rsidRPr="0054116D">
        <w:rPr>
          <w:rFonts w:eastAsia="Times New Roman"/>
          <w:b/>
          <w:sz w:val="28"/>
          <w:lang w:val="fr-CH"/>
        </w:rPr>
        <w:t>)</w:t>
      </w:r>
      <w:r w:rsidR="0054116D">
        <w:rPr>
          <w:rFonts w:eastAsia="Times New Roman"/>
          <w:b/>
          <w:sz w:val="28"/>
          <w:lang w:val="fr-CH"/>
        </w:rPr>
        <w:t>:</w:t>
      </w:r>
      <w:r w:rsidR="0024614D" w:rsidRPr="0054116D">
        <w:rPr>
          <w:rFonts w:eastAsia="Times New Roman"/>
          <w:b/>
          <w:sz w:val="28"/>
          <w:lang w:val="fr-CH"/>
        </w:rPr>
        <w:t xml:space="preserve"> </w:t>
      </w:r>
      <w:r w:rsidRPr="0054116D">
        <w:rPr>
          <w:rFonts w:eastAsia="Times New Roman" w:cs="Calibri"/>
          <w:b/>
          <w:sz w:val="28"/>
          <w:lang w:val="fr-CH"/>
        </w:rPr>
        <w:t>[</w:t>
      </w:r>
      <w:hyperlink r:id="rId18" w:history="1">
        <w:r w:rsidRPr="0054116D">
          <w:rPr>
            <w:rStyle w:val="Hyperlink"/>
            <w:rFonts w:eastAsia="Times New Roman" w:cs="Calibri"/>
            <w:b/>
            <w:sz w:val="28"/>
            <w:lang w:val="fr-CH"/>
          </w:rPr>
          <w:t>R</w:t>
        </w:r>
        <w:r w:rsidR="0024614D" w:rsidRPr="0054116D">
          <w:rPr>
            <w:rStyle w:val="Hyperlink"/>
            <w:rFonts w:eastAsia="Times New Roman" w:cs="Calibri"/>
            <w:b/>
            <w:sz w:val="28"/>
            <w:lang w:val="fr-CH"/>
          </w:rPr>
          <w:t>10</w:t>
        </w:r>
      </w:hyperlink>
      <w:r w:rsidRPr="0054116D">
        <w:rPr>
          <w:rFonts w:eastAsia="Times New Roman" w:cs="Calibri"/>
          <w:b/>
          <w:sz w:val="28"/>
          <w:lang w:val="fr-CH"/>
        </w:rPr>
        <w:t>]</w:t>
      </w:r>
    </w:p>
    <w:p w14:paraId="54670997" w14:textId="77777777" w:rsidR="0024614D" w:rsidRPr="0054116D" w:rsidRDefault="0024614D" w:rsidP="009D7100">
      <w:pPr>
        <w:keepNext/>
        <w:keepLines/>
        <w:ind w:left="1134" w:hanging="1134"/>
        <w:outlineLvl w:val="1"/>
        <w:rPr>
          <w:rFonts w:eastAsia="Times New Roman" w:cs="Calibri"/>
          <w:b/>
          <w:bCs/>
        </w:rPr>
      </w:pPr>
      <w:r w:rsidRPr="0054116D">
        <w:rPr>
          <w:rFonts w:eastAsia="Times New Roman" w:cs="Calibri"/>
          <w:b/>
          <w:bCs/>
        </w:rPr>
        <w:t xml:space="preserve">Metadata for camera sensing information of autonomous mobile IoT devices </w:t>
      </w:r>
    </w:p>
    <w:p w14:paraId="2BCA2036" w14:textId="78FE71F7" w:rsidR="009D7100" w:rsidRPr="0054116D" w:rsidRDefault="009D7100" w:rsidP="009D7100">
      <w:pPr>
        <w:keepNext/>
        <w:keepLines/>
        <w:ind w:left="1134" w:hanging="1134"/>
        <w:outlineLvl w:val="1"/>
        <w:rPr>
          <w:rFonts w:eastAsia="Times New Roman" w:cs="Calibri"/>
          <w:b/>
        </w:rPr>
      </w:pPr>
      <w:r w:rsidRPr="0054116D">
        <w:rPr>
          <w:rFonts w:eastAsia="Times New Roman" w:cs="Calibri"/>
          <w:b/>
        </w:rPr>
        <w:t>Summary</w:t>
      </w:r>
    </w:p>
    <w:p w14:paraId="047D9A51" w14:textId="77777777" w:rsidR="0024614D" w:rsidRPr="0054116D" w:rsidRDefault="0024614D" w:rsidP="0024614D">
      <w:pPr>
        <w:jc w:val="both"/>
        <w:rPr>
          <w:rFonts w:eastAsia="Malgun Gothic"/>
        </w:rPr>
      </w:pPr>
      <w:r w:rsidRPr="0054116D">
        <w:rPr>
          <w:lang w:eastAsia="zh-CN"/>
        </w:rPr>
        <w:t xml:space="preserve">In the case of low-cost and low-resolution Internet of things (IoT) camera sensor devices, it is not possible to support full-featured camera sensing information due to resource-limited IoT device capabilities. Traditional full-performance digital camera devices provide complex metadata such as camera settings (stimulus, sensitivity, shutter speed, etc.), time, location information, camera model, etc. </w:t>
      </w:r>
    </w:p>
    <w:p w14:paraId="6195BE69" w14:textId="77777777" w:rsidR="0024614D" w:rsidRPr="0054116D" w:rsidRDefault="0024614D" w:rsidP="0024614D">
      <w:pPr>
        <w:jc w:val="both"/>
        <w:rPr>
          <w:lang w:eastAsia="zh-CN"/>
        </w:rPr>
      </w:pPr>
      <w:r w:rsidRPr="0054116D">
        <w:rPr>
          <w:lang w:eastAsia="zh-CN"/>
        </w:rPr>
        <w:t>There is no guidance for compliant and compromised IoT camera sensing metadata from different manufacturers. This causes problems related to interchangeable metadata. It is essential therefore to provide basic and minimal camera sensing metadata to enable interoperability between IoT applications and services.</w:t>
      </w:r>
    </w:p>
    <w:p w14:paraId="48B6A9B2" w14:textId="77777777" w:rsidR="0024614D" w:rsidRPr="0054116D" w:rsidRDefault="0024614D" w:rsidP="0024614D">
      <w:pPr>
        <w:jc w:val="both"/>
        <w:rPr>
          <w:shd w:val="clear" w:color="auto" w:fill="FFFFFF"/>
          <w:lang w:bidi="ar"/>
        </w:rPr>
      </w:pPr>
      <w:r w:rsidRPr="0054116D">
        <w:rPr>
          <w:lang w:eastAsia="ko-KR"/>
        </w:rPr>
        <w:t xml:space="preserve">Recommendation ITU-T Y.4604 </w:t>
      </w:r>
      <w:r w:rsidRPr="0054116D">
        <w:t>defines m</w:t>
      </w:r>
      <w:r w:rsidRPr="0054116D">
        <w:rPr>
          <w:rFonts w:eastAsia="Malgun Gothic"/>
          <w:lang w:eastAsia="ko-KR"/>
        </w:rPr>
        <w:t xml:space="preserve">etadata for camera sensing information (MCSI) </w:t>
      </w:r>
      <w:r w:rsidRPr="0054116D">
        <w:t>and describes c</w:t>
      </w:r>
      <w:r w:rsidRPr="0054116D">
        <w:rPr>
          <w:rFonts w:eastAsia="Malgun Gothic"/>
          <w:lang w:eastAsia="ko-KR"/>
        </w:rPr>
        <w:t>haracteristics and features of individual MCSI</w:t>
      </w:r>
      <w:r w:rsidRPr="0054116D">
        <w:rPr>
          <w:rFonts w:eastAsia="Malgun Gothic"/>
          <w:kern w:val="2"/>
          <w:lang w:eastAsia="ko-KR"/>
        </w:rPr>
        <w:t xml:space="preserve"> working on autonomous mobile IoT devices (AMIDs)</w:t>
      </w:r>
      <w:r w:rsidRPr="0054116D">
        <w:rPr>
          <w:lang w:eastAsia="ko-KR"/>
        </w:rPr>
        <w:t>.</w:t>
      </w:r>
    </w:p>
    <w:p w14:paraId="2709041A" w14:textId="77777777" w:rsidR="009D7100" w:rsidRPr="0054116D" w:rsidRDefault="009D7100" w:rsidP="00B60460">
      <w:pPr>
        <w:keepNext/>
        <w:keepLines/>
        <w:spacing w:after="280"/>
        <w:jc w:val="center"/>
        <w:rPr>
          <w:rFonts w:eastAsia="Times New Roman"/>
          <w:b/>
          <w:sz w:val="28"/>
        </w:rPr>
      </w:pPr>
    </w:p>
    <w:p w14:paraId="34A8EE5D" w14:textId="47C9E2A7" w:rsidR="00B60460" w:rsidRPr="0054116D" w:rsidRDefault="00B60460" w:rsidP="00B60460">
      <w:pPr>
        <w:keepNext/>
        <w:keepLines/>
        <w:spacing w:after="280"/>
        <w:jc w:val="center"/>
        <w:rPr>
          <w:rFonts w:eastAsia="Times New Roman"/>
          <w:b/>
          <w:sz w:val="28"/>
        </w:rPr>
      </w:pPr>
      <w:r w:rsidRPr="0078395B">
        <w:rPr>
          <w:rFonts w:eastAsia="Times New Roman"/>
          <w:b/>
          <w:sz w:val="28"/>
          <w:highlight w:val="yellow"/>
        </w:rPr>
        <w:br w:type="page"/>
      </w:r>
      <w:r w:rsidRPr="0054116D">
        <w:rPr>
          <w:rFonts w:eastAsia="Times New Roman"/>
          <w:b/>
          <w:sz w:val="28"/>
        </w:rPr>
        <w:lastRenderedPageBreak/>
        <w:t>Annex 2</w:t>
      </w:r>
    </w:p>
    <w:p w14:paraId="4FCD2C38" w14:textId="3748605D" w:rsidR="00B60460" w:rsidRPr="0078395B" w:rsidRDefault="00B60460" w:rsidP="00B60460">
      <w:pPr>
        <w:keepNext/>
        <w:keepLines/>
        <w:spacing w:before="240" w:after="280"/>
        <w:jc w:val="center"/>
        <w:rPr>
          <w:rFonts w:eastAsia="Times New Roman"/>
          <w:b/>
          <w:sz w:val="28"/>
          <w:highlight w:val="yellow"/>
        </w:rPr>
      </w:pPr>
      <w:r w:rsidRPr="0054116D">
        <w:rPr>
          <w:rFonts w:eastAsia="Times New Roman"/>
          <w:b/>
          <w:sz w:val="28"/>
        </w:rPr>
        <w:t>Subject: Member State response to TSB Circular</w:t>
      </w:r>
      <w:r w:rsidR="0054116D" w:rsidRPr="0054116D">
        <w:rPr>
          <w:rFonts w:eastAsia="Times New Roman"/>
          <w:b/>
          <w:sz w:val="28"/>
        </w:rPr>
        <w:t xml:space="preserve"> </w:t>
      </w:r>
      <w:r w:rsidR="00A43097" w:rsidRPr="00A43097">
        <w:rPr>
          <w:rFonts w:eastAsia="Times New Roman"/>
          <w:b/>
          <w:sz w:val="28"/>
        </w:rPr>
        <w:t>96</w:t>
      </w:r>
      <w:r w:rsidRPr="00A43097">
        <w:rPr>
          <w:rFonts w:eastAsia="Times New Roman"/>
          <w:b/>
          <w:sz w:val="28"/>
        </w:rPr>
        <w:t>:</w:t>
      </w:r>
      <w:r w:rsidRPr="00A43097">
        <w:rPr>
          <w:rFonts w:eastAsia="Times New Roman"/>
          <w:b/>
          <w:sz w:val="28"/>
        </w:rPr>
        <w:br/>
        <w:t xml:space="preserve">Consultation on Determined draft new Recommendations </w:t>
      </w:r>
      <w:r w:rsidR="00256582" w:rsidRPr="00A43097">
        <w:rPr>
          <w:rFonts w:eastAsia="Times New Roman"/>
          <w:b/>
          <w:sz w:val="28"/>
        </w:rPr>
        <w:t xml:space="preserve">ITU-T </w:t>
      </w:r>
      <w:r w:rsidR="0054116D" w:rsidRPr="00A43097">
        <w:rPr>
          <w:rFonts w:eastAsia="Times New Roman"/>
          <w:b/>
          <w:sz w:val="28"/>
        </w:rPr>
        <w:t>Y</w:t>
      </w:r>
      <w:r w:rsidR="0054116D" w:rsidRPr="0054116D">
        <w:rPr>
          <w:rFonts w:eastAsia="Times New Roman"/>
          <w:b/>
          <w:sz w:val="28"/>
        </w:rPr>
        <w:t xml:space="preserve">.4221 (ex </w:t>
      </w:r>
      <w:proofErr w:type="spellStart"/>
      <w:r w:rsidR="0054116D" w:rsidRPr="0054116D">
        <w:rPr>
          <w:rFonts w:eastAsia="Times New Roman"/>
          <w:b/>
          <w:sz w:val="28"/>
        </w:rPr>
        <w:t>Y.ElecMon-Reqts</w:t>
      </w:r>
      <w:proofErr w:type="spellEnd"/>
      <w:r w:rsidR="0054116D" w:rsidRPr="0054116D">
        <w:rPr>
          <w:rFonts w:eastAsia="Times New Roman"/>
          <w:b/>
          <w:sz w:val="28"/>
        </w:rPr>
        <w:t xml:space="preserve">), Y.4222 (ex </w:t>
      </w:r>
      <w:proofErr w:type="spellStart"/>
      <w:r w:rsidR="0054116D" w:rsidRPr="0054116D">
        <w:rPr>
          <w:rFonts w:eastAsia="Times New Roman"/>
          <w:b/>
          <w:sz w:val="28"/>
        </w:rPr>
        <w:t>Y.smart</w:t>
      </w:r>
      <w:proofErr w:type="spellEnd"/>
      <w:r w:rsidR="0054116D" w:rsidRPr="0054116D">
        <w:rPr>
          <w:rFonts w:eastAsia="Times New Roman"/>
          <w:b/>
          <w:sz w:val="28"/>
        </w:rPr>
        <w:t>-evacuation), Y.4223 (ex Y.SCC-</w:t>
      </w:r>
      <w:proofErr w:type="spellStart"/>
      <w:r w:rsidR="0054116D" w:rsidRPr="0054116D">
        <w:rPr>
          <w:rFonts w:eastAsia="Times New Roman"/>
          <w:b/>
          <w:sz w:val="28"/>
        </w:rPr>
        <w:t>Reqts</w:t>
      </w:r>
      <w:proofErr w:type="spellEnd"/>
      <w:r w:rsidR="0054116D" w:rsidRPr="0054116D">
        <w:rPr>
          <w:rFonts w:eastAsia="Times New Roman"/>
          <w:b/>
          <w:sz w:val="28"/>
        </w:rPr>
        <w:t xml:space="preserve">), Y.4487 (ex Y.RMDFS-arch), Y.4488 (ex </w:t>
      </w:r>
      <w:proofErr w:type="spellStart"/>
      <w:r w:rsidR="0054116D" w:rsidRPr="0054116D">
        <w:rPr>
          <w:rFonts w:eastAsia="Times New Roman"/>
          <w:b/>
          <w:sz w:val="28"/>
        </w:rPr>
        <w:t>Y.IoT</w:t>
      </w:r>
      <w:proofErr w:type="spellEnd"/>
      <w:r w:rsidR="0054116D" w:rsidRPr="0054116D">
        <w:rPr>
          <w:rFonts w:eastAsia="Times New Roman"/>
          <w:b/>
          <w:sz w:val="28"/>
        </w:rPr>
        <w:t xml:space="preserve">-SPWE) and Y.4604 (ex </w:t>
      </w:r>
      <w:proofErr w:type="spellStart"/>
      <w:r w:rsidR="0054116D" w:rsidRPr="0054116D">
        <w:rPr>
          <w:rFonts w:eastAsia="Times New Roman"/>
          <w:b/>
          <w:sz w:val="28"/>
        </w:rPr>
        <w:t>Y.IoT</w:t>
      </w:r>
      <w:proofErr w:type="spellEnd"/>
      <w:r w:rsidR="0054116D" w:rsidRPr="0054116D">
        <w:rPr>
          <w:rFonts w:eastAsia="Times New Roman"/>
          <w:b/>
          <w:sz w:val="28"/>
        </w:rPr>
        <w:t>-MCSI)</w:t>
      </w:r>
    </w:p>
    <w:tbl>
      <w:tblPr>
        <w:tblW w:w="9957" w:type="dxa"/>
        <w:tblInd w:w="-176" w:type="dxa"/>
        <w:tblLayout w:type="fixed"/>
        <w:tblLook w:val="04A0" w:firstRow="1" w:lastRow="0" w:firstColumn="1" w:lastColumn="0" w:noHBand="0" w:noVBand="1"/>
      </w:tblPr>
      <w:tblGrid>
        <w:gridCol w:w="1005"/>
        <w:gridCol w:w="4558"/>
        <w:gridCol w:w="992"/>
        <w:gridCol w:w="3402"/>
      </w:tblGrid>
      <w:tr w:rsidR="00B60460" w:rsidRPr="0078395B" w14:paraId="6FE50E3D" w14:textId="77777777" w:rsidTr="004A76B1">
        <w:tc>
          <w:tcPr>
            <w:tcW w:w="1005" w:type="dxa"/>
            <w:shd w:val="clear" w:color="auto" w:fill="auto"/>
          </w:tcPr>
          <w:p w14:paraId="0D26304C" w14:textId="77777777" w:rsidR="00B60460" w:rsidRPr="0054116D" w:rsidRDefault="00B60460" w:rsidP="00B60460">
            <w:pPr>
              <w:jc w:val="right"/>
              <w:rPr>
                <w:rFonts w:eastAsia="Times New Roman"/>
                <w:szCs w:val="24"/>
              </w:rPr>
            </w:pPr>
            <w:r w:rsidRPr="0054116D">
              <w:rPr>
                <w:rFonts w:eastAsia="Times New Roman"/>
                <w:b/>
                <w:bCs/>
                <w:szCs w:val="24"/>
              </w:rPr>
              <w:t>To</w:t>
            </w:r>
            <w:r w:rsidRPr="0054116D">
              <w:rPr>
                <w:rFonts w:eastAsia="Times New Roman"/>
                <w:szCs w:val="24"/>
              </w:rPr>
              <w:t>:</w:t>
            </w:r>
          </w:p>
        </w:tc>
        <w:tc>
          <w:tcPr>
            <w:tcW w:w="4558" w:type="dxa"/>
            <w:tcBorders>
              <w:right w:val="single" w:sz="8" w:space="0" w:color="auto"/>
            </w:tcBorders>
            <w:shd w:val="clear" w:color="auto" w:fill="auto"/>
          </w:tcPr>
          <w:p w14:paraId="0D177FD2" w14:textId="77777777" w:rsidR="00B60460" w:rsidRPr="0054116D" w:rsidRDefault="00B60460" w:rsidP="00B60460">
            <w:pPr>
              <w:rPr>
                <w:rFonts w:eastAsia="Times New Roman"/>
                <w:szCs w:val="24"/>
              </w:rPr>
            </w:pPr>
            <w:r w:rsidRPr="0054116D">
              <w:rPr>
                <w:rFonts w:eastAsia="Times New Roman"/>
                <w:szCs w:val="24"/>
              </w:rPr>
              <w:t xml:space="preserve">Director of the </w:t>
            </w:r>
            <w:r w:rsidRPr="0054116D">
              <w:rPr>
                <w:rFonts w:eastAsia="Times New Roman"/>
                <w:szCs w:val="24"/>
              </w:rPr>
              <w:br/>
              <w:t>Telecommunication Standardization Bureau,</w:t>
            </w:r>
          </w:p>
          <w:p w14:paraId="598F5535" w14:textId="77777777" w:rsidR="00B60460" w:rsidRPr="0054116D" w:rsidRDefault="00B60460" w:rsidP="00B60460">
            <w:pPr>
              <w:spacing w:before="0"/>
              <w:rPr>
                <w:rFonts w:eastAsia="Times New Roman"/>
                <w:szCs w:val="24"/>
                <w:lang w:val="fr-CH"/>
              </w:rPr>
            </w:pPr>
            <w:r w:rsidRPr="0054116D">
              <w:rPr>
                <w:rFonts w:eastAsia="Times New Roman"/>
                <w:szCs w:val="24"/>
                <w:lang w:val="fr-CH"/>
              </w:rPr>
              <w:t xml:space="preserve">International </w:t>
            </w:r>
            <w:proofErr w:type="spellStart"/>
            <w:r w:rsidRPr="0054116D">
              <w:rPr>
                <w:rFonts w:eastAsia="Times New Roman"/>
                <w:szCs w:val="24"/>
                <w:lang w:val="fr-CH"/>
              </w:rPr>
              <w:t>Telecommunication</w:t>
            </w:r>
            <w:proofErr w:type="spellEnd"/>
            <w:r w:rsidRPr="0054116D">
              <w:rPr>
                <w:rFonts w:eastAsia="Times New Roman"/>
                <w:szCs w:val="24"/>
                <w:lang w:val="fr-CH"/>
              </w:rPr>
              <w:t xml:space="preserve"> Union</w:t>
            </w:r>
          </w:p>
          <w:p w14:paraId="6AC4BBC0" w14:textId="77777777" w:rsidR="00B60460" w:rsidRPr="0054116D" w:rsidRDefault="00B60460" w:rsidP="00B60460">
            <w:pPr>
              <w:spacing w:before="0"/>
              <w:rPr>
                <w:rFonts w:eastAsia="Times New Roman"/>
                <w:szCs w:val="24"/>
                <w:lang w:val="fr-CH"/>
              </w:rPr>
            </w:pPr>
            <w:r w:rsidRPr="0054116D">
              <w:rPr>
                <w:rFonts w:eastAsia="Times New Roman"/>
                <w:szCs w:val="24"/>
                <w:lang w:val="fr-CH"/>
              </w:rPr>
              <w:t>Place des Nations</w:t>
            </w:r>
          </w:p>
          <w:p w14:paraId="1863AB5D" w14:textId="77777777" w:rsidR="00B60460" w:rsidRPr="0054116D" w:rsidRDefault="00B60460" w:rsidP="00B60460">
            <w:pPr>
              <w:spacing w:before="0"/>
              <w:rPr>
                <w:rFonts w:eastAsia="Times New Roman"/>
                <w:szCs w:val="24"/>
              </w:rPr>
            </w:pPr>
            <w:r w:rsidRPr="0054116D">
              <w:rPr>
                <w:rFonts w:eastAsia="Times New Roman"/>
                <w:szCs w:val="24"/>
              </w:rPr>
              <w:t>CH 1211 Geneva 20, Switzerland</w:t>
            </w:r>
          </w:p>
        </w:tc>
        <w:tc>
          <w:tcPr>
            <w:tcW w:w="992" w:type="dxa"/>
            <w:tcBorders>
              <w:left w:val="single" w:sz="8" w:space="0" w:color="auto"/>
            </w:tcBorders>
            <w:shd w:val="clear" w:color="auto" w:fill="auto"/>
          </w:tcPr>
          <w:p w14:paraId="42B1D6F1" w14:textId="77777777" w:rsidR="00B60460" w:rsidRPr="0054116D" w:rsidRDefault="00B60460" w:rsidP="00B60460">
            <w:pPr>
              <w:jc w:val="right"/>
              <w:rPr>
                <w:rFonts w:eastAsia="Times New Roman"/>
                <w:szCs w:val="24"/>
              </w:rPr>
            </w:pPr>
            <w:r w:rsidRPr="0054116D">
              <w:rPr>
                <w:rFonts w:eastAsia="Times New Roman"/>
                <w:b/>
                <w:bCs/>
                <w:szCs w:val="24"/>
              </w:rPr>
              <w:t>From</w:t>
            </w:r>
            <w:r w:rsidRPr="0054116D">
              <w:rPr>
                <w:rFonts w:eastAsia="Times New Roman"/>
                <w:szCs w:val="24"/>
              </w:rPr>
              <w:t>:</w:t>
            </w:r>
          </w:p>
        </w:tc>
        <w:tc>
          <w:tcPr>
            <w:tcW w:w="3402" w:type="dxa"/>
            <w:shd w:val="clear" w:color="auto" w:fill="auto"/>
          </w:tcPr>
          <w:p w14:paraId="3B8FB251" w14:textId="77777777" w:rsidR="00B60460" w:rsidRPr="0054116D" w:rsidRDefault="00B60460" w:rsidP="00B60460">
            <w:pPr>
              <w:rPr>
                <w:rFonts w:eastAsia="Times New Roman"/>
                <w:szCs w:val="24"/>
              </w:rPr>
            </w:pPr>
            <w:r w:rsidRPr="0054116D">
              <w:rPr>
                <w:rFonts w:eastAsia="Times New Roman"/>
                <w:szCs w:val="24"/>
              </w:rPr>
              <w:t>[Name]</w:t>
            </w:r>
          </w:p>
          <w:p w14:paraId="12B8B44E" w14:textId="77777777" w:rsidR="00B60460" w:rsidRPr="0054116D" w:rsidRDefault="00B60460" w:rsidP="00B60460">
            <w:pPr>
              <w:spacing w:before="0"/>
              <w:rPr>
                <w:rFonts w:eastAsia="Times New Roman"/>
                <w:szCs w:val="24"/>
              </w:rPr>
            </w:pPr>
            <w:r w:rsidRPr="0054116D">
              <w:rPr>
                <w:rFonts w:eastAsia="Times New Roman"/>
                <w:szCs w:val="24"/>
              </w:rPr>
              <w:t>[Official role/title]</w:t>
            </w:r>
          </w:p>
          <w:p w14:paraId="52E9D6DF" w14:textId="77777777" w:rsidR="00B60460" w:rsidRPr="0054116D" w:rsidRDefault="00B60460" w:rsidP="00B60460">
            <w:pPr>
              <w:spacing w:before="0"/>
              <w:rPr>
                <w:rFonts w:eastAsia="Times New Roman"/>
                <w:szCs w:val="24"/>
              </w:rPr>
            </w:pPr>
            <w:r w:rsidRPr="0054116D">
              <w:rPr>
                <w:rFonts w:eastAsia="Times New Roman"/>
                <w:szCs w:val="24"/>
              </w:rPr>
              <w:t>[Address]</w:t>
            </w:r>
          </w:p>
        </w:tc>
      </w:tr>
      <w:tr w:rsidR="00B60460" w:rsidRPr="0078395B" w14:paraId="5BE1C14F" w14:textId="77777777" w:rsidTr="004A76B1">
        <w:tc>
          <w:tcPr>
            <w:tcW w:w="1005" w:type="dxa"/>
            <w:shd w:val="clear" w:color="auto" w:fill="auto"/>
          </w:tcPr>
          <w:p w14:paraId="41602336" w14:textId="77777777" w:rsidR="00B60460" w:rsidRPr="0054116D" w:rsidRDefault="00B60460" w:rsidP="00B60460">
            <w:pPr>
              <w:spacing w:before="0"/>
              <w:jc w:val="right"/>
              <w:rPr>
                <w:rFonts w:eastAsia="Times New Roman"/>
                <w:szCs w:val="24"/>
              </w:rPr>
            </w:pPr>
            <w:r w:rsidRPr="0054116D">
              <w:rPr>
                <w:rFonts w:eastAsia="Times New Roman"/>
                <w:b/>
                <w:bCs/>
                <w:szCs w:val="24"/>
              </w:rPr>
              <w:t>Fax</w:t>
            </w:r>
            <w:r w:rsidRPr="0054116D">
              <w:rPr>
                <w:rFonts w:eastAsia="Times New Roman"/>
                <w:szCs w:val="24"/>
              </w:rPr>
              <w:t>:</w:t>
            </w:r>
          </w:p>
          <w:p w14:paraId="20339B92" w14:textId="77777777" w:rsidR="00B60460" w:rsidRPr="0054116D" w:rsidRDefault="00B60460" w:rsidP="00B60460">
            <w:pPr>
              <w:spacing w:before="0"/>
              <w:jc w:val="right"/>
              <w:rPr>
                <w:rFonts w:eastAsia="Times New Roman"/>
                <w:szCs w:val="24"/>
              </w:rPr>
            </w:pPr>
            <w:r w:rsidRPr="0054116D">
              <w:rPr>
                <w:rFonts w:eastAsia="Times New Roman"/>
                <w:b/>
                <w:bCs/>
                <w:szCs w:val="24"/>
              </w:rPr>
              <w:t>E-mail</w:t>
            </w:r>
            <w:r w:rsidRPr="0054116D">
              <w:rPr>
                <w:rFonts w:eastAsia="Times New Roman"/>
                <w:szCs w:val="24"/>
              </w:rPr>
              <w:t>:</w:t>
            </w:r>
          </w:p>
        </w:tc>
        <w:tc>
          <w:tcPr>
            <w:tcW w:w="4558" w:type="dxa"/>
            <w:tcBorders>
              <w:right w:val="single" w:sz="8" w:space="0" w:color="auto"/>
            </w:tcBorders>
            <w:shd w:val="clear" w:color="auto" w:fill="auto"/>
          </w:tcPr>
          <w:p w14:paraId="76E3F86B" w14:textId="77777777" w:rsidR="00B60460" w:rsidRPr="0054116D" w:rsidRDefault="00B60460" w:rsidP="00B60460">
            <w:pPr>
              <w:spacing w:before="0"/>
              <w:rPr>
                <w:rFonts w:eastAsia="Times New Roman"/>
                <w:szCs w:val="24"/>
              </w:rPr>
            </w:pPr>
            <w:r w:rsidRPr="0054116D">
              <w:rPr>
                <w:rFonts w:eastAsia="Times New Roman"/>
                <w:szCs w:val="24"/>
              </w:rPr>
              <w:t>+41-22-730-5853</w:t>
            </w:r>
          </w:p>
          <w:p w14:paraId="22BE0C8C" w14:textId="6357D75B" w:rsidR="00B60460" w:rsidRPr="0054116D" w:rsidRDefault="00C01F40" w:rsidP="00B60460">
            <w:pPr>
              <w:spacing w:before="0"/>
              <w:rPr>
                <w:rFonts w:eastAsia="Times New Roman"/>
                <w:szCs w:val="24"/>
              </w:rPr>
            </w:pPr>
            <w:hyperlink r:id="rId19" w:history="1">
              <w:r w:rsidR="00E609F7" w:rsidRPr="0054116D">
                <w:rPr>
                  <w:rStyle w:val="Hyperlink"/>
                  <w:rFonts w:eastAsia="Times New Roman"/>
                  <w:szCs w:val="24"/>
                </w:rPr>
                <w:t>tsbdir@itu.int</w:t>
              </w:r>
            </w:hyperlink>
            <w:r w:rsidR="00B60460" w:rsidRPr="0054116D">
              <w:rPr>
                <w:rFonts w:eastAsia="Times New Roman"/>
                <w:szCs w:val="24"/>
              </w:rPr>
              <w:t xml:space="preserve"> </w:t>
            </w:r>
          </w:p>
        </w:tc>
        <w:tc>
          <w:tcPr>
            <w:tcW w:w="992" w:type="dxa"/>
            <w:tcBorders>
              <w:left w:val="single" w:sz="8" w:space="0" w:color="auto"/>
            </w:tcBorders>
            <w:shd w:val="clear" w:color="auto" w:fill="auto"/>
          </w:tcPr>
          <w:p w14:paraId="6FF40B15" w14:textId="77777777" w:rsidR="00B60460" w:rsidRPr="0054116D" w:rsidRDefault="00B60460" w:rsidP="00B60460">
            <w:pPr>
              <w:spacing w:before="0"/>
              <w:jc w:val="right"/>
              <w:rPr>
                <w:rFonts w:eastAsia="Times New Roman"/>
                <w:szCs w:val="24"/>
              </w:rPr>
            </w:pPr>
            <w:r w:rsidRPr="0054116D">
              <w:rPr>
                <w:rFonts w:eastAsia="Times New Roman"/>
                <w:b/>
                <w:bCs/>
                <w:szCs w:val="24"/>
              </w:rPr>
              <w:t>Fax</w:t>
            </w:r>
            <w:r w:rsidRPr="0054116D">
              <w:rPr>
                <w:rFonts w:eastAsia="Times New Roman"/>
                <w:szCs w:val="24"/>
              </w:rPr>
              <w:t>:</w:t>
            </w:r>
          </w:p>
          <w:p w14:paraId="005A15A0" w14:textId="77777777" w:rsidR="00B60460" w:rsidRPr="0054116D" w:rsidRDefault="00B60460" w:rsidP="00B60460">
            <w:pPr>
              <w:spacing w:before="0"/>
              <w:jc w:val="right"/>
              <w:rPr>
                <w:rFonts w:eastAsia="Times New Roman"/>
                <w:szCs w:val="24"/>
              </w:rPr>
            </w:pPr>
            <w:r w:rsidRPr="0054116D">
              <w:rPr>
                <w:rFonts w:eastAsia="Times New Roman"/>
                <w:b/>
                <w:bCs/>
                <w:szCs w:val="24"/>
              </w:rPr>
              <w:t>E-mail</w:t>
            </w:r>
            <w:r w:rsidRPr="0054116D">
              <w:rPr>
                <w:rFonts w:eastAsia="Times New Roman"/>
                <w:szCs w:val="24"/>
              </w:rPr>
              <w:t>:</w:t>
            </w:r>
          </w:p>
        </w:tc>
        <w:tc>
          <w:tcPr>
            <w:tcW w:w="3402" w:type="dxa"/>
            <w:shd w:val="clear" w:color="auto" w:fill="auto"/>
          </w:tcPr>
          <w:p w14:paraId="1AFC4B4E" w14:textId="77777777" w:rsidR="00B60460" w:rsidRPr="0054116D" w:rsidRDefault="00B60460" w:rsidP="00B60460">
            <w:pPr>
              <w:spacing w:before="0"/>
              <w:rPr>
                <w:rFonts w:eastAsia="Times New Roman"/>
                <w:szCs w:val="24"/>
              </w:rPr>
            </w:pPr>
          </w:p>
        </w:tc>
      </w:tr>
      <w:tr w:rsidR="00B60460" w:rsidRPr="0078395B" w14:paraId="2D693535" w14:textId="77777777" w:rsidTr="004A76B1">
        <w:tc>
          <w:tcPr>
            <w:tcW w:w="1005" w:type="dxa"/>
            <w:shd w:val="clear" w:color="auto" w:fill="auto"/>
          </w:tcPr>
          <w:p w14:paraId="7EC1D0FB" w14:textId="77777777" w:rsidR="00B60460" w:rsidRPr="0054116D" w:rsidRDefault="00B60460" w:rsidP="00B60460">
            <w:pPr>
              <w:spacing w:before="0"/>
              <w:jc w:val="right"/>
              <w:rPr>
                <w:rFonts w:eastAsia="Times New Roman"/>
                <w:szCs w:val="24"/>
              </w:rPr>
            </w:pPr>
          </w:p>
        </w:tc>
        <w:tc>
          <w:tcPr>
            <w:tcW w:w="4558" w:type="dxa"/>
            <w:tcBorders>
              <w:right w:val="single" w:sz="8" w:space="0" w:color="auto"/>
            </w:tcBorders>
            <w:shd w:val="clear" w:color="auto" w:fill="auto"/>
          </w:tcPr>
          <w:p w14:paraId="6C7B32DA" w14:textId="77777777" w:rsidR="00B60460" w:rsidRPr="0054116D" w:rsidRDefault="00B60460" w:rsidP="00B60460">
            <w:pPr>
              <w:spacing w:before="0"/>
              <w:rPr>
                <w:rFonts w:eastAsia="Times New Roman"/>
                <w:szCs w:val="24"/>
              </w:rPr>
            </w:pPr>
          </w:p>
        </w:tc>
        <w:tc>
          <w:tcPr>
            <w:tcW w:w="992" w:type="dxa"/>
            <w:tcBorders>
              <w:left w:val="single" w:sz="8" w:space="0" w:color="auto"/>
            </w:tcBorders>
            <w:shd w:val="clear" w:color="auto" w:fill="auto"/>
          </w:tcPr>
          <w:p w14:paraId="4D5AD732" w14:textId="77777777" w:rsidR="00B60460" w:rsidRPr="0054116D" w:rsidRDefault="00B60460" w:rsidP="00B60460">
            <w:pPr>
              <w:spacing w:before="0"/>
              <w:jc w:val="right"/>
              <w:rPr>
                <w:rFonts w:eastAsia="Times New Roman"/>
                <w:szCs w:val="24"/>
              </w:rPr>
            </w:pPr>
            <w:r w:rsidRPr="0054116D">
              <w:rPr>
                <w:rFonts w:eastAsia="Times New Roman"/>
                <w:b/>
                <w:bCs/>
                <w:szCs w:val="24"/>
              </w:rPr>
              <w:t>Date</w:t>
            </w:r>
            <w:r w:rsidRPr="0054116D">
              <w:rPr>
                <w:rFonts w:eastAsia="Times New Roman"/>
                <w:szCs w:val="24"/>
              </w:rPr>
              <w:t>:</w:t>
            </w:r>
          </w:p>
        </w:tc>
        <w:tc>
          <w:tcPr>
            <w:tcW w:w="3402" w:type="dxa"/>
            <w:shd w:val="clear" w:color="auto" w:fill="auto"/>
          </w:tcPr>
          <w:p w14:paraId="30FE78B3" w14:textId="77777777" w:rsidR="00B60460" w:rsidRPr="0054116D" w:rsidRDefault="00B60460" w:rsidP="00B60460">
            <w:pPr>
              <w:spacing w:before="0"/>
              <w:rPr>
                <w:rFonts w:eastAsia="Times New Roman"/>
                <w:szCs w:val="24"/>
              </w:rPr>
            </w:pPr>
            <w:r w:rsidRPr="0054116D">
              <w:rPr>
                <w:rFonts w:eastAsia="Times New Roman"/>
                <w:szCs w:val="24"/>
              </w:rPr>
              <w:t>[Place,] [Date]</w:t>
            </w:r>
          </w:p>
        </w:tc>
      </w:tr>
    </w:tbl>
    <w:p w14:paraId="382B055A" w14:textId="77777777" w:rsidR="00B60460" w:rsidRPr="0054116D" w:rsidRDefault="00B60460" w:rsidP="00B60460">
      <w:pPr>
        <w:spacing w:before="360"/>
        <w:rPr>
          <w:rFonts w:eastAsia="Times New Roman"/>
          <w:szCs w:val="24"/>
        </w:rPr>
      </w:pPr>
      <w:r w:rsidRPr="0054116D">
        <w:rPr>
          <w:rFonts w:eastAsia="Times New Roman"/>
          <w:szCs w:val="24"/>
        </w:rPr>
        <w:t>Dear Sir/Madam,</w:t>
      </w:r>
    </w:p>
    <w:p w14:paraId="65791207" w14:textId="5A2479FC" w:rsidR="00B60460" w:rsidRPr="0078395B" w:rsidRDefault="00B60460" w:rsidP="00B60460">
      <w:pPr>
        <w:rPr>
          <w:rFonts w:eastAsia="Times New Roman"/>
          <w:szCs w:val="24"/>
          <w:highlight w:val="yellow"/>
        </w:rPr>
      </w:pPr>
      <w:r w:rsidRPr="0054116D">
        <w:rPr>
          <w:rFonts w:eastAsia="Times New Roman"/>
          <w:szCs w:val="24"/>
        </w:rPr>
        <w:t>W</w:t>
      </w:r>
      <w:r w:rsidRPr="00A43097">
        <w:rPr>
          <w:rFonts w:eastAsia="Times New Roman"/>
          <w:szCs w:val="24"/>
        </w:rPr>
        <w:t xml:space="preserve">ith respect to the Member State consultation on the Determined draft texts listed in TSB Circular </w:t>
      </w:r>
      <w:r w:rsidR="00A43097" w:rsidRPr="00A43097">
        <w:rPr>
          <w:rFonts w:eastAsia="Times New Roman"/>
          <w:szCs w:val="24"/>
        </w:rPr>
        <w:t>96</w:t>
      </w:r>
      <w:r w:rsidRPr="00A43097">
        <w:rPr>
          <w:rFonts w:eastAsia="Times New Roman"/>
          <w:szCs w:val="24"/>
        </w:rPr>
        <w:t>, I</w:t>
      </w:r>
      <w:r w:rsidRPr="0054116D">
        <w:rPr>
          <w:rFonts w:eastAsia="Times New Roman"/>
          <w:szCs w:val="24"/>
        </w:rPr>
        <w:t xml:space="preserve"> would like to advise you of the opinion of this Administration, which is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634"/>
      </w:tblGrid>
      <w:tr w:rsidR="00B60460" w:rsidRPr="0054116D" w14:paraId="47CB1F3B" w14:textId="77777777" w:rsidTr="004A76B1">
        <w:trPr>
          <w:tblHeader/>
        </w:trPr>
        <w:tc>
          <w:tcPr>
            <w:tcW w:w="2085" w:type="dxa"/>
            <w:shd w:val="clear" w:color="auto" w:fill="auto"/>
            <w:vAlign w:val="center"/>
          </w:tcPr>
          <w:p w14:paraId="70B5898E" w14:textId="77777777" w:rsidR="00B60460" w:rsidRPr="0054116D" w:rsidRDefault="00B60460" w:rsidP="00B60460">
            <w:pPr>
              <w:spacing w:after="120"/>
              <w:jc w:val="center"/>
              <w:rPr>
                <w:rFonts w:eastAsia="Times New Roman"/>
                <w:b/>
                <w:bCs/>
                <w:szCs w:val="24"/>
                <w:lang w:val="en-US"/>
              </w:rPr>
            </w:pPr>
          </w:p>
        </w:tc>
        <w:tc>
          <w:tcPr>
            <w:tcW w:w="7634" w:type="dxa"/>
            <w:shd w:val="clear" w:color="auto" w:fill="auto"/>
            <w:vAlign w:val="center"/>
          </w:tcPr>
          <w:p w14:paraId="7F6B05D1" w14:textId="77777777" w:rsidR="00B60460" w:rsidRPr="0054116D" w:rsidRDefault="00B60460" w:rsidP="00B60460">
            <w:pPr>
              <w:tabs>
                <w:tab w:val="clear" w:pos="794"/>
                <w:tab w:val="clear" w:pos="1191"/>
                <w:tab w:val="clear" w:pos="1588"/>
                <w:tab w:val="clear" w:pos="1985"/>
              </w:tabs>
              <w:spacing w:after="120"/>
              <w:ind w:left="939" w:hanging="459"/>
              <w:jc w:val="center"/>
              <w:rPr>
                <w:rFonts w:eastAsia="Times New Roman"/>
                <w:b/>
                <w:bCs/>
                <w:szCs w:val="24"/>
              </w:rPr>
            </w:pPr>
            <w:r w:rsidRPr="0054116D">
              <w:rPr>
                <w:rFonts w:eastAsia="Times New Roman"/>
                <w:b/>
                <w:bCs/>
                <w:szCs w:val="24"/>
              </w:rPr>
              <w:t>Select one of the two boxes</w:t>
            </w:r>
          </w:p>
        </w:tc>
      </w:tr>
      <w:tr w:rsidR="00B60460" w:rsidRPr="0054116D" w14:paraId="1580F6CB" w14:textId="77777777" w:rsidTr="004A76B1">
        <w:trPr>
          <w:trHeight w:val="748"/>
        </w:trPr>
        <w:tc>
          <w:tcPr>
            <w:tcW w:w="2085" w:type="dxa"/>
            <w:vMerge w:val="restart"/>
            <w:shd w:val="clear" w:color="auto" w:fill="auto"/>
            <w:vAlign w:val="center"/>
          </w:tcPr>
          <w:p w14:paraId="567A0175" w14:textId="56010135" w:rsidR="00B60460" w:rsidRPr="0054116D" w:rsidRDefault="00B60460" w:rsidP="00B60460">
            <w:pPr>
              <w:spacing w:before="60" w:after="60"/>
              <w:jc w:val="center"/>
              <w:rPr>
                <w:rFonts w:eastAsia="Times New Roman"/>
                <w:b/>
                <w:bCs/>
                <w:szCs w:val="24"/>
                <w:lang w:val="fr-CH"/>
              </w:rPr>
            </w:pPr>
            <w:r w:rsidRPr="0054116D">
              <w:rPr>
                <w:rFonts w:eastAsia="Times New Roman"/>
                <w:b/>
                <w:bCs/>
                <w:szCs w:val="24"/>
                <w:lang w:val="fr-CH"/>
              </w:rPr>
              <w:t xml:space="preserve">Draft new </w:t>
            </w:r>
            <w:proofErr w:type="spellStart"/>
            <w:r w:rsidRPr="0054116D">
              <w:rPr>
                <w:rFonts w:eastAsia="Times New Roman"/>
                <w:b/>
                <w:bCs/>
                <w:szCs w:val="24"/>
                <w:lang w:val="fr-CH"/>
              </w:rPr>
              <w:t>Recommendation</w:t>
            </w:r>
            <w:proofErr w:type="spellEnd"/>
            <w:r w:rsidRPr="0054116D">
              <w:rPr>
                <w:rFonts w:eastAsia="Times New Roman"/>
                <w:b/>
                <w:bCs/>
                <w:szCs w:val="24"/>
                <w:lang w:val="fr-CH"/>
              </w:rPr>
              <w:t xml:space="preserve"> ITU-T </w:t>
            </w:r>
            <w:r w:rsidR="0054116D" w:rsidRPr="0054116D">
              <w:rPr>
                <w:rFonts w:eastAsia="Times New Roman"/>
                <w:b/>
                <w:bCs/>
                <w:szCs w:val="24"/>
                <w:lang w:val="fr-CH"/>
              </w:rPr>
              <w:t xml:space="preserve">Y.4221 (ex </w:t>
            </w:r>
            <w:proofErr w:type="spellStart"/>
            <w:r w:rsidR="0054116D" w:rsidRPr="0054116D">
              <w:rPr>
                <w:rFonts w:eastAsia="Times New Roman"/>
                <w:b/>
                <w:bCs/>
                <w:szCs w:val="24"/>
                <w:lang w:val="fr-CH"/>
              </w:rPr>
              <w:t>Y.ElecMon-Reqts</w:t>
            </w:r>
            <w:proofErr w:type="spellEnd"/>
            <w:r w:rsidR="0054116D" w:rsidRPr="0054116D">
              <w:rPr>
                <w:rFonts w:eastAsia="Times New Roman"/>
                <w:b/>
                <w:bCs/>
                <w:szCs w:val="24"/>
                <w:lang w:val="fr-CH"/>
              </w:rPr>
              <w:t>)</w:t>
            </w:r>
          </w:p>
        </w:tc>
        <w:tc>
          <w:tcPr>
            <w:tcW w:w="7634" w:type="dxa"/>
            <w:shd w:val="clear" w:color="auto" w:fill="auto"/>
            <w:vAlign w:val="center"/>
          </w:tcPr>
          <w:p w14:paraId="2196DC58" w14:textId="77777777" w:rsidR="00B60460" w:rsidRPr="0054116D" w:rsidRDefault="00B60460" w:rsidP="00B60460">
            <w:pPr>
              <w:tabs>
                <w:tab w:val="clear" w:pos="794"/>
                <w:tab w:val="clear" w:pos="1191"/>
                <w:tab w:val="clear" w:pos="1588"/>
                <w:tab w:val="clear" w:pos="1985"/>
              </w:tabs>
              <w:spacing w:before="60" w:after="60"/>
              <w:ind w:left="459" w:hanging="459"/>
              <w:rPr>
                <w:rFonts w:eastAsia="Times New Roman"/>
                <w:szCs w:val="24"/>
              </w:rPr>
            </w:pPr>
            <w:r w:rsidRPr="0054116D">
              <w:rPr>
                <w:rFonts w:eastAsia="Times New Roman"/>
                <w:sz w:val="22"/>
                <w:szCs w:val="22"/>
              </w:rPr>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0"/>
              </w:rPr>
              <w:tab/>
            </w:r>
            <w:r w:rsidRPr="0054116D">
              <w:rPr>
                <w:rFonts w:eastAsia="Times New Roman"/>
                <w:b/>
                <w:bCs/>
                <w:szCs w:val="24"/>
              </w:rPr>
              <w:t>assigns authority</w:t>
            </w:r>
            <w:r w:rsidRPr="0054116D">
              <w:rPr>
                <w:rFonts w:eastAsia="Times New Roman"/>
                <w:szCs w:val="24"/>
              </w:rPr>
              <w:t xml:space="preserve"> to Study Group 20 to consider this text for approval (in which case, select one of the two options </w:t>
            </w:r>
            <w:r w:rsidRPr="0054116D">
              <w:rPr>
                <w:rFonts w:eastAsia="Times New Roman"/>
                <w:sz w:val="20"/>
              </w:rPr>
              <w:t>⃝</w:t>
            </w:r>
            <w:r w:rsidRPr="0054116D">
              <w:rPr>
                <w:rFonts w:eastAsia="Times New Roman"/>
                <w:szCs w:val="24"/>
              </w:rPr>
              <w:t>):</w:t>
            </w:r>
          </w:p>
          <w:p w14:paraId="338FD298" w14:textId="77777777" w:rsidR="00B60460" w:rsidRPr="0054116D" w:rsidRDefault="00B60460" w:rsidP="00B60460">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t>⃝</w:t>
            </w:r>
            <w:r w:rsidRPr="0054116D">
              <w:rPr>
                <w:rFonts w:eastAsia="Times New Roman"/>
                <w:sz w:val="20"/>
              </w:rPr>
              <w:tab/>
            </w:r>
            <w:r w:rsidRPr="0054116D">
              <w:rPr>
                <w:rFonts w:eastAsia="Times New Roman"/>
                <w:szCs w:val="24"/>
              </w:rPr>
              <w:t>No comments or suggested changes</w:t>
            </w:r>
          </w:p>
          <w:p w14:paraId="2F8ED4A8" w14:textId="77777777" w:rsidR="00B60460" w:rsidRPr="0054116D" w:rsidRDefault="00B60460" w:rsidP="00B60460">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t>⃝</w:t>
            </w:r>
            <w:r w:rsidRPr="0054116D">
              <w:rPr>
                <w:rFonts w:eastAsia="Times New Roman"/>
                <w:sz w:val="20"/>
              </w:rPr>
              <w:tab/>
            </w:r>
            <w:r w:rsidRPr="0054116D">
              <w:rPr>
                <w:rFonts w:eastAsia="Times New Roman"/>
                <w:szCs w:val="24"/>
              </w:rPr>
              <w:t>Comments and suggested changes are attached</w:t>
            </w:r>
          </w:p>
        </w:tc>
      </w:tr>
      <w:tr w:rsidR="00B60460" w:rsidRPr="0054116D" w14:paraId="0819B39E" w14:textId="77777777" w:rsidTr="004A76B1">
        <w:trPr>
          <w:trHeight w:val="747"/>
        </w:trPr>
        <w:tc>
          <w:tcPr>
            <w:tcW w:w="2085" w:type="dxa"/>
            <w:vMerge/>
            <w:shd w:val="clear" w:color="auto" w:fill="auto"/>
            <w:vAlign w:val="center"/>
          </w:tcPr>
          <w:p w14:paraId="0F888159" w14:textId="77777777" w:rsidR="00B60460" w:rsidRPr="0054116D" w:rsidRDefault="00B60460" w:rsidP="00B60460">
            <w:pPr>
              <w:spacing w:before="60" w:after="60"/>
              <w:jc w:val="center"/>
              <w:rPr>
                <w:rFonts w:eastAsia="Times New Roman"/>
                <w:b/>
                <w:bCs/>
                <w:szCs w:val="24"/>
                <w:lang w:val="en-US"/>
              </w:rPr>
            </w:pPr>
          </w:p>
        </w:tc>
        <w:tc>
          <w:tcPr>
            <w:tcW w:w="7634" w:type="dxa"/>
            <w:shd w:val="clear" w:color="auto" w:fill="auto"/>
            <w:vAlign w:val="center"/>
          </w:tcPr>
          <w:p w14:paraId="02D6DE45" w14:textId="77777777" w:rsidR="00B60460" w:rsidRPr="0054116D" w:rsidRDefault="00B60460" w:rsidP="00B60460">
            <w:pPr>
              <w:tabs>
                <w:tab w:val="clear" w:pos="794"/>
                <w:tab w:val="clear" w:pos="1191"/>
                <w:tab w:val="clear" w:pos="1588"/>
                <w:tab w:val="clear" w:pos="1985"/>
                <w:tab w:val="left" w:pos="250"/>
              </w:tabs>
              <w:spacing w:before="60" w:after="60"/>
              <w:ind w:left="459" w:hanging="459"/>
              <w:rPr>
                <w:rFonts w:eastAsia="Times New Roman"/>
                <w:sz w:val="20"/>
              </w:rPr>
            </w:pPr>
            <w:r w:rsidRPr="0054116D">
              <w:rPr>
                <w:rFonts w:eastAsia="Times New Roman"/>
                <w:sz w:val="22"/>
                <w:szCs w:val="22"/>
              </w:rPr>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2"/>
                <w:szCs w:val="22"/>
              </w:rPr>
              <w:tab/>
            </w:r>
            <w:r w:rsidRPr="0054116D">
              <w:rPr>
                <w:rFonts w:eastAsia="Times New Roman"/>
                <w:b/>
                <w:bCs/>
                <w:szCs w:val="24"/>
              </w:rPr>
              <w:t>does not assign authority</w:t>
            </w:r>
            <w:r w:rsidRPr="0054116D">
              <w:rPr>
                <w:rFonts w:eastAsia="Times New Roman"/>
                <w:szCs w:val="24"/>
              </w:rPr>
              <w:t xml:space="preserve"> to Study Group 20 to consider this text for approval (</w:t>
            </w:r>
            <w:r w:rsidRPr="0054116D">
              <w:rPr>
                <w:rFonts w:eastAsia="Times New Roman"/>
                <w:szCs w:val="22"/>
              </w:rPr>
              <w:t>reasons for this opinion and an outline of possible changes that would enable the work to progress are attached)</w:t>
            </w:r>
          </w:p>
        </w:tc>
      </w:tr>
      <w:tr w:rsidR="00B60460" w:rsidRPr="0054116D" w14:paraId="17656D5F" w14:textId="77777777" w:rsidTr="004A76B1">
        <w:trPr>
          <w:trHeight w:val="748"/>
        </w:trPr>
        <w:tc>
          <w:tcPr>
            <w:tcW w:w="2085" w:type="dxa"/>
            <w:vMerge w:val="restart"/>
            <w:shd w:val="clear" w:color="auto" w:fill="auto"/>
            <w:vAlign w:val="center"/>
          </w:tcPr>
          <w:p w14:paraId="5D0C70DE" w14:textId="19826B67" w:rsidR="00B60460" w:rsidRPr="0054116D" w:rsidRDefault="00B60460" w:rsidP="00B60460">
            <w:pPr>
              <w:spacing w:before="60" w:after="60"/>
              <w:jc w:val="center"/>
              <w:rPr>
                <w:rFonts w:eastAsia="Times New Roman"/>
                <w:b/>
                <w:bCs/>
                <w:szCs w:val="24"/>
                <w:lang w:val="fr-CH"/>
              </w:rPr>
            </w:pPr>
            <w:r w:rsidRPr="0054116D">
              <w:rPr>
                <w:rFonts w:eastAsia="Times New Roman"/>
                <w:b/>
                <w:bCs/>
                <w:szCs w:val="24"/>
                <w:lang w:val="fr-FR"/>
              </w:rPr>
              <w:t xml:space="preserve">Draft new </w:t>
            </w:r>
            <w:proofErr w:type="spellStart"/>
            <w:r w:rsidRPr="0054116D">
              <w:rPr>
                <w:rFonts w:eastAsia="Times New Roman"/>
                <w:b/>
                <w:bCs/>
                <w:szCs w:val="24"/>
                <w:lang w:val="fr-FR"/>
              </w:rPr>
              <w:t>Recommendation</w:t>
            </w:r>
            <w:proofErr w:type="spellEnd"/>
            <w:r w:rsidRPr="0054116D">
              <w:rPr>
                <w:rFonts w:eastAsia="Times New Roman"/>
                <w:b/>
                <w:bCs/>
                <w:szCs w:val="24"/>
                <w:lang w:val="fr-FR"/>
              </w:rPr>
              <w:t xml:space="preserve"> ITU-T </w:t>
            </w:r>
            <w:r w:rsidR="0054116D" w:rsidRPr="0054116D">
              <w:rPr>
                <w:rFonts w:eastAsia="Times New Roman"/>
                <w:b/>
                <w:bCs/>
                <w:szCs w:val="24"/>
                <w:lang w:val="fr-CH"/>
              </w:rPr>
              <w:t xml:space="preserve">Y.4222 (ex </w:t>
            </w:r>
            <w:proofErr w:type="spellStart"/>
            <w:r w:rsidR="0054116D" w:rsidRPr="0054116D">
              <w:rPr>
                <w:rFonts w:eastAsia="Times New Roman"/>
                <w:b/>
                <w:bCs/>
                <w:szCs w:val="24"/>
                <w:lang w:val="fr-CH"/>
              </w:rPr>
              <w:t>Y.smart-evacuation</w:t>
            </w:r>
            <w:proofErr w:type="spellEnd"/>
            <w:r w:rsidR="0054116D" w:rsidRPr="0054116D">
              <w:rPr>
                <w:rFonts w:eastAsia="Times New Roman"/>
                <w:b/>
                <w:bCs/>
                <w:szCs w:val="24"/>
                <w:lang w:val="fr-CH"/>
              </w:rPr>
              <w:t>)</w:t>
            </w:r>
          </w:p>
        </w:tc>
        <w:tc>
          <w:tcPr>
            <w:tcW w:w="7634" w:type="dxa"/>
            <w:shd w:val="clear" w:color="auto" w:fill="auto"/>
            <w:vAlign w:val="center"/>
          </w:tcPr>
          <w:p w14:paraId="4152D586" w14:textId="77777777" w:rsidR="00B60460" w:rsidRPr="0054116D" w:rsidRDefault="00B60460" w:rsidP="00B60460">
            <w:pPr>
              <w:tabs>
                <w:tab w:val="clear" w:pos="794"/>
                <w:tab w:val="clear" w:pos="1191"/>
                <w:tab w:val="clear" w:pos="1588"/>
                <w:tab w:val="clear" w:pos="1985"/>
              </w:tabs>
              <w:spacing w:before="60" w:after="60"/>
              <w:ind w:left="459" w:hanging="459"/>
              <w:rPr>
                <w:rFonts w:eastAsia="Times New Roman"/>
                <w:szCs w:val="24"/>
              </w:rPr>
            </w:pPr>
            <w:r w:rsidRPr="0054116D">
              <w:rPr>
                <w:rFonts w:eastAsia="Times New Roman"/>
                <w:sz w:val="22"/>
                <w:szCs w:val="22"/>
              </w:rPr>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0"/>
              </w:rPr>
              <w:tab/>
            </w:r>
            <w:r w:rsidRPr="0054116D">
              <w:rPr>
                <w:rFonts w:eastAsia="Times New Roman"/>
                <w:b/>
                <w:bCs/>
                <w:szCs w:val="24"/>
              </w:rPr>
              <w:t>assigns authority</w:t>
            </w:r>
            <w:r w:rsidRPr="0054116D">
              <w:rPr>
                <w:rFonts w:eastAsia="Times New Roman"/>
                <w:szCs w:val="24"/>
              </w:rPr>
              <w:t xml:space="preserve"> to Study Group 20 to consider this text for approval (in which case, select one of the two options </w:t>
            </w:r>
            <w:r w:rsidRPr="0054116D">
              <w:rPr>
                <w:rFonts w:eastAsia="Times New Roman"/>
                <w:sz w:val="20"/>
              </w:rPr>
              <w:t>⃝</w:t>
            </w:r>
            <w:r w:rsidRPr="0054116D">
              <w:rPr>
                <w:rFonts w:eastAsia="Times New Roman"/>
                <w:szCs w:val="24"/>
              </w:rPr>
              <w:t>):</w:t>
            </w:r>
          </w:p>
          <w:p w14:paraId="21D63AEA" w14:textId="77777777" w:rsidR="00B60460" w:rsidRPr="0054116D" w:rsidRDefault="00B60460" w:rsidP="00B60460">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t>⃝</w:t>
            </w:r>
            <w:r w:rsidRPr="0054116D">
              <w:rPr>
                <w:rFonts w:eastAsia="Times New Roman"/>
                <w:sz w:val="20"/>
              </w:rPr>
              <w:tab/>
            </w:r>
            <w:r w:rsidRPr="0054116D">
              <w:rPr>
                <w:rFonts w:eastAsia="Times New Roman"/>
                <w:szCs w:val="24"/>
              </w:rPr>
              <w:t>No comments or suggested changes</w:t>
            </w:r>
          </w:p>
          <w:p w14:paraId="329EF68E" w14:textId="77777777" w:rsidR="00B60460" w:rsidRPr="0054116D" w:rsidRDefault="00B60460" w:rsidP="00B60460">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t>⃝</w:t>
            </w:r>
            <w:r w:rsidRPr="0054116D">
              <w:rPr>
                <w:rFonts w:eastAsia="Times New Roman"/>
                <w:sz w:val="20"/>
              </w:rPr>
              <w:tab/>
            </w:r>
            <w:r w:rsidRPr="0054116D">
              <w:rPr>
                <w:rFonts w:eastAsia="Times New Roman"/>
                <w:szCs w:val="24"/>
              </w:rPr>
              <w:t>Comments and suggested changes are attached</w:t>
            </w:r>
          </w:p>
        </w:tc>
      </w:tr>
      <w:tr w:rsidR="00B60460" w:rsidRPr="0054116D" w14:paraId="1EB55FDD" w14:textId="77777777" w:rsidTr="004A76B1">
        <w:trPr>
          <w:trHeight w:val="747"/>
        </w:trPr>
        <w:tc>
          <w:tcPr>
            <w:tcW w:w="2085" w:type="dxa"/>
            <w:vMerge/>
            <w:shd w:val="clear" w:color="auto" w:fill="auto"/>
            <w:vAlign w:val="center"/>
          </w:tcPr>
          <w:p w14:paraId="29218970" w14:textId="77777777" w:rsidR="00B60460" w:rsidRPr="0054116D" w:rsidRDefault="00B60460" w:rsidP="00B60460">
            <w:pPr>
              <w:spacing w:before="60" w:after="60"/>
              <w:jc w:val="center"/>
              <w:rPr>
                <w:rFonts w:eastAsia="Times New Roman"/>
                <w:b/>
                <w:bCs/>
                <w:szCs w:val="24"/>
                <w:lang w:val="en-US"/>
              </w:rPr>
            </w:pPr>
          </w:p>
        </w:tc>
        <w:tc>
          <w:tcPr>
            <w:tcW w:w="7634" w:type="dxa"/>
            <w:shd w:val="clear" w:color="auto" w:fill="auto"/>
            <w:vAlign w:val="center"/>
          </w:tcPr>
          <w:p w14:paraId="06A262CF" w14:textId="77777777" w:rsidR="00B60460" w:rsidRPr="0054116D" w:rsidRDefault="00B60460" w:rsidP="00B60460">
            <w:pPr>
              <w:tabs>
                <w:tab w:val="clear" w:pos="794"/>
                <w:tab w:val="clear" w:pos="1191"/>
                <w:tab w:val="clear" w:pos="1588"/>
                <w:tab w:val="clear" w:pos="1985"/>
                <w:tab w:val="left" w:pos="250"/>
              </w:tabs>
              <w:spacing w:before="60" w:after="60"/>
              <w:ind w:left="459" w:hanging="459"/>
              <w:rPr>
                <w:rFonts w:eastAsia="Times New Roman"/>
                <w:sz w:val="20"/>
              </w:rPr>
            </w:pPr>
            <w:r w:rsidRPr="0054116D">
              <w:rPr>
                <w:rFonts w:eastAsia="Times New Roman"/>
                <w:sz w:val="22"/>
                <w:szCs w:val="22"/>
              </w:rPr>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2"/>
                <w:szCs w:val="22"/>
              </w:rPr>
              <w:tab/>
            </w:r>
            <w:r w:rsidRPr="0054116D">
              <w:rPr>
                <w:rFonts w:eastAsia="Times New Roman"/>
                <w:b/>
                <w:bCs/>
                <w:szCs w:val="24"/>
              </w:rPr>
              <w:t>does not assign authority</w:t>
            </w:r>
            <w:r w:rsidRPr="0054116D">
              <w:rPr>
                <w:rFonts w:eastAsia="Times New Roman"/>
                <w:szCs w:val="24"/>
              </w:rPr>
              <w:t xml:space="preserve"> to Study Group 20 to consider this text for approval (</w:t>
            </w:r>
            <w:r w:rsidRPr="0054116D">
              <w:rPr>
                <w:rFonts w:eastAsia="Times New Roman"/>
                <w:szCs w:val="22"/>
              </w:rPr>
              <w:t>reasons for this opinion and an outline of possible changes that would enable the work to progress are attached)</w:t>
            </w:r>
          </w:p>
        </w:tc>
      </w:tr>
      <w:tr w:rsidR="0054116D" w:rsidRPr="0054116D" w14:paraId="73F347FC" w14:textId="77777777" w:rsidTr="005A602F">
        <w:trPr>
          <w:trHeight w:val="748"/>
        </w:trPr>
        <w:tc>
          <w:tcPr>
            <w:tcW w:w="2085" w:type="dxa"/>
            <w:vMerge w:val="restart"/>
            <w:shd w:val="clear" w:color="auto" w:fill="auto"/>
            <w:vAlign w:val="center"/>
          </w:tcPr>
          <w:p w14:paraId="611E1657" w14:textId="275A4A3D" w:rsidR="0054116D" w:rsidRPr="0054116D" w:rsidRDefault="0054116D" w:rsidP="005A602F">
            <w:pPr>
              <w:spacing w:before="60" w:after="60"/>
              <w:jc w:val="center"/>
              <w:rPr>
                <w:rFonts w:eastAsia="Times New Roman"/>
                <w:b/>
                <w:bCs/>
                <w:szCs w:val="24"/>
                <w:lang w:val="fr-CH"/>
              </w:rPr>
            </w:pPr>
            <w:r w:rsidRPr="0054116D">
              <w:rPr>
                <w:rFonts w:eastAsia="Times New Roman"/>
                <w:b/>
                <w:bCs/>
                <w:szCs w:val="24"/>
                <w:lang w:val="fr-FR"/>
              </w:rPr>
              <w:t xml:space="preserve">Draft new </w:t>
            </w:r>
            <w:proofErr w:type="spellStart"/>
            <w:r w:rsidRPr="0054116D">
              <w:rPr>
                <w:rFonts w:eastAsia="Times New Roman"/>
                <w:b/>
                <w:bCs/>
                <w:szCs w:val="24"/>
                <w:lang w:val="fr-FR"/>
              </w:rPr>
              <w:t>Recommendation</w:t>
            </w:r>
            <w:proofErr w:type="spellEnd"/>
            <w:r w:rsidRPr="0054116D">
              <w:rPr>
                <w:rFonts w:eastAsia="Times New Roman"/>
                <w:b/>
                <w:bCs/>
                <w:szCs w:val="24"/>
                <w:lang w:val="fr-FR"/>
              </w:rPr>
              <w:t xml:space="preserve"> ITU-T </w:t>
            </w:r>
            <w:r w:rsidRPr="0054116D">
              <w:rPr>
                <w:rFonts w:eastAsia="Times New Roman"/>
                <w:b/>
                <w:bCs/>
                <w:szCs w:val="24"/>
                <w:lang w:val="fr-CH"/>
              </w:rPr>
              <w:t>Y.4223 (ex Y.SCC-</w:t>
            </w:r>
            <w:proofErr w:type="spellStart"/>
            <w:r w:rsidRPr="0054116D">
              <w:rPr>
                <w:rFonts w:eastAsia="Times New Roman"/>
                <w:b/>
                <w:bCs/>
                <w:szCs w:val="24"/>
                <w:lang w:val="fr-CH"/>
              </w:rPr>
              <w:t>Reqts</w:t>
            </w:r>
            <w:proofErr w:type="spellEnd"/>
            <w:r w:rsidRPr="0054116D">
              <w:rPr>
                <w:rFonts w:eastAsia="Times New Roman"/>
                <w:b/>
                <w:bCs/>
                <w:szCs w:val="24"/>
                <w:lang w:val="fr-CH"/>
              </w:rPr>
              <w:t>)</w:t>
            </w:r>
          </w:p>
        </w:tc>
        <w:tc>
          <w:tcPr>
            <w:tcW w:w="7634" w:type="dxa"/>
            <w:shd w:val="clear" w:color="auto" w:fill="auto"/>
            <w:vAlign w:val="center"/>
          </w:tcPr>
          <w:p w14:paraId="5A4C00EA" w14:textId="77777777" w:rsidR="0054116D" w:rsidRPr="0054116D" w:rsidRDefault="0054116D" w:rsidP="005A602F">
            <w:pPr>
              <w:tabs>
                <w:tab w:val="clear" w:pos="794"/>
                <w:tab w:val="clear" w:pos="1191"/>
                <w:tab w:val="clear" w:pos="1588"/>
                <w:tab w:val="clear" w:pos="1985"/>
              </w:tabs>
              <w:spacing w:before="60" w:after="60"/>
              <w:ind w:left="459" w:hanging="459"/>
              <w:rPr>
                <w:rFonts w:eastAsia="Times New Roman"/>
                <w:szCs w:val="24"/>
              </w:rPr>
            </w:pPr>
            <w:r w:rsidRPr="0054116D">
              <w:rPr>
                <w:rFonts w:eastAsia="Times New Roman"/>
                <w:sz w:val="22"/>
                <w:szCs w:val="22"/>
              </w:rPr>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0"/>
              </w:rPr>
              <w:tab/>
            </w:r>
            <w:r w:rsidRPr="0054116D">
              <w:rPr>
                <w:rFonts w:eastAsia="Times New Roman"/>
                <w:b/>
                <w:bCs/>
                <w:szCs w:val="24"/>
              </w:rPr>
              <w:t>assigns authority</w:t>
            </w:r>
            <w:r w:rsidRPr="0054116D">
              <w:rPr>
                <w:rFonts w:eastAsia="Times New Roman"/>
                <w:szCs w:val="24"/>
              </w:rPr>
              <w:t xml:space="preserve"> to Study Group 20 to consider this text for approval (in which case, select one of the two options </w:t>
            </w:r>
            <w:r w:rsidRPr="0054116D">
              <w:rPr>
                <w:rFonts w:eastAsia="Times New Roman"/>
                <w:sz w:val="20"/>
              </w:rPr>
              <w:t>⃝</w:t>
            </w:r>
            <w:r w:rsidRPr="0054116D">
              <w:rPr>
                <w:rFonts w:eastAsia="Times New Roman"/>
                <w:szCs w:val="24"/>
              </w:rPr>
              <w:t>):</w:t>
            </w:r>
          </w:p>
          <w:p w14:paraId="30CBEDC5" w14:textId="77777777" w:rsidR="0054116D" w:rsidRPr="0054116D" w:rsidRDefault="0054116D" w:rsidP="005A602F">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t>⃝</w:t>
            </w:r>
            <w:r w:rsidRPr="0054116D">
              <w:rPr>
                <w:rFonts w:eastAsia="Times New Roman"/>
                <w:sz w:val="20"/>
              </w:rPr>
              <w:tab/>
            </w:r>
            <w:r w:rsidRPr="0054116D">
              <w:rPr>
                <w:rFonts w:eastAsia="Times New Roman"/>
                <w:szCs w:val="24"/>
              </w:rPr>
              <w:t>No comments or suggested changes</w:t>
            </w:r>
          </w:p>
          <w:p w14:paraId="1A6D7376" w14:textId="77777777" w:rsidR="0054116D" w:rsidRPr="0054116D" w:rsidRDefault="0054116D" w:rsidP="005A602F">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t>⃝</w:t>
            </w:r>
            <w:r w:rsidRPr="0054116D">
              <w:rPr>
                <w:rFonts w:eastAsia="Times New Roman"/>
                <w:sz w:val="20"/>
              </w:rPr>
              <w:tab/>
            </w:r>
            <w:r w:rsidRPr="0054116D">
              <w:rPr>
                <w:rFonts w:eastAsia="Times New Roman"/>
                <w:szCs w:val="24"/>
              </w:rPr>
              <w:t>Comments and suggested changes are attached</w:t>
            </w:r>
          </w:p>
        </w:tc>
      </w:tr>
      <w:tr w:rsidR="0054116D" w:rsidRPr="0054116D" w14:paraId="0AB0CD20" w14:textId="77777777" w:rsidTr="005A602F">
        <w:trPr>
          <w:trHeight w:val="747"/>
        </w:trPr>
        <w:tc>
          <w:tcPr>
            <w:tcW w:w="2085" w:type="dxa"/>
            <w:vMerge/>
            <w:shd w:val="clear" w:color="auto" w:fill="auto"/>
            <w:vAlign w:val="center"/>
          </w:tcPr>
          <w:p w14:paraId="571D91BF" w14:textId="77777777" w:rsidR="0054116D" w:rsidRPr="0054116D"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246D2853" w14:textId="77777777" w:rsidR="0054116D" w:rsidRPr="0054116D"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54116D">
              <w:rPr>
                <w:rFonts w:eastAsia="Times New Roman"/>
                <w:sz w:val="22"/>
                <w:szCs w:val="22"/>
              </w:rPr>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2"/>
                <w:szCs w:val="22"/>
              </w:rPr>
              <w:tab/>
            </w:r>
            <w:r w:rsidRPr="0054116D">
              <w:rPr>
                <w:rFonts w:eastAsia="Times New Roman"/>
                <w:b/>
                <w:bCs/>
                <w:szCs w:val="24"/>
              </w:rPr>
              <w:t>does not assign authority</w:t>
            </w:r>
            <w:r w:rsidRPr="0054116D">
              <w:rPr>
                <w:rFonts w:eastAsia="Times New Roman"/>
                <w:szCs w:val="24"/>
              </w:rPr>
              <w:t xml:space="preserve"> to Study Group 20 to consider this text for approval (</w:t>
            </w:r>
            <w:r w:rsidRPr="0054116D">
              <w:rPr>
                <w:rFonts w:eastAsia="Times New Roman"/>
                <w:szCs w:val="22"/>
              </w:rPr>
              <w:t>reasons for this opinion and an outline of possible changes that would enable the work to progress are attached)</w:t>
            </w:r>
          </w:p>
        </w:tc>
      </w:tr>
      <w:tr w:rsidR="0054116D" w:rsidRPr="0054116D" w14:paraId="6943E13D" w14:textId="77777777" w:rsidTr="005A602F">
        <w:trPr>
          <w:trHeight w:val="748"/>
        </w:trPr>
        <w:tc>
          <w:tcPr>
            <w:tcW w:w="2085" w:type="dxa"/>
            <w:vMerge w:val="restart"/>
            <w:shd w:val="clear" w:color="auto" w:fill="auto"/>
            <w:vAlign w:val="center"/>
          </w:tcPr>
          <w:p w14:paraId="55A96861" w14:textId="104AF39E" w:rsidR="0054116D" w:rsidRPr="0054116D" w:rsidRDefault="0054116D" w:rsidP="005A602F">
            <w:pPr>
              <w:spacing w:before="60" w:after="60"/>
              <w:jc w:val="center"/>
              <w:rPr>
                <w:rFonts w:eastAsia="Times New Roman"/>
                <w:b/>
                <w:bCs/>
                <w:szCs w:val="24"/>
                <w:lang w:val="fr-CH"/>
              </w:rPr>
            </w:pPr>
            <w:r w:rsidRPr="0054116D">
              <w:rPr>
                <w:rFonts w:eastAsia="Times New Roman"/>
                <w:b/>
                <w:bCs/>
                <w:szCs w:val="24"/>
                <w:lang w:val="fr-FR"/>
              </w:rPr>
              <w:t xml:space="preserve">Draft new </w:t>
            </w:r>
            <w:proofErr w:type="spellStart"/>
            <w:r w:rsidRPr="0054116D">
              <w:rPr>
                <w:rFonts w:eastAsia="Times New Roman"/>
                <w:b/>
                <w:bCs/>
                <w:szCs w:val="24"/>
                <w:lang w:val="fr-FR"/>
              </w:rPr>
              <w:t>Recommendation</w:t>
            </w:r>
            <w:proofErr w:type="spellEnd"/>
            <w:r w:rsidRPr="0054116D">
              <w:rPr>
                <w:rFonts w:eastAsia="Times New Roman"/>
                <w:b/>
                <w:bCs/>
                <w:szCs w:val="24"/>
                <w:lang w:val="fr-FR"/>
              </w:rPr>
              <w:t xml:space="preserve"> </w:t>
            </w:r>
            <w:r w:rsidRPr="0054116D">
              <w:rPr>
                <w:rFonts w:eastAsia="Times New Roman"/>
                <w:b/>
                <w:bCs/>
                <w:szCs w:val="24"/>
                <w:lang w:val="fr-FR"/>
              </w:rPr>
              <w:lastRenderedPageBreak/>
              <w:t xml:space="preserve">ITU-T </w:t>
            </w:r>
            <w:r w:rsidRPr="0054116D">
              <w:rPr>
                <w:rFonts w:eastAsia="Times New Roman"/>
                <w:b/>
                <w:bCs/>
                <w:szCs w:val="24"/>
                <w:lang w:val="fr-CH"/>
              </w:rPr>
              <w:t>Y.4487 (ex Y.RMDFS-</w:t>
            </w:r>
            <w:proofErr w:type="spellStart"/>
            <w:r w:rsidRPr="0054116D">
              <w:rPr>
                <w:rFonts w:eastAsia="Times New Roman"/>
                <w:b/>
                <w:bCs/>
                <w:szCs w:val="24"/>
                <w:lang w:val="fr-CH"/>
              </w:rPr>
              <w:t>arch</w:t>
            </w:r>
            <w:proofErr w:type="spellEnd"/>
            <w:r w:rsidRPr="0054116D">
              <w:rPr>
                <w:rFonts w:eastAsia="Times New Roman"/>
                <w:b/>
                <w:bCs/>
                <w:szCs w:val="24"/>
                <w:lang w:val="fr-CH"/>
              </w:rPr>
              <w:t>)</w:t>
            </w:r>
          </w:p>
        </w:tc>
        <w:tc>
          <w:tcPr>
            <w:tcW w:w="7634" w:type="dxa"/>
            <w:shd w:val="clear" w:color="auto" w:fill="auto"/>
            <w:vAlign w:val="center"/>
          </w:tcPr>
          <w:p w14:paraId="5F164214" w14:textId="77777777" w:rsidR="0054116D" w:rsidRPr="0054116D" w:rsidRDefault="0054116D" w:rsidP="005A602F">
            <w:pPr>
              <w:tabs>
                <w:tab w:val="clear" w:pos="794"/>
                <w:tab w:val="clear" w:pos="1191"/>
                <w:tab w:val="clear" w:pos="1588"/>
                <w:tab w:val="clear" w:pos="1985"/>
              </w:tabs>
              <w:spacing w:before="60" w:after="60"/>
              <w:ind w:left="459" w:hanging="459"/>
              <w:rPr>
                <w:rFonts w:eastAsia="Times New Roman"/>
                <w:szCs w:val="24"/>
              </w:rPr>
            </w:pPr>
            <w:r w:rsidRPr="0054116D">
              <w:rPr>
                <w:rFonts w:eastAsia="Times New Roman"/>
                <w:sz w:val="22"/>
                <w:szCs w:val="22"/>
              </w:rPr>
              <w:lastRenderedPageBreak/>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0"/>
              </w:rPr>
              <w:tab/>
            </w:r>
            <w:r w:rsidRPr="0054116D">
              <w:rPr>
                <w:rFonts w:eastAsia="Times New Roman"/>
                <w:b/>
                <w:bCs/>
                <w:szCs w:val="24"/>
              </w:rPr>
              <w:t>assigns authority</w:t>
            </w:r>
            <w:r w:rsidRPr="0054116D">
              <w:rPr>
                <w:rFonts w:eastAsia="Times New Roman"/>
                <w:szCs w:val="24"/>
              </w:rPr>
              <w:t xml:space="preserve"> to Study Group 20 to consider this text for approval (in which case, select one of the two options </w:t>
            </w:r>
            <w:r w:rsidRPr="0054116D">
              <w:rPr>
                <w:rFonts w:eastAsia="Times New Roman"/>
                <w:sz w:val="20"/>
              </w:rPr>
              <w:t>⃝</w:t>
            </w:r>
            <w:r w:rsidRPr="0054116D">
              <w:rPr>
                <w:rFonts w:eastAsia="Times New Roman"/>
                <w:szCs w:val="24"/>
              </w:rPr>
              <w:t>):</w:t>
            </w:r>
          </w:p>
          <w:p w14:paraId="73F1E83B" w14:textId="77777777" w:rsidR="0054116D" w:rsidRPr="0054116D" w:rsidRDefault="0054116D" w:rsidP="005A602F">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lastRenderedPageBreak/>
              <w:t>⃝</w:t>
            </w:r>
            <w:r w:rsidRPr="0054116D">
              <w:rPr>
                <w:rFonts w:eastAsia="Times New Roman"/>
                <w:sz w:val="20"/>
              </w:rPr>
              <w:tab/>
            </w:r>
            <w:r w:rsidRPr="0054116D">
              <w:rPr>
                <w:rFonts w:eastAsia="Times New Roman"/>
                <w:szCs w:val="24"/>
              </w:rPr>
              <w:t>No comments or suggested changes</w:t>
            </w:r>
          </w:p>
          <w:p w14:paraId="22672003" w14:textId="77777777" w:rsidR="0054116D" w:rsidRPr="0054116D" w:rsidRDefault="0054116D" w:rsidP="005A602F">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t>⃝</w:t>
            </w:r>
            <w:r w:rsidRPr="0054116D">
              <w:rPr>
                <w:rFonts w:eastAsia="Times New Roman"/>
                <w:sz w:val="20"/>
              </w:rPr>
              <w:tab/>
            </w:r>
            <w:r w:rsidRPr="0054116D">
              <w:rPr>
                <w:rFonts w:eastAsia="Times New Roman"/>
                <w:szCs w:val="24"/>
              </w:rPr>
              <w:t>Comments and suggested changes are attached</w:t>
            </w:r>
          </w:p>
        </w:tc>
      </w:tr>
      <w:tr w:rsidR="0054116D" w:rsidRPr="0054116D" w14:paraId="6343ECB1" w14:textId="77777777" w:rsidTr="005A602F">
        <w:trPr>
          <w:trHeight w:val="747"/>
        </w:trPr>
        <w:tc>
          <w:tcPr>
            <w:tcW w:w="2085" w:type="dxa"/>
            <w:vMerge/>
            <w:shd w:val="clear" w:color="auto" w:fill="auto"/>
            <w:vAlign w:val="center"/>
          </w:tcPr>
          <w:p w14:paraId="6C24CC4E" w14:textId="77777777" w:rsidR="0054116D" w:rsidRPr="0054116D"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5ABEC2CC" w14:textId="77777777" w:rsidR="0054116D" w:rsidRPr="0054116D"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54116D">
              <w:rPr>
                <w:rFonts w:eastAsia="Times New Roman"/>
                <w:sz w:val="22"/>
                <w:szCs w:val="22"/>
              </w:rPr>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2"/>
                <w:szCs w:val="22"/>
              </w:rPr>
              <w:tab/>
            </w:r>
            <w:r w:rsidRPr="0054116D">
              <w:rPr>
                <w:rFonts w:eastAsia="Times New Roman"/>
                <w:b/>
                <w:bCs/>
                <w:szCs w:val="24"/>
              </w:rPr>
              <w:t>does not assign authority</w:t>
            </w:r>
            <w:r w:rsidRPr="0054116D">
              <w:rPr>
                <w:rFonts w:eastAsia="Times New Roman"/>
                <w:szCs w:val="24"/>
              </w:rPr>
              <w:t xml:space="preserve"> to Study Group 20 to consider this text for approval (</w:t>
            </w:r>
            <w:r w:rsidRPr="0054116D">
              <w:rPr>
                <w:rFonts w:eastAsia="Times New Roman"/>
                <w:szCs w:val="22"/>
              </w:rPr>
              <w:t>reasons for this opinion and an outline of possible changes that would enable the work to progress are attached)</w:t>
            </w:r>
          </w:p>
        </w:tc>
      </w:tr>
      <w:tr w:rsidR="0054116D" w:rsidRPr="0054116D" w14:paraId="411372D3" w14:textId="77777777" w:rsidTr="005A602F">
        <w:trPr>
          <w:trHeight w:val="748"/>
        </w:trPr>
        <w:tc>
          <w:tcPr>
            <w:tcW w:w="2085" w:type="dxa"/>
            <w:vMerge w:val="restart"/>
            <w:shd w:val="clear" w:color="auto" w:fill="auto"/>
            <w:vAlign w:val="center"/>
          </w:tcPr>
          <w:p w14:paraId="6643C398" w14:textId="598C01DA" w:rsidR="0054116D" w:rsidRPr="0054116D" w:rsidRDefault="0054116D" w:rsidP="005A602F">
            <w:pPr>
              <w:spacing w:before="60" w:after="60"/>
              <w:jc w:val="center"/>
              <w:rPr>
                <w:rFonts w:eastAsia="Times New Roman"/>
                <w:b/>
                <w:bCs/>
                <w:szCs w:val="24"/>
                <w:lang w:val="fr-CH"/>
              </w:rPr>
            </w:pPr>
            <w:r w:rsidRPr="0054116D">
              <w:rPr>
                <w:rFonts w:eastAsia="Times New Roman"/>
                <w:b/>
                <w:bCs/>
                <w:szCs w:val="24"/>
                <w:lang w:val="fr-FR"/>
              </w:rPr>
              <w:t xml:space="preserve">Draft new </w:t>
            </w:r>
            <w:proofErr w:type="spellStart"/>
            <w:r w:rsidRPr="0054116D">
              <w:rPr>
                <w:rFonts w:eastAsia="Times New Roman"/>
                <w:b/>
                <w:bCs/>
                <w:szCs w:val="24"/>
                <w:lang w:val="fr-FR"/>
              </w:rPr>
              <w:t>Recommendation</w:t>
            </w:r>
            <w:proofErr w:type="spellEnd"/>
            <w:r w:rsidRPr="0054116D">
              <w:rPr>
                <w:rFonts w:eastAsia="Times New Roman"/>
                <w:b/>
                <w:bCs/>
                <w:szCs w:val="24"/>
                <w:lang w:val="fr-FR"/>
              </w:rPr>
              <w:t xml:space="preserve"> ITU-T </w:t>
            </w:r>
            <w:r w:rsidRPr="0054116D">
              <w:rPr>
                <w:rFonts w:eastAsia="Times New Roman"/>
                <w:b/>
                <w:bCs/>
                <w:szCs w:val="24"/>
                <w:lang w:val="fr-CH"/>
              </w:rPr>
              <w:t xml:space="preserve">Y.4488 (ex </w:t>
            </w:r>
            <w:proofErr w:type="spellStart"/>
            <w:r w:rsidRPr="0054116D">
              <w:rPr>
                <w:rFonts w:eastAsia="Times New Roman"/>
                <w:b/>
                <w:bCs/>
                <w:szCs w:val="24"/>
                <w:lang w:val="fr-CH"/>
              </w:rPr>
              <w:t>Y.IoT-SPWE</w:t>
            </w:r>
            <w:proofErr w:type="spellEnd"/>
            <w:r w:rsidRPr="0054116D">
              <w:rPr>
                <w:rFonts w:eastAsia="Times New Roman"/>
                <w:b/>
                <w:bCs/>
                <w:szCs w:val="24"/>
                <w:lang w:val="fr-CH"/>
              </w:rPr>
              <w:t>)</w:t>
            </w:r>
          </w:p>
        </w:tc>
        <w:tc>
          <w:tcPr>
            <w:tcW w:w="7634" w:type="dxa"/>
            <w:shd w:val="clear" w:color="auto" w:fill="auto"/>
            <w:vAlign w:val="center"/>
          </w:tcPr>
          <w:p w14:paraId="50B38671" w14:textId="77777777" w:rsidR="0054116D" w:rsidRPr="0054116D" w:rsidRDefault="0054116D" w:rsidP="005A602F">
            <w:pPr>
              <w:tabs>
                <w:tab w:val="clear" w:pos="794"/>
                <w:tab w:val="clear" w:pos="1191"/>
                <w:tab w:val="clear" w:pos="1588"/>
                <w:tab w:val="clear" w:pos="1985"/>
              </w:tabs>
              <w:spacing w:before="60" w:after="60"/>
              <w:ind w:left="459" w:hanging="459"/>
              <w:rPr>
                <w:rFonts w:eastAsia="Times New Roman"/>
                <w:szCs w:val="24"/>
              </w:rPr>
            </w:pPr>
            <w:r w:rsidRPr="0054116D">
              <w:rPr>
                <w:rFonts w:eastAsia="Times New Roman"/>
                <w:sz w:val="22"/>
                <w:szCs w:val="22"/>
              </w:rPr>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0"/>
              </w:rPr>
              <w:tab/>
            </w:r>
            <w:r w:rsidRPr="0054116D">
              <w:rPr>
                <w:rFonts w:eastAsia="Times New Roman"/>
                <w:b/>
                <w:bCs/>
                <w:szCs w:val="24"/>
              </w:rPr>
              <w:t>assigns authority</w:t>
            </w:r>
            <w:r w:rsidRPr="0054116D">
              <w:rPr>
                <w:rFonts w:eastAsia="Times New Roman"/>
                <w:szCs w:val="24"/>
              </w:rPr>
              <w:t xml:space="preserve"> to Study Group 20 to consider this text for approval (in which case, select one of the two options </w:t>
            </w:r>
            <w:r w:rsidRPr="0054116D">
              <w:rPr>
                <w:rFonts w:eastAsia="Times New Roman"/>
                <w:sz w:val="20"/>
              </w:rPr>
              <w:t>⃝</w:t>
            </w:r>
            <w:r w:rsidRPr="0054116D">
              <w:rPr>
                <w:rFonts w:eastAsia="Times New Roman"/>
                <w:szCs w:val="24"/>
              </w:rPr>
              <w:t>):</w:t>
            </w:r>
          </w:p>
          <w:p w14:paraId="1239904B" w14:textId="77777777" w:rsidR="0054116D" w:rsidRPr="0054116D" w:rsidRDefault="0054116D" w:rsidP="005A602F">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t>⃝</w:t>
            </w:r>
            <w:r w:rsidRPr="0054116D">
              <w:rPr>
                <w:rFonts w:eastAsia="Times New Roman"/>
                <w:sz w:val="20"/>
              </w:rPr>
              <w:tab/>
            </w:r>
            <w:r w:rsidRPr="0054116D">
              <w:rPr>
                <w:rFonts w:eastAsia="Times New Roman"/>
                <w:szCs w:val="24"/>
              </w:rPr>
              <w:t>No comments or suggested changes</w:t>
            </w:r>
          </w:p>
          <w:p w14:paraId="45614EA9" w14:textId="77777777" w:rsidR="0054116D" w:rsidRPr="0054116D" w:rsidRDefault="0054116D" w:rsidP="005A602F">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t>⃝</w:t>
            </w:r>
            <w:r w:rsidRPr="0054116D">
              <w:rPr>
                <w:rFonts w:eastAsia="Times New Roman"/>
                <w:sz w:val="20"/>
              </w:rPr>
              <w:tab/>
            </w:r>
            <w:r w:rsidRPr="0054116D">
              <w:rPr>
                <w:rFonts w:eastAsia="Times New Roman"/>
                <w:szCs w:val="24"/>
              </w:rPr>
              <w:t>Comments and suggested changes are attached</w:t>
            </w:r>
          </w:p>
        </w:tc>
      </w:tr>
      <w:tr w:rsidR="0054116D" w:rsidRPr="0054116D" w14:paraId="02410F5F" w14:textId="77777777" w:rsidTr="005A602F">
        <w:trPr>
          <w:trHeight w:val="747"/>
        </w:trPr>
        <w:tc>
          <w:tcPr>
            <w:tcW w:w="2085" w:type="dxa"/>
            <w:vMerge/>
            <w:shd w:val="clear" w:color="auto" w:fill="auto"/>
            <w:vAlign w:val="center"/>
          </w:tcPr>
          <w:p w14:paraId="2228E2CB" w14:textId="77777777" w:rsidR="0054116D" w:rsidRPr="0054116D"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15914CEE" w14:textId="77777777" w:rsidR="0054116D" w:rsidRPr="0054116D"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54116D">
              <w:rPr>
                <w:rFonts w:eastAsia="Times New Roman"/>
                <w:sz w:val="22"/>
                <w:szCs w:val="22"/>
              </w:rPr>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2"/>
                <w:szCs w:val="22"/>
              </w:rPr>
              <w:tab/>
            </w:r>
            <w:r w:rsidRPr="0054116D">
              <w:rPr>
                <w:rFonts w:eastAsia="Times New Roman"/>
                <w:b/>
                <w:bCs/>
                <w:szCs w:val="24"/>
              </w:rPr>
              <w:t>does not assign authority</w:t>
            </w:r>
            <w:r w:rsidRPr="0054116D">
              <w:rPr>
                <w:rFonts w:eastAsia="Times New Roman"/>
                <w:szCs w:val="24"/>
              </w:rPr>
              <w:t xml:space="preserve"> to Study Group 20 to consider this text for approval (</w:t>
            </w:r>
            <w:r w:rsidRPr="0054116D">
              <w:rPr>
                <w:rFonts w:eastAsia="Times New Roman"/>
                <w:szCs w:val="22"/>
              </w:rPr>
              <w:t>reasons for this opinion and an outline of possible changes that would enable the work to progress are attached)</w:t>
            </w:r>
          </w:p>
        </w:tc>
      </w:tr>
      <w:tr w:rsidR="0054116D" w:rsidRPr="0054116D" w14:paraId="50178496" w14:textId="77777777" w:rsidTr="005A602F">
        <w:trPr>
          <w:trHeight w:val="748"/>
        </w:trPr>
        <w:tc>
          <w:tcPr>
            <w:tcW w:w="2085" w:type="dxa"/>
            <w:vMerge w:val="restart"/>
            <w:shd w:val="clear" w:color="auto" w:fill="auto"/>
            <w:vAlign w:val="center"/>
          </w:tcPr>
          <w:p w14:paraId="14C74E49" w14:textId="746C8ABA" w:rsidR="0054116D" w:rsidRPr="0054116D" w:rsidRDefault="0054116D" w:rsidP="005A602F">
            <w:pPr>
              <w:spacing w:before="60" w:after="60"/>
              <w:jc w:val="center"/>
              <w:rPr>
                <w:rFonts w:eastAsia="Times New Roman"/>
                <w:b/>
                <w:bCs/>
                <w:szCs w:val="24"/>
                <w:lang w:val="fr-CH"/>
              </w:rPr>
            </w:pPr>
            <w:r w:rsidRPr="0054116D">
              <w:rPr>
                <w:rFonts w:eastAsia="Times New Roman"/>
                <w:b/>
                <w:bCs/>
                <w:szCs w:val="24"/>
                <w:lang w:val="fr-FR"/>
              </w:rPr>
              <w:t xml:space="preserve">Draft new </w:t>
            </w:r>
            <w:proofErr w:type="spellStart"/>
            <w:r w:rsidRPr="0054116D">
              <w:rPr>
                <w:rFonts w:eastAsia="Times New Roman"/>
                <w:b/>
                <w:bCs/>
                <w:szCs w:val="24"/>
                <w:lang w:val="fr-FR"/>
              </w:rPr>
              <w:t>Recommendation</w:t>
            </w:r>
            <w:proofErr w:type="spellEnd"/>
            <w:r w:rsidRPr="0054116D">
              <w:rPr>
                <w:rFonts w:eastAsia="Times New Roman"/>
                <w:b/>
                <w:bCs/>
                <w:szCs w:val="24"/>
                <w:lang w:val="fr-FR"/>
              </w:rPr>
              <w:t xml:space="preserve"> ITU-T </w:t>
            </w:r>
            <w:r w:rsidRPr="0054116D">
              <w:rPr>
                <w:rFonts w:eastAsia="Times New Roman"/>
                <w:b/>
                <w:bCs/>
                <w:szCs w:val="24"/>
                <w:lang w:val="fr-CH"/>
              </w:rPr>
              <w:t xml:space="preserve">Y.4604 (ex </w:t>
            </w:r>
            <w:proofErr w:type="spellStart"/>
            <w:r w:rsidRPr="0054116D">
              <w:rPr>
                <w:rFonts w:eastAsia="Times New Roman"/>
                <w:b/>
                <w:bCs/>
                <w:szCs w:val="24"/>
                <w:lang w:val="fr-CH"/>
              </w:rPr>
              <w:t>Y.IoT-MCSI</w:t>
            </w:r>
            <w:proofErr w:type="spellEnd"/>
            <w:r w:rsidRPr="0054116D">
              <w:rPr>
                <w:rFonts w:eastAsia="Times New Roman"/>
                <w:b/>
                <w:bCs/>
                <w:szCs w:val="24"/>
                <w:lang w:val="fr-CH"/>
              </w:rPr>
              <w:t>)</w:t>
            </w:r>
          </w:p>
        </w:tc>
        <w:tc>
          <w:tcPr>
            <w:tcW w:w="7634" w:type="dxa"/>
            <w:shd w:val="clear" w:color="auto" w:fill="auto"/>
            <w:vAlign w:val="center"/>
          </w:tcPr>
          <w:p w14:paraId="3D12FF8A" w14:textId="77777777" w:rsidR="0054116D" w:rsidRPr="0054116D" w:rsidRDefault="0054116D" w:rsidP="005A602F">
            <w:pPr>
              <w:tabs>
                <w:tab w:val="clear" w:pos="794"/>
                <w:tab w:val="clear" w:pos="1191"/>
                <w:tab w:val="clear" w:pos="1588"/>
                <w:tab w:val="clear" w:pos="1985"/>
              </w:tabs>
              <w:spacing w:before="60" w:after="60"/>
              <w:ind w:left="459" w:hanging="459"/>
              <w:rPr>
                <w:rFonts w:eastAsia="Times New Roman"/>
                <w:szCs w:val="24"/>
              </w:rPr>
            </w:pPr>
            <w:r w:rsidRPr="0054116D">
              <w:rPr>
                <w:rFonts w:eastAsia="Times New Roman"/>
                <w:sz w:val="22"/>
                <w:szCs w:val="22"/>
              </w:rPr>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0"/>
              </w:rPr>
              <w:tab/>
            </w:r>
            <w:r w:rsidRPr="0054116D">
              <w:rPr>
                <w:rFonts w:eastAsia="Times New Roman"/>
                <w:b/>
                <w:bCs/>
                <w:szCs w:val="24"/>
              </w:rPr>
              <w:t>assigns authority</w:t>
            </w:r>
            <w:r w:rsidRPr="0054116D">
              <w:rPr>
                <w:rFonts w:eastAsia="Times New Roman"/>
                <w:szCs w:val="24"/>
              </w:rPr>
              <w:t xml:space="preserve"> to Study Group 20 to consider this text for approval (in which case, select one of the two options </w:t>
            </w:r>
            <w:r w:rsidRPr="0054116D">
              <w:rPr>
                <w:rFonts w:eastAsia="Times New Roman"/>
                <w:sz w:val="20"/>
              </w:rPr>
              <w:t>⃝</w:t>
            </w:r>
            <w:r w:rsidRPr="0054116D">
              <w:rPr>
                <w:rFonts w:eastAsia="Times New Roman"/>
                <w:szCs w:val="24"/>
              </w:rPr>
              <w:t>):</w:t>
            </w:r>
          </w:p>
          <w:p w14:paraId="1CE233BE" w14:textId="77777777" w:rsidR="0054116D" w:rsidRPr="0054116D" w:rsidRDefault="0054116D" w:rsidP="005A602F">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t>⃝</w:t>
            </w:r>
            <w:r w:rsidRPr="0054116D">
              <w:rPr>
                <w:rFonts w:eastAsia="Times New Roman"/>
                <w:sz w:val="20"/>
              </w:rPr>
              <w:tab/>
            </w:r>
            <w:r w:rsidRPr="0054116D">
              <w:rPr>
                <w:rFonts w:eastAsia="Times New Roman"/>
                <w:szCs w:val="24"/>
              </w:rPr>
              <w:t>No comments or suggested changes</w:t>
            </w:r>
          </w:p>
          <w:p w14:paraId="2CE7B500" w14:textId="77777777" w:rsidR="0054116D" w:rsidRPr="0054116D" w:rsidRDefault="0054116D" w:rsidP="005A602F">
            <w:pPr>
              <w:tabs>
                <w:tab w:val="clear" w:pos="794"/>
                <w:tab w:val="clear" w:pos="1191"/>
                <w:tab w:val="clear" w:pos="1588"/>
                <w:tab w:val="clear" w:pos="1985"/>
              </w:tabs>
              <w:spacing w:before="60" w:after="60"/>
              <w:ind w:left="939" w:hanging="459"/>
              <w:rPr>
                <w:rFonts w:eastAsia="Times New Roman"/>
                <w:szCs w:val="24"/>
              </w:rPr>
            </w:pPr>
            <w:r w:rsidRPr="0054116D">
              <w:rPr>
                <w:rFonts w:eastAsia="Times New Roman"/>
                <w:sz w:val="20"/>
              </w:rPr>
              <w:t>⃝</w:t>
            </w:r>
            <w:r w:rsidRPr="0054116D">
              <w:rPr>
                <w:rFonts w:eastAsia="Times New Roman"/>
                <w:sz w:val="20"/>
              </w:rPr>
              <w:tab/>
            </w:r>
            <w:r w:rsidRPr="0054116D">
              <w:rPr>
                <w:rFonts w:eastAsia="Times New Roman"/>
                <w:szCs w:val="24"/>
              </w:rPr>
              <w:t>Comments and suggested changes are attached</w:t>
            </w:r>
          </w:p>
        </w:tc>
      </w:tr>
      <w:tr w:rsidR="0054116D" w:rsidRPr="0054116D" w14:paraId="37472D94" w14:textId="77777777" w:rsidTr="005A602F">
        <w:trPr>
          <w:trHeight w:val="747"/>
        </w:trPr>
        <w:tc>
          <w:tcPr>
            <w:tcW w:w="2085" w:type="dxa"/>
            <w:vMerge/>
            <w:shd w:val="clear" w:color="auto" w:fill="auto"/>
            <w:vAlign w:val="center"/>
          </w:tcPr>
          <w:p w14:paraId="31464230" w14:textId="77777777" w:rsidR="0054116D" w:rsidRPr="0054116D" w:rsidRDefault="0054116D" w:rsidP="005A602F">
            <w:pPr>
              <w:spacing w:before="60" w:after="60"/>
              <w:jc w:val="center"/>
              <w:rPr>
                <w:rFonts w:eastAsia="Times New Roman"/>
                <w:b/>
                <w:bCs/>
                <w:szCs w:val="24"/>
                <w:lang w:val="en-US"/>
              </w:rPr>
            </w:pPr>
          </w:p>
        </w:tc>
        <w:tc>
          <w:tcPr>
            <w:tcW w:w="7634" w:type="dxa"/>
            <w:shd w:val="clear" w:color="auto" w:fill="auto"/>
            <w:vAlign w:val="center"/>
          </w:tcPr>
          <w:p w14:paraId="6F660127" w14:textId="77777777" w:rsidR="0054116D" w:rsidRPr="0054116D" w:rsidRDefault="0054116D" w:rsidP="005A602F">
            <w:pPr>
              <w:tabs>
                <w:tab w:val="clear" w:pos="794"/>
                <w:tab w:val="clear" w:pos="1191"/>
                <w:tab w:val="clear" w:pos="1588"/>
                <w:tab w:val="clear" w:pos="1985"/>
                <w:tab w:val="left" w:pos="250"/>
              </w:tabs>
              <w:spacing w:before="60" w:after="60"/>
              <w:ind w:left="459" w:hanging="459"/>
              <w:rPr>
                <w:rFonts w:eastAsia="Times New Roman"/>
                <w:sz w:val="20"/>
              </w:rPr>
            </w:pPr>
            <w:r w:rsidRPr="0054116D">
              <w:rPr>
                <w:rFonts w:eastAsia="Times New Roman"/>
                <w:sz w:val="22"/>
                <w:szCs w:val="22"/>
              </w:rPr>
              <w:fldChar w:fldCharType="begin">
                <w:ffData>
                  <w:name w:val="Check1"/>
                  <w:enabled/>
                  <w:calcOnExit w:val="0"/>
                  <w:checkBox>
                    <w:sizeAuto/>
                    <w:default w:val="0"/>
                  </w:checkBox>
                </w:ffData>
              </w:fldChar>
            </w:r>
            <w:r w:rsidRPr="0054116D">
              <w:rPr>
                <w:rFonts w:eastAsia="Times New Roman"/>
                <w:sz w:val="22"/>
                <w:szCs w:val="22"/>
              </w:rPr>
              <w:instrText xml:space="preserve"> FORMCHECKBOX </w:instrText>
            </w:r>
            <w:r w:rsidR="00C01F40">
              <w:rPr>
                <w:rFonts w:eastAsia="Times New Roman"/>
                <w:sz w:val="22"/>
                <w:szCs w:val="22"/>
              </w:rPr>
            </w:r>
            <w:r w:rsidR="00C01F40">
              <w:rPr>
                <w:rFonts w:eastAsia="Times New Roman"/>
                <w:sz w:val="22"/>
                <w:szCs w:val="22"/>
              </w:rPr>
              <w:fldChar w:fldCharType="separate"/>
            </w:r>
            <w:r w:rsidRPr="0054116D">
              <w:rPr>
                <w:rFonts w:eastAsia="Times New Roman"/>
                <w:sz w:val="22"/>
                <w:szCs w:val="22"/>
              </w:rPr>
              <w:fldChar w:fldCharType="end"/>
            </w:r>
            <w:r w:rsidRPr="0054116D">
              <w:rPr>
                <w:rFonts w:eastAsia="Times New Roman"/>
                <w:sz w:val="22"/>
                <w:szCs w:val="22"/>
              </w:rPr>
              <w:tab/>
            </w:r>
            <w:r w:rsidRPr="0054116D">
              <w:rPr>
                <w:rFonts w:eastAsia="Times New Roman"/>
                <w:b/>
                <w:bCs/>
                <w:szCs w:val="24"/>
              </w:rPr>
              <w:t>does not assign authority</w:t>
            </w:r>
            <w:r w:rsidRPr="0054116D">
              <w:rPr>
                <w:rFonts w:eastAsia="Times New Roman"/>
                <w:szCs w:val="24"/>
              </w:rPr>
              <w:t xml:space="preserve"> to Study Group 20 to consider this text for approval (</w:t>
            </w:r>
            <w:r w:rsidRPr="0054116D">
              <w:rPr>
                <w:rFonts w:eastAsia="Times New Roman"/>
                <w:szCs w:val="22"/>
              </w:rPr>
              <w:t>reasons for this opinion and an outline of possible changes that would enable the work to progress are attached)</w:t>
            </w:r>
          </w:p>
        </w:tc>
      </w:tr>
    </w:tbl>
    <w:p w14:paraId="7019470A" w14:textId="77777777" w:rsidR="0054116D" w:rsidRPr="0054116D" w:rsidRDefault="0054116D" w:rsidP="00B60460">
      <w:pPr>
        <w:rPr>
          <w:rFonts w:eastAsia="Times New Roman"/>
        </w:rPr>
      </w:pPr>
    </w:p>
    <w:p w14:paraId="73B2D369" w14:textId="2E654EE5" w:rsidR="0054116D" w:rsidRPr="0054116D" w:rsidRDefault="0054116D" w:rsidP="00B60460">
      <w:pPr>
        <w:rPr>
          <w:rFonts w:eastAsia="Times New Roman"/>
        </w:rPr>
      </w:pPr>
    </w:p>
    <w:p w14:paraId="7F906275" w14:textId="77777777" w:rsidR="0054116D" w:rsidRPr="0054116D" w:rsidRDefault="0054116D" w:rsidP="00B60460">
      <w:pPr>
        <w:rPr>
          <w:rFonts w:eastAsia="Times New Roman"/>
        </w:rPr>
      </w:pPr>
    </w:p>
    <w:p w14:paraId="30B7FC77" w14:textId="77777777" w:rsidR="00B60460" w:rsidRPr="0054116D" w:rsidRDefault="00B60460" w:rsidP="00B60460">
      <w:pPr>
        <w:spacing w:before="0"/>
        <w:rPr>
          <w:rFonts w:eastAsia="Times New Roman"/>
        </w:rPr>
      </w:pPr>
      <w:r w:rsidRPr="0054116D">
        <w:rPr>
          <w:rFonts w:eastAsia="Times New Roman"/>
        </w:rPr>
        <w:t>Yours faithfully,</w:t>
      </w:r>
    </w:p>
    <w:p w14:paraId="1D5D24AB" w14:textId="77777777" w:rsidR="00B60460" w:rsidRPr="0054116D" w:rsidRDefault="00B60460" w:rsidP="00B60460">
      <w:pPr>
        <w:rPr>
          <w:rFonts w:eastAsia="Times New Roman"/>
        </w:rPr>
      </w:pPr>
    </w:p>
    <w:p w14:paraId="195479E2" w14:textId="77777777" w:rsidR="00B60460" w:rsidRPr="0054116D" w:rsidRDefault="00B60460" w:rsidP="00B60460">
      <w:pPr>
        <w:rPr>
          <w:rFonts w:eastAsia="Times New Roman"/>
          <w:szCs w:val="24"/>
        </w:rPr>
      </w:pPr>
      <w:r w:rsidRPr="0054116D">
        <w:rPr>
          <w:rFonts w:eastAsia="Times New Roman"/>
          <w:szCs w:val="24"/>
        </w:rPr>
        <w:t>[Name]</w:t>
      </w:r>
    </w:p>
    <w:p w14:paraId="58D48AB2" w14:textId="77777777" w:rsidR="00B60460" w:rsidRPr="0054116D" w:rsidRDefault="00B60460" w:rsidP="00B60460">
      <w:pPr>
        <w:rPr>
          <w:rFonts w:eastAsia="Times New Roman"/>
          <w:szCs w:val="24"/>
        </w:rPr>
      </w:pPr>
      <w:r w:rsidRPr="0054116D">
        <w:rPr>
          <w:rFonts w:eastAsia="Times New Roman"/>
          <w:szCs w:val="24"/>
        </w:rPr>
        <w:t>[Official role/title]</w:t>
      </w:r>
    </w:p>
    <w:p w14:paraId="6CD9C652" w14:textId="77777777" w:rsidR="00B60460" w:rsidRPr="0054116D" w:rsidRDefault="00B60460" w:rsidP="00B60460">
      <w:pPr>
        <w:rPr>
          <w:rFonts w:eastAsia="Times New Roman"/>
          <w:szCs w:val="24"/>
        </w:rPr>
      </w:pPr>
      <w:r w:rsidRPr="0054116D">
        <w:rPr>
          <w:rFonts w:eastAsia="Times New Roman"/>
          <w:szCs w:val="24"/>
        </w:rPr>
        <w:t>Administration of [Member State]</w:t>
      </w:r>
    </w:p>
    <w:p w14:paraId="799A3B0F" w14:textId="77777777" w:rsidR="00B60460" w:rsidRPr="00B60460" w:rsidRDefault="00B60460" w:rsidP="00B60460">
      <w:pPr>
        <w:jc w:val="center"/>
        <w:rPr>
          <w:rFonts w:eastAsia="Times New Roman"/>
        </w:rPr>
      </w:pPr>
      <w:r w:rsidRPr="0054116D">
        <w:rPr>
          <w:rFonts w:eastAsia="Times New Roman"/>
        </w:rPr>
        <w:t>___________</w:t>
      </w:r>
    </w:p>
    <w:p w14:paraId="4EE98D43" w14:textId="77777777" w:rsidR="00B60460" w:rsidRPr="00042225" w:rsidRDefault="00B60460" w:rsidP="00B60460">
      <w:pPr>
        <w:spacing w:before="240"/>
        <w:rPr>
          <w:rFonts w:cs="Calibri"/>
          <w:sz w:val="22"/>
          <w:szCs w:val="22"/>
        </w:rPr>
      </w:pPr>
    </w:p>
    <w:sectPr w:rsidR="00B60460" w:rsidRPr="00042225" w:rsidSect="00FA46A0">
      <w:headerReference w:type="default" r:id="rId20"/>
      <w:footerReference w:type="first" r:id="rId2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6B0D" w14:textId="77777777" w:rsidR="003C7446" w:rsidRDefault="003C7446">
      <w:r>
        <w:separator/>
      </w:r>
    </w:p>
  </w:endnote>
  <w:endnote w:type="continuationSeparator" w:id="0">
    <w:p w14:paraId="390380D9" w14:textId="77777777" w:rsidR="003C7446" w:rsidRDefault="003C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BDE8" w14:textId="57B2D251" w:rsidR="00FA46A0" w:rsidRPr="001F1202" w:rsidRDefault="001F1202" w:rsidP="001F120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CBD1" w14:textId="77777777" w:rsidR="003C7446" w:rsidRDefault="003C7446">
      <w:r>
        <w:t>____________________</w:t>
      </w:r>
    </w:p>
  </w:footnote>
  <w:footnote w:type="continuationSeparator" w:id="0">
    <w:p w14:paraId="217AB9B7" w14:textId="77777777" w:rsidR="003C7446" w:rsidRDefault="003C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13BF" w14:textId="3A9C38B8"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3212A7" w:rsidRPr="003212A7">
      <w:rPr>
        <w:noProof/>
      </w:rPr>
      <w:t xml:space="preserve">TSB Circular </w:t>
    </w:r>
    <w:r w:rsidR="00A43097">
      <w:rPr>
        <w:noProof/>
      </w:rPr>
      <w:t>96</w:t>
    </w:r>
  </w:p>
  <w:p w14:paraId="07F5543E"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174BD"/>
    <w:multiLevelType w:val="hybridMultilevel"/>
    <w:tmpl w:val="AAD2C5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972807">
    <w:abstractNumId w:val="9"/>
  </w:num>
  <w:num w:numId="2" w16cid:durableId="1151946096">
    <w:abstractNumId w:val="7"/>
  </w:num>
  <w:num w:numId="3" w16cid:durableId="1161114181">
    <w:abstractNumId w:val="6"/>
  </w:num>
  <w:num w:numId="4" w16cid:durableId="1680883768">
    <w:abstractNumId w:val="5"/>
  </w:num>
  <w:num w:numId="5" w16cid:durableId="560822676">
    <w:abstractNumId w:val="4"/>
  </w:num>
  <w:num w:numId="6" w16cid:durableId="1006789791">
    <w:abstractNumId w:val="8"/>
  </w:num>
  <w:num w:numId="7" w16cid:durableId="1045180611">
    <w:abstractNumId w:val="3"/>
  </w:num>
  <w:num w:numId="8" w16cid:durableId="38361560">
    <w:abstractNumId w:val="2"/>
  </w:num>
  <w:num w:numId="9" w16cid:durableId="1573587868">
    <w:abstractNumId w:val="1"/>
  </w:num>
  <w:num w:numId="10" w16cid:durableId="2141730466">
    <w:abstractNumId w:val="0"/>
  </w:num>
  <w:num w:numId="11" w16cid:durableId="1577783453">
    <w:abstractNumId w:val="11"/>
  </w:num>
  <w:num w:numId="12" w16cid:durableId="789200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zQ0Mjc3MjI1NjdV0lEKTi0uzszPAykwrAUAAiEb9CwAAAA="/>
  </w:docVars>
  <w:rsids>
    <w:rsidRoot w:val="002A7B41"/>
    <w:rsid w:val="00012BB7"/>
    <w:rsid w:val="00013325"/>
    <w:rsid w:val="00022E6B"/>
    <w:rsid w:val="0002793D"/>
    <w:rsid w:val="00042225"/>
    <w:rsid w:val="00052293"/>
    <w:rsid w:val="00060B63"/>
    <w:rsid w:val="00061C09"/>
    <w:rsid w:val="00063A32"/>
    <w:rsid w:val="00082D5E"/>
    <w:rsid w:val="0008374E"/>
    <w:rsid w:val="00086F4E"/>
    <w:rsid w:val="000A2044"/>
    <w:rsid w:val="000B15C8"/>
    <w:rsid w:val="000B615A"/>
    <w:rsid w:val="000F4CAB"/>
    <w:rsid w:val="001018E1"/>
    <w:rsid w:val="00112F37"/>
    <w:rsid w:val="001440D7"/>
    <w:rsid w:val="0015654A"/>
    <w:rsid w:val="00156D55"/>
    <w:rsid w:val="00172D0A"/>
    <w:rsid w:val="001A34EC"/>
    <w:rsid w:val="001C580D"/>
    <w:rsid w:val="001C6A78"/>
    <w:rsid w:val="001F1202"/>
    <w:rsid w:val="001F5F48"/>
    <w:rsid w:val="00204C6F"/>
    <w:rsid w:val="00213252"/>
    <w:rsid w:val="00230AEA"/>
    <w:rsid w:val="00232F01"/>
    <w:rsid w:val="00236CF5"/>
    <w:rsid w:val="00237686"/>
    <w:rsid w:val="0024614D"/>
    <w:rsid w:val="00246730"/>
    <w:rsid w:val="00256582"/>
    <w:rsid w:val="00262C6E"/>
    <w:rsid w:val="0027218A"/>
    <w:rsid w:val="002722B2"/>
    <w:rsid w:val="00280863"/>
    <w:rsid w:val="002A7B41"/>
    <w:rsid w:val="002D65F7"/>
    <w:rsid w:val="002D69A3"/>
    <w:rsid w:val="002E064A"/>
    <w:rsid w:val="00302517"/>
    <w:rsid w:val="0031216D"/>
    <w:rsid w:val="003212A7"/>
    <w:rsid w:val="00324EAC"/>
    <w:rsid w:val="003504F4"/>
    <w:rsid w:val="00352722"/>
    <w:rsid w:val="00352AC7"/>
    <w:rsid w:val="00356B73"/>
    <w:rsid w:val="003746A5"/>
    <w:rsid w:val="0039147E"/>
    <w:rsid w:val="003B4ECB"/>
    <w:rsid w:val="003C20A2"/>
    <w:rsid w:val="003C3E2D"/>
    <w:rsid w:val="003C7446"/>
    <w:rsid w:val="003D4690"/>
    <w:rsid w:val="003E62FA"/>
    <w:rsid w:val="003F0E6C"/>
    <w:rsid w:val="003F6436"/>
    <w:rsid w:val="0040760F"/>
    <w:rsid w:val="00413868"/>
    <w:rsid w:val="004220C1"/>
    <w:rsid w:val="004245E2"/>
    <w:rsid w:val="0043409A"/>
    <w:rsid w:val="00437A87"/>
    <w:rsid w:val="00442FAB"/>
    <w:rsid w:val="00453CEA"/>
    <w:rsid w:val="00477CBA"/>
    <w:rsid w:val="00487330"/>
    <w:rsid w:val="00497010"/>
    <w:rsid w:val="004A5C4E"/>
    <w:rsid w:val="004B1816"/>
    <w:rsid w:val="004E2EF1"/>
    <w:rsid w:val="004F0197"/>
    <w:rsid w:val="00500E42"/>
    <w:rsid w:val="00503ADB"/>
    <w:rsid w:val="005056AB"/>
    <w:rsid w:val="00531E25"/>
    <w:rsid w:val="0054116D"/>
    <w:rsid w:val="00554B6D"/>
    <w:rsid w:val="00565F4C"/>
    <w:rsid w:val="005677BF"/>
    <w:rsid w:val="00572180"/>
    <w:rsid w:val="0058276E"/>
    <w:rsid w:val="00587ED5"/>
    <w:rsid w:val="0059480C"/>
    <w:rsid w:val="005B2095"/>
    <w:rsid w:val="005C0870"/>
    <w:rsid w:val="005E003C"/>
    <w:rsid w:val="00601EE8"/>
    <w:rsid w:val="00632A08"/>
    <w:rsid w:val="00634658"/>
    <w:rsid w:val="00635976"/>
    <w:rsid w:val="00645E21"/>
    <w:rsid w:val="00656B29"/>
    <w:rsid w:val="00656CEC"/>
    <w:rsid w:val="00677B26"/>
    <w:rsid w:val="006832B3"/>
    <w:rsid w:val="006A35BC"/>
    <w:rsid w:val="006B047C"/>
    <w:rsid w:val="006B49C0"/>
    <w:rsid w:val="006B7EC1"/>
    <w:rsid w:val="006C3DC8"/>
    <w:rsid w:val="006C66E3"/>
    <w:rsid w:val="006D403A"/>
    <w:rsid w:val="006E7AE7"/>
    <w:rsid w:val="00702700"/>
    <w:rsid w:val="0070602B"/>
    <w:rsid w:val="00730A58"/>
    <w:rsid w:val="0075209E"/>
    <w:rsid w:val="00764DE9"/>
    <w:rsid w:val="00773AF9"/>
    <w:rsid w:val="00774196"/>
    <w:rsid w:val="00776EDA"/>
    <w:rsid w:val="0078395B"/>
    <w:rsid w:val="0079763E"/>
    <w:rsid w:val="007A2FD8"/>
    <w:rsid w:val="007A65E8"/>
    <w:rsid w:val="007F18B4"/>
    <w:rsid w:val="00820981"/>
    <w:rsid w:val="00842AEC"/>
    <w:rsid w:val="008467E5"/>
    <w:rsid w:val="00847FA5"/>
    <w:rsid w:val="00881924"/>
    <w:rsid w:val="00894250"/>
    <w:rsid w:val="008963CA"/>
    <w:rsid w:val="008B1B0E"/>
    <w:rsid w:val="008D07B3"/>
    <w:rsid w:val="008E4D37"/>
    <w:rsid w:val="008E68C3"/>
    <w:rsid w:val="00905D31"/>
    <w:rsid w:val="0092266A"/>
    <w:rsid w:val="0092612D"/>
    <w:rsid w:val="00956917"/>
    <w:rsid w:val="00956FE8"/>
    <w:rsid w:val="00963900"/>
    <w:rsid w:val="009747C5"/>
    <w:rsid w:val="009B2EB5"/>
    <w:rsid w:val="009D7100"/>
    <w:rsid w:val="00A12F30"/>
    <w:rsid w:val="00A256EF"/>
    <w:rsid w:val="00A34E28"/>
    <w:rsid w:val="00A43097"/>
    <w:rsid w:val="00A72C30"/>
    <w:rsid w:val="00AB2B12"/>
    <w:rsid w:val="00AE1576"/>
    <w:rsid w:val="00AE2E13"/>
    <w:rsid w:val="00AF2981"/>
    <w:rsid w:val="00B07F9F"/>
    <w:rsid w:val="00B126CE"/>
    <w:rsid w:val="00B2488F"/>
    <w:rsid w:val="00B40730"/>
    <w:rsid w:val="00B4669D"/>
    <w:rsid w:val="00B60460"/>
    <w:rsid w:val="00B61012"/>
    <w:rsid w:val="00B625DD"/>
    <w:rsid w:val="00B62712"/>
    <w:rsid w:val="00B770C6"/>
    <w:rsid w:val="00BA17E8"/>
    <w:rsid w:val="00BA5FF8"/>
    <w:rsid w:val="00BC1CCB"/>
    <w:rsid w:val="00C01F40"/>
    <w:rsid w:val="00C05DB8"/>
    <w:rsid w:val="00C32848"/>
    <w:rsid w:val="00C40781"/>
    <w:rsid w:val="00C85F0F"/>
    <w:rsid w:val="00C95BF6"/>
    <w:rsid w:val="00CE4985"/>
    <w:rsid w:val="00D06A5D"/>
    <w:rsid w:val="00D072E7"/>
    <w:rsid w:val="00D32B6E"/>
    <w:rsid w:val="00D4441B"/>
    <w:rsid w:val="00D62702"/>
    <w:rsid w:val="00D67E11"/>
    <w:rsid w:val="00D836C0"/>
    <w:rsid w:val="00DB32A3"/>
    <w:rsid w:val="00DC5F6F"/>
    <w:rsid w:val="00DE1B74"/>
    <w:rsid w:val="00E150D7"/>
    <w:rsid w:val="00E156A1"/>
    <w:rsid w:val="00E26ACA"/>
    <w:rsid w:val="00E54AFA"/>
    <w:rsid w:val="00E609F7"/>
    <w:rsid w:val="00E83BB1"/>
    <w:rsid w:val="00EA2114"/>
    <w:rsid w:val="00EB318B"/>
    <w:rsid w:val="00EC15F4"/>
    <w:rsid w:val="00F020AB"/>
    <w:rsid w:val="00F07730"/>
    <w:rsid w:val="00F22314"/>
    <w:rsid w:val="00F2238A"/>
    <w:rsid w:val="00F2359E"/>
    <w:rsid w:val="00F243C2"/>
    <w:rsid w:val="00F458DE"/>
    <w:rsid w:val="00F46912"/>
    <w:rsid w:val="00F61EF1"/>
    <w:rsid w:val="00F626A1"/>
    <w:rsid w:val="00F6776B"/>
    <w:rsid w:val="00F879E6"/>
    <w:rsid w:val="00F96E12"/>
    <w:rsid w:val="00FA46A0"/>
    <w:rsid w:val="00FA589C"/>
    <w:rsid w:val="00FB2124"/>
    <w:rsid w:val="00FC1C19"/>
    <w:rsid w:val="00FF4E07"/>
    <w:rsid w:val="00FF5729"/>
    <w:rsid w:val="00FF7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A7B41"/>
    <w:rPr>
      <w:color w:val="605E5C"/>
      <w:shd w:val="clear" w:color="auto" w:fill="E1DFDD"/>
    </w:rPr>
  </w:style>
  <w:style w:type="paragraph" w:styleId="ListParagraph">
    <w:name w:val="List Paragraph"/>
    <w:basedOn w:val="Normal"/>
    <w:qFormat/>
    <w:rsid w:val="002D69A3"/>
    <w:pPr>
      <w:ind w:left="720"/>
      <w:contextualSpacing/>
    </w:pPr>
  </w:style>
  <w:style w:type="paragraph" w:styleId="Revision">
    <w:name w:val="Revision"/>
    <w:hidden/>
    <w:semiHidden/>
    <w:rsid w:val="00764DE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874">
      <w:bodyDiv w:val="1"/>
      <w:marLeft w:val="0"/>
      <w:marRight w:val="0"/>
      <w:marTop w:val="0"/>
      <w:marBottom w:val="0"/>
      <w:divBdr>
        <w:top w:val="none" w:sz="0" w:space="0" w:color="auto"/>
        <w:left w:val="none" w:sz="0" w:space="0" w:color="auto"/>
        <w:bottom w:val="none" w:sz="0" w:space="0" w:color="auto"/>
        <w:right w:val="none" w:sz="0" w:space="0" w:color="auto"/>
      </w:divBdr>
    </w:div>
    <w:div w:id="23805873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28869171">
      <w:bodyDiv w:val="1"/>
      <w:marLeft w:val="0"/>
      <w:marRight w:val="0"/>
      <w:marTop w:val="0"/>
      <w:marBottom w:val="0"/>
      <w:divBdr>
        <w:top w:val="none" w:sz="0" w:space="0" w:color="auto"/>
        <w:left w:val="none" w:sz="0" w:space="0" w:color="auto"/>
        <w:bottom w:val="none" w:sz="0" w:space="0" w:color="auto"/>
        <w:right w:val="none" w:sz="0" w:space="0" w:color="auto"/>
      </w:divBdr>
    </w:div>
    <w:div w:id="1226843764">
      <w:bodyDiv w:val="1"/>
      <w:marLeft w:val="0"/>
      <w:marRight w:val="0"/>
      <w:marTop w:val="0"/>
      <w:marBottom w:val="0"/>
      <w:divBdr>
        <w:top w:val="none" w:sz="0" w:space="0" w:color="auto"/>
        <w:left w:val="none" w:sz="0" w:space="0" w:color="auto"/>
        <w:bottom w:val="none" w:sz="0" w:space="0" w:color="auto"/>
        <w:right w:val="none" w:sz="0" w:space="0" w:color="auto"/>
      </w:divBdr>
    </w:div>
    <w:div w:id="1436628643">
      <w:bodyDiv w:val="1"/>
      <w:marLeft w:val="0"/>
      <w:marRight w:val="0"/>
      <w:marTop w:val="0"/>
      <w:marBottom w:val="0"/>
      <w:divBdr>
        <w:top w:val="none" w:sz="0" w:space="0" w:color="auto"/>
        <w:left w:val="none" w:sz="0" w:space="0" w:color="auto"/>
        <w:bottom w:val="none" w:sz="0" w:space="0" w:color="auto"/>
        <w:right w:val="none" w:sz="0" w:space="0" w:color="auto"/>
      </w:divBdr>
    </w:div>
    <w:div w:id="1618247648">
      <w:bodyDiv w:val="1"/>
      <w:marLeft w:val="0"/>
      <w:marRight w:val="0"/>
      <w:marTop w:val="0"/>
      <w:marBottom w:val="0"/>
      <w:divBdr>
        <w:top w:val="none" w:sz="0" w:space="0" w:color="auto"/>
        <w:left w:val="none" w:sz="0" w:space="0" w:color="auto"/>
        <w:bottom w:val="none" w:sz="0" w:space="0" w:color="auto"/>
        <w:right w:val="none" w:sz="0" w:space="0" w:color="auto"/>
      </w:divBdr>
    </w:div>
    <w:div w:id="1848592252">
      <w:bodyDiv w:val="1"/>
      <w:marLeft w:val="0"/>
      <w:marRight w:val="0"/>
      <w:marTop w:val="0"/>
      <w:marBottom w:val="0"/>
      <w:divBdr>
        <w:top w:val="none" w:sz="0" w:space="0" w:color="auto"/>
        <w:left w:val="none" w:sz="0" w:space="0" w:color="auto"/>
        <w:bottom w:val="none" w:sz="0" w:space="0" w:color="auto"/>
        <w:right w:val="none" w:sz="0" w:space="0" w:color="auto"/>
      </w:divBdr>
    </w:div>
    <w:div w:id="1919899855">
      <w:bodyDiv w:val="1"/>
      <w:marLeft w:val="0"/>
      <w:marRight w:val="0"/>
      <w:marTop w:val="0"/>
      <w:marBottom w:val="0"/>
      <w:divBdr>
        <w:top w:val="none" w:sz="0" w:space="0" w:color="auto"/>
        <w:left w:val="none" w:sz="0" w:space="0" w:color="auto"/>
        <w:bottom w:val="none" w:sz="0" w:space="0" w:color="auto"/>
        <w:right w:val="none" w:sz="0" w:space="0" w:color="auto"/>
      </w:divBdr>
    </w:div>
    <w:div w:id="20738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05/en" TargetMode="External"/><Relationship Id="rId18" Type="http://schemas.openxmlformats.org/officeDocument/2006/relationships/hyperlink" Target="https://www.itu.int/md/T22-SG20-R-0010/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20-R-0009/en" TargetMode="External"/><Relationship Id="rId2" Type="http://schemas.openxmlformats.org/officeDocument/2006/relationships/numbering" Target="numbering.xml"/><Relationship Id="rId16" Type="http://schemas.openxmlformats.org/officeDocument/2006/relationships/hyperlink" Target="https://www.itu.int/md/T22-SG20-R-000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yperlink" Target="https://www.itu.int/md/T22-SG20-R-0007/en" TargetMode="External"/><Relationship Id="rId23" Type="http://schemas.openxmlformats.org/officeDocument/2006/relationships/theme" Target="theme/theme1.xml"/><Relationship Id="rId10" Type="http://schemas.openxmlformats.org/officeDocument/2006/relationships/hyperlink" Target="https://www.itu.int/md/meetingdoc.asp?lang=en&amp;parent=T22-SG20-COL-0003"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2-SG20-R-0006/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997D-A29C-4087-9C8C-8F733593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68</TotalTime>
  <Pages>6</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tsb circular xxx - tap.docx  For: _x000d_Document date: _x000d_Saved by ITU51014379 at 10:23:03 on 14.09.2022</dc:description>
  <cp:lastModifiedBy>Braud, Olivia</cp:lastModifiedBy>
  <cp:revision>31</cp:revision>
  <cp:lastPrinted>2023-05-03T13:37:00Z</cp:lastPrinted>
  <dcterms:created xsi:type="dcterms:W3CDTF">2022-08-04T08:51:00Z</dcterms:created>
  <dcterms:modified xsi:type="dcterms:W3CDTF">2023-05-03T13:38:00Z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xxx - tap.docx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