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1126"/>
        <w:gridCol w:w="284"/>
        <w:gridCol w:w="3260"/>
        <w:gridCol w:w="3119"/>
        <w:gridCol w:w="1984"/>
      </w:tblGrid>
      <w:tr w:rsidR="00036B70" w:rsidRPr="00D44CF8" w14:paraId="55381D21" w14:textId="77777777" w:rsidTr="008B2FBA">
        <w:trPr>
          <w:cantSplit/>
          <w:jc w:val="center"/>
        </w:trPr>
        <w:tc>
          <w:tcPr>
            <w:tcW w:w="1418" w:type="dxa"/>
            <w:gridSpan w:val="3"/>
            <w:vAlign w:val="center"/>
          </w:tcPr>
          <w:p w14:paraId="56744256" w14:textId="77777777" w:rsidR="00036B70" w:rsidRPr="00D44CF8" w:rsidRDefault="00036B70" w:rsidP="00134365">
            <w:pPr>
              <w:tabs>
                <w:tab w:val="right" w:pos="8732"/>
              </w:tabs>
              <w:spacing w:before="0"/>
              <w:rPr>
                <w:b/>
                <w:bCs/>
                <w:iCs/>
                <w:color w:val="FFFFFF"/>
                <w:sz w:val="30"/>
                <w:szCs w:val="30"/>
              </w:rPr>
            </w:pPr>
            <w:bookmarkStart w:id="0" w:name="StartTyping_F"/>
            <w:bookmarkEnd w:id="0"/>
            <w:r w:rsidRPr="00D44CF8">
              <w:rPr>
                <w:noProof/>
                <w:lang w:val="en-US"/>
              </w:rPr>
              <w:drawing>
                <wp:inline distT="0" distB="0" distL="0" distR="0" wp14:anchorId="1E09F28C" wp14:editId="7EAAA66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521C52B" w14:textId="77777777" w:rsidR="00036B70" w:rsidRPr="00D44CF8" w:rsidRDefault="00036B70" w:rsidP="00134365">
            <w:pPr>
              <w:spacing w:before="0"/>
              <w:rPr>
                <w:rFonts w:cs="Times New Roman Bold"/>
                <w:b/>
                <w:bCs/>
                <w:iCs/>
                <w:smallCaps/>
                <w:sz w:val="34"/>
                <w:szCs w:val="34"/>
              </w:rPr>
            </w:pPr>
            <w:r w:rsidRPr="00D44CF8">
              <w:rPr>
                <w:rFonts w:cs="Times New Roman Bold"/>
                <w:b/>
                <w:bCs/>
                <w:iCs/>
                <w:smallCaps/>
                <w:sz w:val="34"/>
                <w:szCs w:val="34"/>
              </w:rPr>
              <w:t>Union internationale des télécommunications</w:t>
            </w:r>
          </w:p>
          <w:p w14:paraId="3B95D9FD" w14:textId="77777777" w:rsidR="00036B70" w:rsidRPr="00D44CF8" w:rsidRDefault="00036B70" w:rsidP="00134365">
            <w:pPr>
              <w:tabs>
                <w:tab w:val="right" w:pos="8732"/>
              </w:tabs>
              <w:spacing w:before="0"/>
              <w:rPr>
                <w:b/>
                <w:bCs/>
                <w:iCs/>
                <w:color w:val="FFFFFF"/>
                <w:sz w:val="30"/>
                <w:szCs w:val="30"/>
              </w:rPr>
            </w:pPr>
            <w:r w:rsidRPr="00D44CF8">
              <w:rPr>
                <w:rFonts w:cs="Times New Roman Bold"/>
                <w:b/>
                <w:bCs/>
                <w:iCs/>
                <w:smallCaps/>
                <w:sz w:val="28"/>
                <w:szCs w:val="28"/>
              </w:rPr>
              <w:t>B</w:t>
            </w:r>
            <w:r w:rsidRPr="00D44CF8">
              <w:rPr>
                <w:b/>
                <w:bCs/>
                <w:iCs/>
                <w:smallCaps/>
                <w:sz w:val="28"/>
                <w:szCs w:val="28"/>
              </w:rPr>
              <w:t>ureau de la Normalisation des Télécommunications</w:t>
            </w:r>
          </w:p>
        </w:tc>
        <w:tc>
          <w:tcPr>
            <w:tcW w:w="1984" w:type="dxa"/>
            <w:vAlign w:val="center"/>
          </w:tcPr>
          <w:p w14:paraId="7ED890CE" w14:textId="77777777" w:rsidR="00036B70" w:rsidRPr="00D44CF8" w:rsidRDefault="00036B70" w:rsidP="00134365">
            <w:pPr>
              <w:spacing w:before="0"/>
              <w:jc w:val="right"/>
              <w:rPr>
                <w:color w:val="FFFFFF"/>
                <w:sz w:val="26"/>
                <w:szCs w:val="26"/>
              </w:rPr>
            </w:pPr>
          </w:p>
        </w:tc>
      </w:tr>
      <w:tr w:rsidR="00036B70" w:rsidRPr="00D44CF8" w14:paraId="7436AAAB" w14:textId="77777777" w:rsidTr="008B2FBA">
        <w:trPr>
          <w:gridBefore w:val="1"/>
          <w:wBefore w:w="8" w:type="dxa"/>
          <w:cantSplit/>
          <w:trHeight w:val="340"/>
          <w:jc w:val="center"/>
        </w:trPr>
        <w:tc>
          <w:tcPr>
            <w:tcW w:w="1126" w:type="dxa"/>
          </w:tcPr>
          <w:p w14:paraId="64C26336" w14:textId="77777777" w:rsidR="00036B70" w:rsidRPr="00D44CF8" w:rsidRDefault="00036B70" w:rsidP="00134365">
            <w:pPr>
              <w:tabs>
                <w:tab w:val="left" w:pos="4111"/>
              </w:tabs>
              <w:spacing w:before="10"/>
              <w:ind w:left="57"/>
            </w:pPr>
          </w:p>
        </w:tc>
        <w:tc>
          <w:tcPr>
            <w:tcW w:w="3544" w:type="dxa"/>
            <w:gridSpan w:val="2"/>
          </w:tcPr>
          <w:p w14:paraId="106501DC" w14:textId="77777777" w:rsidR="00036B70" w:rsidRPr="00D44CF8" w:rsidRDefault="00036B70" w:rsidP="00134365">
            <w:pPr>
              <w:tabs>
                <w:tab w:val="left" w:pos="4111"/>
              </w:tabs>
              <w:spacing w:before="0"/>
              <w:ind w:left="57"/>
              <w:rPr>
                <w:b/>
              </w:rPr>
            </w:pPr>
          </w:p>
        </w:tc>
        <w:tc>
          <w:tcPr>
            <w:tcW w:w="5103" w:type="dxa"/>
            <w:gridSpan w:val="2"/>
          </w:tcPr>
          <w:p w14:paraId="0E051656" w14:textId="77777777" w:rsidR="00036B70" w:rsidRPr="00D44CF8" w:rsidRDefault="00036B70" w:rsidP="00134365">
            <w:pPr>
              <w:tabs>
                <w:tab w:val="clear" w:pos="794"/>
                <w:tab w:val="clear" w:pos="1191"/>
                <w:tab w:val="clear" w:pos="1588"/>
                <w:tab w:val="clear" w:pos="1985"/>
              </w:tabs>
              <w:spacing w:before="0"/>
              <w:ind w:left="57"/>
              <w:rPr>
                <w:b/>
              </w:rPr>
            </w:pPr>
            <w:r w:rsidRPr="00D44CF8">
              <w:t>Genève, le 3 mai 2023</w:t>
            </w:r>
          </w:p>
        </w:tc>
      </w:tr>
      <w:tr w:rsidR="00036B70" w:rsidRPr="00D44CF8" w14:paraId="21E16D2D" w14:textId="77777777" w:rsidTr="008B2FBA">
        <w:trPr>
          <w:gridBefore w:val="1"/>
          <w:wBefore w:w="8" w:type="dxa"/>
          <w:cantSplit/>
          <w:trHeight w:val="340"/>
          <w:jc w:val="center"/>
        </w:trPr>
        <w:tc>
          <w:tcPr>
            <w:tcW w:w="1126" w:type="dxa"/>
          </w:tcPr>
          <w:p w14:paraId="703E629F" w14:textId="77777777" w:rsidR="00036B70" w:rsidRPr="00D44CF8" w:rsidRDefault="00036B70" w:rsidP="00134365">
            <w:pPr>
              <w:tabs>
                <w:tab w:val="left" w:pos="4111"/>
              </w:tabs>
              <w:spacing w:before="40" w:after="40"/>
              <w:ind w:left="57"/>
              <w:rPr>
                <w:b/>
                <w:bCs/>
              </w:rPr>
            </w:pPr>
            <w:r w:rsidRPr="00D44CF8">
              <w:rPr>
                <w:b/>
                <w:bCs/>
              </w:rPr>
              <w:t>Réf.:</w:t>
            </w:r>
          </w:p>
        </w:tc>
        <w:tc>
          <w:tcPr>
            <w:tcW w:w="3544" w:type="dxa"/>
            <w:gridSpan w:val="2"/>
          </w:tcPr>
          <w:p w14:paraId="245A5B62" w14:textId="77777777" w:rsidR="00036B70" w:rsidRPr="00D44CF8" w:rsidRDefault="00036B70" w:rsidP="00134365">
            <w:pPr>
              <w:tabs>
                <w:tab w:val="left" w:pos="4111"/>
              </w:tabs>
              <w:spacing w:before="40" w:after="40"/>
              <w:ind w:left="227" w:hanging="170"/>
              <w:rPr>
                <w:b/>
              </w:rPr>
            </w:pPr>
            <w:r w:rsidRPr="00D44CF8">
              <w:rPr>
                <w:b/>
              </w:rPr>
              <w:t>Circulaire TSB 96</w:t>
            </w:r>
          </w:p>
          <w:p w14:paraId="39708E8D" w14:textId="77777777" w:rsidR="00036B70" w:rsidRPr="00D44CF8" w:rsidRDefault="00036B70" w:rsidP="00134365">
            <w:pPr>
              <w:tabs>
                <w:tab w:val="left" w:pos="4111"/>
              </w:tabs>
              <w:spacing w:before="0"/>
              <w:ind w:left="57"/>
              <w:rPr>
                <w:bCs/>
              </w:rPr>
            </w:pPr>
            <w:r w:rsidRPr="00D44CF8">
              <w:rPr>
                <w:b/>
                <w:bCs/>
                <w:sz w:val="22"/>
                <w:szCs w:val="22"/>
              </w:rPr>
              <w:t>SG20/CB</w:t>
            </w:r>
          </w:p>
        </w:tc>
        <w:tc>
          <w:tcPr>
            <w:tcW w:w="5103" w:type="dxa"/>
            <w:gridSpan w:val="2"/>
            <w:vMerge w:val="restart"/>
          </w:tcPr>
          <w:p w14:paraId="2E1989CC" w14:textId="3AA2EFF7" w:rsidR="00036B70" w:rsidRPr="00D44CF8" w:rsidRDefault="008B2FBA" w:rsidP="00134365">
            <w:pPr>
              <w:tabs>
                <w:tab w:val="clear" w:pos="794"/>
                <w:tab w:val="clear" w:pos="1191"/>
                <w:tab w:val="clear" w:pos="1588"/>
                <w:tab w:val="clear" w:pos="1985"/>
              </w:tabs>
              <w:spacing w:before="40" w:after="40"/>
              <w:ind w:left="227" w:hanging="170"/>
            </w:pPr>
            <w:r>
              <w:t>–</w:t>
            </w:r>
            <w:r>
              <w:tab/>
              <w:t>Aux A</w:t>
            </w:r>
            <w:r w:rsidR="00036B70" w:rsidRPr="00D44CF8">
              <w:t>dministrations des États Membres de l</w:t>
            </w:r>
            <w:r w:rsidR="00BF7CA7" w:rsidRPr="00D44CF8">
              <w:t>'</w:t>
            </w:r>
            <w:r w:rsidR="00036B70" w:rsidRPr="00D44CF8">
              <w:t>Union;</w:t>
            </w:r>
          </w:p>
          <w:p w14:paraId="24C81108" w14:textId="77777777" w:rsidR="00036B70" w:rsidRPr="00D44CF8" w:rsidRDefault="00036B70" w:rsidP="00134365">
            <w:pPr>
              <w:tabs>
                <w:tab w:val="left" w:pos="4111"/>
              </w:tabs>
              <w:spacing w:before="0"/>
              <w:ind w:left="227" w:hanging="170"/>
              <w:rPr>
                <w:b/>
                <w:bCs/>
              </w:rPr>
            </w:pPr>
            <w:r w:rsidRPr="00D44CF8">
              <w:rPr>
                <w:b/>
                <w:bCs/>
              </w:rPr>
              <w:t>Copie:</w:t>
            </w:r>
          </w:p>
          <w:p w14:paraId="2A42230B" w14:textId="4407A40C" w:rsidR="00036B70" w:rsidRPr="00D44CF8" w:rsidRDefault="00036B70" w:rsidP="00134365">
            <w:pPr>
              <w:tabs>
                <w:tab w:val="left" w:pos="4111"/>
              </w:tabs>
              <w:spacing w:before="0"/>
              <w:ind w:left="227" w:hanging="170"/>
            </w:pPr>
            <w:r w:rsidRPr="00D44CF8">
              <w:t>–</w:t>
            </w:r>
            <w:r w:rsidRPr="00D44CF8">
              <w:tab/>
              <w:t>Aux Membres du Secteur de l</w:t>
            </w:r>
            <w:r w:rsidR="00BF7CA7" w:rsidRPr="00D44CF8">
              <w:t>'</w:t>
            </w:r>
            <w:r w:rsidRPr="00D44CF8">
              <w:t>UIT-T;</w:t>
            </w:r>
          </w:p>
          <w:p w14:paraId="46472D3F" w14:textId="20133849" w:rsidR="00036B70" w:rsidRPr="00D44CF8" w:rsidRDefault="00036B70" w:rsidP="00134365">
            <w:pPr>
              <w:tabs>
                <w:tab w:val="left" w:pos="4111"/>
              </w:tabs>
              <w:spacing w:before="0"/>
              <w:ind w:left="227" w:hanging="170"/>
            </w:pPr>
            <w:r w:rsidRPr="00D44CF8">
              <w:t>–</w:t>
            </w:r>
            <w:r w:rsidRPr="00D44CF8">
              <w:tab/>
              <w:t>Aux Associés de la Commission d</w:t>
            </w:r>
            <w:r w:rsidR="00BF7CA7" w:rsidRPr="00D44CF8">
              <w:t>'</w:t>
            </w:r>
            <w:r w:rsidRPr="00D44CF8">
              <w:t>études 20 de l</w:t>
            </w:r>
            <w:r w:rsidR="00BF7CA7" w:rsidRPr="00D44CF8">
              <w:t>'</w:t>
            </w:r>
            <w:r w:rsidRPr="00D44CF8">
              <w:t>UIT</w:t>
            </w:r>
            <w:r w:rsidRPr="00D44CF8">
              <w:noBreakHyphen/>
              <w:t>T;</w:t>
            </w:r>
          </w:p>
          <w:p w14:paraId="339F91F8" w14:textId="235E91E1" w:rsidR="00036B70" w:rsidRPr="00D44CF8" w:rsidRDefault="00036B70" w:rsidP="00134365">
            <w:pPr>
              <w:tabs>
                <w:tab w:val="left" w:pos="4111"/>
              </w:tabs>
              <w:spacing w:before="0"/>
              <w:ind w:left="227" w:hanging="170"/>
            </w:pPr>
            <w:r w:rsidRPr="00D44CF8">
              <w:t>–</w:t>
            </w:r>
            <w:r w:rsidRPr="00D44CF8">
              <w:tab/>
              <w:t>Aux établissements universitaires participant aux travaux de l</w:t>
            </w:r>
            <w:r w:rsidR="00BF7CA7" w:rsidRPr="00D44CF8">
              <w:t>'</w:t>
            </w:r>
            <w:r w:rsidRPr="00D44CF8">
              <w:t>UIT;</w:t>
            </w:r>
          </w:p>
          <w:p w14:paraId="0BAFA6E5" w14:textId="6BA2F7D8" w:rsidR="00036B70" w:rsidRPr="00D44CF8" w:rsidRDefault="00036B70" w:rsidP="00134365">
            <w:pPr>
              <w:tabs>
                <w:tab w:val="left" w:pos="4111"/>
              </w:tabs>
              <w:spacing w:before="0"/>
              <w:ind w:left="227" w:hanging="170"/>
            </w:pPr>
            <w:r w:rsidRPr="00D44CF8">
              <w:t>–</w:t>
            </w:r>
            <w:r w:rsidRPr="00D44CF8">
              <w:tab/>
              <w:t>Aux Président et Vice-Présidents de la Commission d</w:t>
            </w:r>
            <w:r w:rsidR="00BF7CA7" w:rsidRPr="00D44CF8">
              <w:t>'</w:t>
            </w:r>
            <w:r w:rsidRPr="00D44CF8">
              <w:t>études 20 de l</w:t>
            </w:r>
            <w:r w:rsidR="00BF7CA7" w:rsidRPr="00D44CF8">
              <w:t>'</w:t>
            </w:r>
            <w:r w:rsidRPr="00D44CF8">
              <w:t>UIT-T;</w:t>
            </w:r>
          </w:p>
          <w:p w14:paraId="6CA263D3" w14:textId="77777777" w:rsidR="00036B70" w:rsidRPr="00D44CF8" w:rsidRDefault="00036B70" w:rsidP="00134365">
            <w:pPr>
              <w:tabs>
                <w:tab w:val="left" w:pos="4111"/>
              </w:tabs>
              <w:spacing w:before="0"/>
              <w:ind w:left="227" w:hanging="170"/>
            </w:pPr>
            <w:r w:rsidRPr="00D44CF8">
              <w:t>–</w:t>
            </w:r>
            <w:r w:rsidRPr="00D44CF8">
              <w:tab/>
              <w:t>Au Directeur du Bureau de développement des télécommunications;</w:t>
            </w:r>
          </w:p>
          <w:p w14:paraId="2CDC7E2E" w14:textId="77777777" w:rsidR="00036B70" w:rsidRPr="00D44CF8" w:rsidRDefault="00036B70" w:rsidP="00134365">
            <w:pPr>
              <w:spacing w:before="0" w:after="120"/>
              <w:ind w:left="226" w:hanging="169"/>
              <w:rPr>
                <w:b/>
              </w:rPr>
            </w:pPr>
            <w:r w:rsidRPr="00D44CF8">
              <w:t>–</w:t>
            </w:r>
            <w:r w:rsidRPr="00D44CF8">
              <w:tab/>
              <w:t>Au Directeur du Bureau des radiocommunications</w:t>
            </w:r>
          </w:p>
        </w:tc>
      </w:tr>
      <w:tr w:rsidR="00036B70" w:rsidRPr="00D44CF8" w14:paraId="01DFC5B0" w14:textId="77777777" w:rsidTr="008B2FBA">
        <w:trPr>
          <w:gridBefore w:val="1"/>
          <w:wBefore w:w="8" w:type="dxa"/>
          <w:cantSplit/>
          <w:jc w:val="center"/>
        </w:trPr>
        <w:tc>
          <w:tcPr>
            <w:tcW w:w="1126" w:type="dxa"/>
          </w:tcPr>
          <w:p w14:paraId="60260F3E" w14:textId="77777777" w:rsidR="00036B70" w:rsidRPr="00D44CF8" w:rsidRDefault="00036B70" w:rsidP="00134365">
            <w:pPr>
              <w:tabs>
                <w:tab w:val="left" w:pos="4111"/>
              </w:tabs>
              <w:spacing w:before="40" w:after="40"/>
              <w:ind w:left="57"/>
              <w:rPr>
                <w:b/>
                <w:bCs/>
              </w:rPr>
            </w:pPr>
            <w:r w:rsidRPr="00D44CF8">
              <w:rPr>
                <w:b/>
                <w:bCs/>
              </w:rPr>
              <w:t>Tél.:</w:t>
            </w:r>
          </w:p>
        </w:tc>
        <w:tc>
          <w:tcPr>
            <w:tcW w:w="3544" w:type="dxa"/>
            <w:gridSpan w:val="2"/>
          </w:tcPr>
          <w:p w14:paraId="2F23AAB2" w14:textId="6C38A2B3" w:rsidR="00036B70" w:rsidRPr="00D44CF8" w:rsidRDefault="0000320B" w:rsidP="00134365">
            <w:pPr>
              <w:tabs>
                <w:tab w:val="left" w:pos="4111"/>
              </w:tabs>
              <w:spacing w:before="40" w:after="40"/>
              <w:ind w:left="227" w:hanging="170"/>
              <w:rPr>
                <w:szCs w:val="22"/>
              </w:rPr>
            </w:pPr>
            <w:r w:rsidRPr="00D44CF8">
              <w:rPr>
                <w:sz w:val="22"/>
                <w:szCs w:val="22"/>
              </w:rPr>
              <w:t>+41 22 730 6301</w:t>
            </w:r>
          </w:p>
        </w:tc>
        <w:tc>
          <w:tcPr>
            <w:tcW w:w="5103" w:type="dxa"/>
            <w:gridSpan w:val="2"/>
            <w:vMerge/>
          </w:tcPr>
          <w:p w14:paraId="06583B18" w14:textId="77777777" w:rsidR="00036B70" w:rsidRPr="00D44CF8" w:rsidRDefault="00036B70" w:rsidP="00134365">
            <w:pPr>
              <w:spacing w:before="0"/>
              <w:ind w:left="226" w:hanging="169"/>
            </w:pPr>
          </w:p>
        </w:tc>
      </w:tr>
      <w:tr w:rsidR="00036B70" w:rsidRPr="00D44CF8" w14:paraId="7EF54700" w14:textId="77777777" w:rsidTr="008B2FBA">
        <w:trPr>
          <w:gridBefore w:val="1"/>
          <w:wBefore w:w="8" w:type="dxa"/>
          <w:cantSplit/>
          <w:jc w:val="center"/>
        </w:trPr>
        <w:tc>
          <w:tcPr>
            <w:tcW w:w="1126" w:type="dxa"/>
          </w:tcPr>
          <w:p w14:paraId="00AFACBC" w14:textId="77777777" w:rsidR="00036B70" w:rsidRPr="00D44CF8" w:rsidRDefault="00036B70" w:rsidP="00134365">
            <w:pPr>
              <w:tabs>
                <w:tab w:val="left" w:pos="4111"/>
              </w:tabs>
              <w:spacing w:before="40" w:after="40"/>
              <w:ind w:left="57"/>
              <w:rPr>
                <w:b/>
                <w:bCs/>
              </w:rPr>
            </w:pPr>
            <w:r w:rsidRPr="00D44CF8">
              <w:rPr>
                <w:b/>
                <w:bCs/>
              </w:rPr>
              <w:t>Télécopie:</w:t>
            </w:r>
          </w:p>
        </w:tc>
        <w:tc>
          <w:tcPr>
            <w:tcW w:w="3544" w:type="dxa"/>
            <w:gridSpan w:val="2"/>
          </w:tcPr>
          <w:p w14:paraId="6E8259D3" w14:textId="4B4EDE9C" w:rsidR="00036B70" w:rsidRPr="00D44CF8" w:rsidRDefault="0000320B" w:rsidP="00134365">
            <w:pPr>
              <w:tabs>
                <w:tab w:val="left" w:pos="4111"/>
              </w:tabs>
              <w:spacing w:before="40" w:after="40"/>
              <w:ind w:left="227" w:hanging="170"/>
            </w:pPr>
            <w:r w:rsidRPr="00D44CF8">
              <w:rPr>
                <w:sz w:val="22"/>
                <w:szCs w:val="22"/>
              </w:rPr>
              <w:t>+41 22 730 5853</w:t>
            </w:r>
          </w:p>
        </w:tc>
        <w:tc>
          <w:tcPr>
            <w:tcW w:w="5103" w:type="dxa"/>
            <w:gridSpan w:val="2"/>
            <w:vMerge/>
          </w:tcPr>
          <w:p w14:paraId="19BCE6F7" w14:textId="77777777" w:rsidR="00036B70" w:rsidRPr="00D44CF8" w:rsidRDefault="00036B70" w:rsidP="00134365">
            <w:pPr>
              <w:tabs>
                <w:tab w:val="clear" w:pos="794"/>
                <w:tab w:val="clear" w:pos="1191"/>
                <w:tab w:val="clear" w:pos="1588"/>
                <w:tab w:val="clear" w:pos="1985"/>
              </w:tabs>
              <w:spacing w:before="0"/>
              <w:ind w:left="226" w:hanging="169"/>
            </w:pPr>
          </w:p>
        </w:tc>
      </w:tr>
      <w:tr w:rsidR="00036B70" w:rsidRPr="00D44CF8" w14:paraId="2A2B269B" w14:textId="77777777" w:rsidTr="008B2FBA">
        <w:trPr>
          <w:gridBefore w:val="1"/>
          <w:wBefore w:w="8" w:type="dxa"/>
          <w:cantSplit/>
          <w:jc w:val="center"/>
        </w:trPr>
        <w:tc>
          <w:tcPr>
            <w:tcW w:w="1126" w:type="dxa"/>
          </w:tcPr>
          <w:p w14:paraId="22B1D0D3" w14:textId="77777777" w:rsidR="00036B70" w:rsidRPr="00D44CF8" w:rsidRDefault="00036B70" w:rsidP="00134365">
            <w:pPr>
              <w:tabs>
                <w:tab w:val="left" w:pos="4111"/>
              </w:tabs>
              <w:spacing w:before="40" w:after="40"/>
              <w:ind w:left="57"/>
              <w:rPr>
                <w:b/>
                <w:bCs/>
              </w:rPr>
            </w:pPr>
            <w:r w:rsidRPr="00D44CF8">
              <w:rPr>
                <w:b/>
                <w:bCs/>
              </w:rPr>
              <w:t>Courriel:</w:t>
            </w:r>
          </w:p>
        </w:tc>
        <w:tc>
          <w:tcPr>
            <w:tcW w:w="3544" w:type="dxa"/>
            <w:gridSpan w:val="2"/>
          </w:tcPr>
          <w:p w14:paraId="1AA4F204" w14:textId="58C67DF1" w:rsidR="00036B70" w:rsidRPr="00D44CF8" w:rsidRDefault="004A62D0" w:rsidP="00134365">
            <w:pPr>
              <w:tabs>
                <w:tab w:val="left" w:pos="4111"/>
              </w:tabs>
              <w:spacing w:before="40" w:after="40"/>
              <w:ind w:left="227" w:hanging="170"/>
            </w:pPr>
            <w:hyperlink r:id="rId9" w:history="1">
              <w:r w:rsidR="0000320B" w:rsidRPr="00D44CF8">
                <w:rPr>
                  <w:rStyle w:val="Hyperlink"/>
                </w:rPr>
                <w:t>tsbsg20@itu.int</w:t>
              </w:r>
            </w:hyperlink>
          </w:p>
        </w:tc>
        <w:tc>
          <w:tcPr>
            <w:tcW w:w="5103" w:type="dxa"/>
            <w:gridSpan w:val="2"/>
            <w:vMerge/>
          </w:tcPr>
          <w:p w14:paraId="44E5423E" w14:textId="77777777" w:rsidR="00036B70" w:rsidRPr="00D44CF8" w:rsidRDefault="00036B70" w:rsidP="00134365">
            <w:pPr>
              <w:tabs>
                <w:tab w:val="clear" w:pos="794"/>
                <w:tab w:val="clear" w:pos="1191"/>
                <w:tab w:val="clear" w:pos="1588"/>
                <w:tab w:val="clear" w:pos="1985"/>
              </w:tabs>
              <w:spacing w:before="0"/>
              <w:ind w:left="226" w:hanging="169"/>
            </w:pPr>
          </w:p>
        </w:tc>
      </w:tr>
      <w:tr w:rsidR="00036B70" w:rsidRPr="00D44CF8" w14:paraId="71FC0E36" w14:textId="77777777" w:rsidTr="008B2FBA">
        <w:trPr>
          <w:gridBefore w:val="1"/>
          <w:wBefore w:w="8" w:type="dxa"/>
          <w:cantSplit/>
          <w:jc w:val="center"/>
        </w:trPr>
        <w:tc>
          <w:tcPr>
            <w:tcW w:w="1126" w:type="dxa"/>
          </w:tcPr>
          <w:p w14:paraId="5474D93B" w14:textId="4109F7A2" w:rsidR="00036B70" w:rsidRPr="00D44CF8" w:rsidRDefault="00036B70" w:rsidP="00134365">
            <w:pPr>
              <w:tabs>
                <w:tab w:val="left" w:pos="4111"/>
              </w:tabs>
              <w:spacing w:before="40" w:after="40"/>
              <w:ind w:left="57"/>
              <w:rPr>
                <w:b/>
                <w:bCs/>
              </w:rPr>
            </w:pPr>
          </w:p>
        </w:tc>
        <w:tc>
          <w:tcPr>
            <w:tcW w:w="3544" w:type="dxa"/>
            <w:gridSpan w:val="2"/>
          </w:tcPr>
          <w:p w14:paraId="21BE8CDE" w14:textId="77777777" w:rsidR="00036B70" w:rsidRPr="00D44CF8" w:rsidRDefault="00036B70" w:rsidP="00134365">
            <w:pPr>
              <w:tabs>
                <w:tab w:val="left" w:pos="4111"/>
              </w:tabs>
              <w:spacing w:before="40" w:after="40"/>
              <w:ind w:left="227" w:hanging="170"/>
            </w:pPr>
          </w:p>
        </w:tc>
        <w:tc>
          <w:tcPr>
            <w:tcW w:w="5103" w:type="dxa"/>
            <w:gridSpan w:val="2"/>
            <w:vMerge/>
          </w:tcPr>
          <w:p w14:paraId="262EF1B9" w14:textId="77777777" w:rsidR="00036B70" w:rsidRPr="00D44CF8" w:rsidRDefault="00036B70" w:rsidP="00134365">
            <w:pPr>
              <w:tabs>
                <w:tab w:val="clear" w:pos="794"/>
                <w:tab w:val="clear" w:pos="1191"/>
                <w:tab w:val="clear" w:pos="1588"/>
                <w:tab w:val="clear" w:pos="1985"/>
              </w:tabs>
              <w:spacing w:before="0"/>
              <w:ind w:left="226" w:hanging="169"/>
            </w:pPr>
          </w:p>
        </w:tc>
      </w:tr>
      <w:tr w:rsidR="00036B70" w:rsidRPr="00D44CF8" w14:paraId="7214ABA6" w14:textId="77777777" w:rsidTr="008B2FBA">
        <w:trPr>
          <w:gridBefore w:val="1"/>
          <w:wBefore w:w="8" w:type="dxa"/>
          <w:cantSplit/>
          <w:jc w:val="center"/>
        </w:trPr>
        <w:tc>
          <w:tcPr>
            <w:tcW w:w="1126" w:type="dxa"/>
          </w:tcPr>
          <w:p w14:paraId="6DBA1CCF" w14:textId="77777777" w:rsidR="00036B70" w:rsidRPr="00D44CF8" w:rsidRDefault="00036B70" w:rsidP="00134365">
            <w:pPr>
              <w:tabs>
                <w:tab w:val="left" w:pos="4111"/>
              </w:tabs>
              <w:spacing w:before="40" w:after="40"/>
              <w:ind w:left="57"/>
              <w:rPr>
                <w:b/>
                <w:bCs/>
                <w:sz w:val="20"/>
              </w:rPr>
            </w:pPr>
            <w:r w:rsidRPr="00D44CF8">
              <w:rPr>
                <w:b/>
                <w:bCs/>
              </w:rPr>
              <w:t>Objet:</w:t>
            </w:r>
          </w:p>
        </w:tc>
        <w:tc>
          <w:tcPr>
            <w:tcW w:w="8647" w:type="dxa"/>
            <w:gridSpan w:val="4"/>
          </w:tcPr>
          <w:p w14:paraId="17F02052" w14:textId="1CAF3435" w:rsidR="00036B70" w:rsidRPr="00D44CF8" w:rsidRDefault="00036B70" w:rsidP="00134365">
            <w:pPr>
              <w:tabs>
                <w:tab w:val="left" w:pos="4111"/>
              </w:tabs>
              <w:spacing w:before="40" w:after="40"/>
              <w:ind w:left="57"/>
            </w:pPr>
            <w:r w:rsidRPr="00D44CF8">
              <w:rPr>
                <w:b/>
                <w:bCs/>
              </w:rPr>
              <w:t xml:space="preserve">Consultation des États Membres au sujet des textes déterminés des projets de nouvelles Recommandations UIT-T </w:t>
            </w:r>
            <w:bookmarkStart w:id="1" w:name="_Hlk46831557"/>
            <w:r w:rsidRPr="00D44CF8">
              <w:rPr>
                <w:b/>
                <w:bCs/>
              </w:rPr>
              <w:t>Y.4221 (ex Y.ElecMon-Reqts), Y.4222</w:t>
            </w:r>
            <w:r w:rsidR="00CE37BA" w:rsidRPr="00D44CF8">
              <w:rPr>
                <w:b/>
                <w:bCs/>
              </w:rPr>
              <w:t> </w:t>
            </w:r>
            <w:r w:rsidRPr="00D44CF8">
              <w:rPr>
                <w:b/>
                <w:bCs/>
              </w:rPr>
              <w:t>(ex</w:t>
            </w:r>
            <w:r w:rsidR="0000320B" w:rsidRPr="00D44CF8">
              <w:rPr>
                <w:b/>
                <w:bCs/>
              </w:rPr>
              <w:t> </w:t>
            </w:r>
            <w:r w:rsidRPr="00D44CF8">
              <w:rPr>
                <w:b/>
                <w:bCs/>
              </w:rPr>
              <w:t>Y.smart</w:t>
            </w:r>
            <w:r w:rsidR="0000320B" w:rsidRPr="00D44CF8">
              <w:rPr>
                <w:b/>
                <w:bCs/>
              </w:rPr>
              <w:noBreakHyphen/>
            </w:r>
            <w:r w:rsidRPr="00D44CF8">
              <w:rPr>
                <w:b/>
                <w:bCs/>
              </w:rPr>
              <w:t xml:space="preserve">evacuation), Y.4223 (ex Y.SCC-Reqts), Y.4487 (ex Y.RMDFS-arch), Y.4488 (ex Y.IoT-SPWE) et </w:t>
            </w:r>
            <w:bookmarkEnd w:id="1"/>
            <w:r w:rsidRPr="00D44CF8">
              <w:rPr>
                <w:b/>
                <w:bCs/>
              </w:rPr>
              <w:t>Y.4604 (ex Y.IoT-MCSI) qu</w:t>
            </w:r>
            <w:r w:rsidR="00BF7CA7" w:rsidRPr="00D44CF8">
              <w:rPr>
                <w:b/>
                <w:bCs/>
              </w:rPr>
              <w:t>'</w:t>
            </w:r>
            <w:r w:rsidRPr="00D44CF8">
              <w:rPr>
                <w:b/>
                <w:bCs/>
              </w:rPr>
              <w:t>il est proposé d</w:t>
            </w:r>
            <w:r w:rsidR="00BF7CA7" w:rsidRPr="00D44CF8">
              <w:rPr>
                <w:b/>
                <w:bCs/>
              </w:rPr>
              <w:t>'</w:t>
            </w:r>
            <w:r w:rsidRPr="00D44CF8">
              <w:rPr>
                <w:b/>
                <w:bCs/>
              </w:rPr>
              <w:t>approuver à la réunion de la Commission d</w:t>
            </w:r>
            <w:r w:rsidR="00BF7CA7" w:rsidRPr="00D44CF8">
              <w:rPr>
                <w:b/>
                <w:bCs/>
              </w:rPr>
              <w:t>'</w:t>
            </w:r>
            <w:r w:rsidRPr="00D44CF8">
              <w:rPr>
                <w:b/>
                <w:bCs/>
              </w:rPr>
              <w:t>études 20 de l</w:t>
            </w:r>
            <w:r w:rsidR="00BF7CA7" w:rsidRPr="00D44CF8">
              <w:rPr>
                <w:b/>
                <w:bCs/>
              </w:rPr>
              <w:t>'</w:t>
            </w:r>
            <w:r w:rsidRPr="00D44CF8">
              <w:rPr>
                <w:b/>
                <w:bCs/>
              </w:rPr>
              <w:t>UIT-T (Arusha,</w:t>
            </w:r>
            <w:r w:rsidR="0000320B" w:rsidRPr="00D44CF8">
              <w:rPr>
                <w:b/>
                <w:bCs/>
              </w:rPr>
              <w:t xml:space="preserve"> </w:t>
            </w:r>
            <w:r w:rsidRPr="00D44CF8">
              <w:rPr>
                <w:b/>
                <w:bCs/>
              </w:rPr>
              <w:t>13</w:t>
            </w:r>
            <w:r w:rsidRPr="00D44CF8">
              <w:rPr>
                <w:b/>
                <w:bCs/>
              </w:rPr>
              <w:noBreakHyphen/>
              <w:t>22 septembre 2023)</w:t>
            </w:r>
          </w:p>
        </w:tc>
      </w:tr>
    </w:tbl>
    <w:p w14:paraId="0B105C7E" w14:textId="0993E765" w:rsidR="00036B70" w:rsidRPr="00D44CF8" w:rsidRDefault="00036B70" w:rsidP="0000320B">
      <w:r w:rsidRPr="00D44CF8">
        <w:t>Madame, Monsieur</w:t>
      </w:r>
      <w:r w:rsidR="0000320B" w:rsidRPr="00D44CF8">
        <w:t>,</w:t>
      </w:r>
    </w:p>
    <w:p w14:paraId="0DB903D6" w14:textId="6D56DAB0" w:rsidR="00036B70" w:rsidRPr="00D44CF8" w:rsidRDefault="00036B70" w:rsidP="0000320B">
      <w:r w:rsidRPr="00D44CF8">
        <w:t>1</w:t>
      </w:r>
      <w:r w:rsidRPr="00D44CF8">
        <w:tab/>
        <w:t>La Commission d</w:t>
      </w:r>
      <w:r w:rsidR="00BF7CA7" w:rsidRPr="00D44CF8">
        <w:t>'</w:t>
      </w:r>
      <w:r w:rsidRPr="00D44CF8">
        <w:t>études 20 de l</w:t>
      </w:r>
      <w:r w:rsidR="00BF7CA7" w:rsidRPr="00D44CF8">
        <w:t>'</w:t>
      </w:r>
      <w:r w:rsidRPr="00D44CF8">
        <w:t>UIT-T (CE</w:t>
      </w:r>
      <w:r w:rsidR="008B2FBA">
        <w:t> </w:t>
      </w:r>
      <w:r w:rsidRPr="00D44CF8">
        <w:t>20</w:t>
      </w:r>
      <w:r w:rsidR="0000320B" w:rsidRPr="00D44CF8">
        <w:t>:</w:t>
      </w:r>
      <w:r w:rsidRPr="00D44CF8">
        <w:t xml:space="preserve"> L</w:t>
      </w:r>
      <w:r w:rsidR="00BF7CA7" w:rsidRPr="00D44CF8">
        <w:t>'</w:t>
      </w:r>
      <w:r w:rsidRPr="00D44CF8">
        <w:t>Internet des objets (IoT) et les villes et les communautés intelligentes (SC&amp;C)) a l</w:t>
      </w:r>
      <w:r w:rsidR="00BF7CA7" w:rsidRPr="00D44CF8">
        <w:t>'</w:t>
      </w:r>
      <w:r w:rsidRPr="00D44CF8">
        <w:t>intention d</w:t>
      </w:r>
      <w:r w:rsidR="00BF7CA7" w:rsidRPr="00D44CF8">
        <w:t>'</w:t>
      </w:r>
      <w:r w:rsidRPr="00D44CF8">
        <w:t>appliquer la procédure d</w:t>
      </w:r>
      <w:r w:rsidR="00BF7CA7" w:rsidRPr="00D44CF8">
        <w:t>'</w:t>
      </w:r>
      <w:r w:rsidRPr="00D44CF8">
        <w:t>approbation traditionnelle énoncée à la section 9 de la Résolution 1 de l</w:t>
      </w:r>
      <w:r w:rsidR="00BF7CA7" w:rsidRPr="00D44CF8">
        <w:t>'</w:t>
      </w:r>
      <w:r w:rsidRPr="00D44CF8">
        <w:t>AMNT (Rév. Genève, 2022) pour l</w:t>
      </w:r>
      <w:r w:rsidR="00BF7CA7" w:rsidRPr="00D44CF8">
        <w:t>'</w:t>
      </w:r>
      <w:r w:rsidRPr="00D44CF8">
        <w:t>approbation des projets de Recommandations mentionnés ci-dessus à sa prochaine réunion, qui se tiendra à Arusha (Tanzanie)</w:t>
      </w:r>
      <w:r w:rsidR="0000320B" w:rsidRPr="00D44CF8">
        <w:t xml:space="preserve"> </w:t>
      </w:r>
      <w:r w:rsidRPr="00D44CF8">
        <w:t>du 13 au 22 septembre 2023. L</w:t>
      </w:r>
      <w:r w:rsidR="00BF7CA7" w:rsidRPr="00D44CF8">
        <w:t>'</w:t>
      </w:r>
      <w:r w:rsidRPr="00D44CF8">
        <w:t>ordre du jour de cette réunion, ainsi que toutes les informations pertinentes concernant la Commission d</w:t>
      </w:r>
      <w:r w:rsidR="00BF7CA7" w:rsidRPr="00D44CF8">
        <w:t>'</w:t>
      </w:r>
      <w:r w:rsidRPr="00D44CF8">
        <w:t>études 20 de l</w:t>
      </w:r>
      <w:r w:rsidR="00BF7CA7" w:rsidRPr="00D44CF8">
        <w:t>'</w:t>
      </w:r>
      <w:r w:rsidRPr="00D44CF8">
        <w:t xml:space="preserve">UIT-T, seront mis à disposition dans la </w:t>
      </w:r>
      <w:hyperlink r:id="rId10" w:history="1">
        <w:r w:rsidRPr="00D44CF8">
          <w:rPr>
            <w:rStyle w:val="Hyperlink"/>
            <w:rFonts w:cs="Calibri"/>
            <w:szCs w:val="24"/>
          </w:rPr>
          <w:t>Lettre collective 3/20</w:t>
        </w:r>
      </w:hyperlink>
      <w:r w:rsidRPr="00D44CF8">
        <w:rPr>
          <w:szCs w:val="24"/>
        </w:rPr>
        <w:t>.</w:t>
      </w:r>
    </w:p>
    <w:p w14:paraId="0DD4F177" w14:textId="549AF724" w:rsidR="00036B70" w:rsidRPr="00D44CF8" w:rsidRDefault="00036B70" w:rsidP="0000320B">
      <w:r w:rsidRPr="00D44CF8">
        <w:t>2</w:t>
      </w:r>
      <w:r w:rsidRPr="00D44CF8">
        <w:tab/>
        <w:t>Vous trouverez dans l</w:t>
      </w:r>
      <w:r w:rsidR="00BF7CA7" w:rsidRPr="00D44CF8">
        <w:t>'</w:t>
      </w:r>
      <w:r w:rsidRPr="00D44CF8">
        <w:t xml:space="preserve">Annexe 1 le titre, le résumé et la localisation des projets de nouvelles Recommandations UIT-T Y.4221 (ex Y.ElecMon-Reqts), Y.4222 </w:t>
      </w:r>
      <w:r w:rsidR="008B2FBA">
        <w:t xml:space="preserve">(ex Y.smart-evacuation), Y.4223 </w:t>
      </w:r>
      <w:r w:rsidRPr="00D44CF8">
        <w:t>(ex</w:t>
      </w:r>
      <w:r w:rsidR="0000320B" w:rsidRPr="00D44CF8">
        <w:t> </w:t>
      </w:r>
      <w:r w:rsidRPr="00D44CF8">
        <w:t>Y.SCC-Reqts), Y.4487 (ex Y.RMDFS-arch), Y.4488 (ex Y.IoT-SPWE) et Y.4604 (ex Y.IoT-MCSI), qu</w:t>
      </w:r>
      <w:r w:rsidR="00BF7CA7" w:rsidRPr="00D44CF8">
        <w:t>'</w:t>
      </w:r>
      <w:r w:rsidRPr="00D44CF8">
        <w:t>il est proposé d</w:t>
      </w:r>
      <w:r w:rsidR="00BF7CA7" w:rsidRPr="00D44CF8">
        <w:t>'</w:t>
      </w:r>
      <w:r w:rsidRPr="00D44CF8">
        <w:t>approuver.</w:t>
      </w:r>
    </w:p>
    <w:p w14:paraId="3D400D5A" w14:textId="630AED60" w:rsidR="00036B70" w:rsidRPr="00D44CF8" w:rsidRDefault="00036B70" w:rsidP="0000320B">
      <w:r w:rsidRPr="00D44CF8">
        <w:t>3</w:t>
      </w:r>
      <w:r w:rsidRPr="00D44CF8">
        <w:tab/>
        <w:t>La présente Circulaire a pour objet d</w:t>
      </w:r>
      <w:r w:rsidR="00BF7CA7" w:rsidRPr="00D44CF8">
        <w:t>'</w:t>
      </w:r>
      <w:r w:rsidRPr="00D44CF8">
        <w:t xml:space="preserve">engager le processus de consultation formelle des </w:t>
      </w:r>
      <w:r w:rsidR="0000320B" w:rsidRPr="00D44CF8">
        <w:t>États</w:t>
      </w:r>
      <w:r w:rsidRPr="00D44CF8">
        <w:t xml:space="preserve"> Membres de l</w:t>
      </w:r>
      <w:r w:rsidR="00BF7CA7" w:rsidRPr="00D44CF8">
        <w:t>'</w:t>
      </w:r>
      <w:r w:rsidRPr="00D44CF8">
        <w:t xml:space="preserve">UIT, qui devront indiquer si ces textes peuvent être examinés en vue de leur approbation à la prochaine réunion, conformément au paragraphe 9.4 de la Résolution 1. Les </w:t>
      </w:r>
      <w:r w:rsidR="0000320B" w:rsidRPr="00D44CF8">
        <w:t>États </w:t>
      </w:r>
      <w:r w:rsidRPr="00D44CF8">
        <w:t>Membres sont priés de remplir le formulaire de l</w:t>
      </w:r>
      <w:r w:rsidR="00BF7CA7" w:rsidRPr="00D44CF8">
        <w:t>'</w:t>
      </w:r>
      <w:r w:rsidRPr="00D44CF8">
        <w:t>Annexe 2 et de le renvoyer d</w:t>
      </w:r>
      <w:r w:rsidR="00BF7CA7" w:rsidRPr="00D44CF8">
        <w:t>'</w:t>
      </w:r>
      <w:r w:rsidRPr="00D44CF8">
        <w:t>ici au</w:t>
      </w:r>
      <w:r w:rsidR="0000320B" w:rsidRPr="00D44CF8">
        <w:t> </w:t>
      </w:r>
      <w:r w:rsidRPr="00D44CF8">
        <w:rPr>
          <w:b/>
          <w:bCs/>
        </w:rPr>
        <w:t>1er</w:t>
      </w:r>
      <w:r w:rsidR="0000320B" w:rsidRPr="00D44CF8">
        <w:rPr>
          <w:b/>
          <w:bCs/>
        </w:rPr>
        <w:t> </w:t>
      </w:r>
      <w:r w:rsidRPr="00D44CF8">
        <w:rPr>
          <w:b/>
          <w:bCs/>
        </w:rPr>
        <w:t>septembre</w:t>
      </w:r>
      <w:r w:rsidR="0000320B" w:rsidRPr="00D44CF8">
        <w:rPr>
          <w:b/>
          <w:bCs/>
        </w:rPr>
        <w:t> </w:t>
      </w:r>
      <w:r w:rsidRPr="00D44CF8">
        <w:rPr>
          <w:b/>
          <w:bCs/>
        </w:rPr>
        <w:t>2023</w:t>
      </w:r>
      <w:r w:rsidR="0000320B" w:rsidRPr="00D44CF8">
        <w:t xml:space="preserve"> </w:t>
      </w:r>
      <w:r w:rsidRPr="00D44CF8">
        <w:t>à 23</w:t>
      </w:r>
      <w:r w:rsidR="0000320B" w:rsidRPr="00D44CF8">
        <w:t> </w:t>
      </w:r>
      <w:r w:rsidRPr="00D44CF8">
        <w:t>h</w:t>
      </w:r>
      <w:r w:rsidR="0000320B" w:rsidRPr="00D44CF8">
        <w:t> </w:t>
      </w:r>
      <w:r w:rsidRPr="00D44CF8">
        <w:t>59 (UTC).</w:t>
      </w:r>
    </w:p>
    <w:p w14:paraId="5D4D10D8" w14:textId="05A3AC64" w:rsidR="00036B70" w:rsidRPr="00D44CF8" w:rsidRDefault="00036B70" w:rsidP="0000320B">
      <w:r w:rsidRPr="00D44CF8">
        <w:t>4</w:t>
      </w:r>
      <w:r w:rsidRPr="00D44CF8">
        <w:tab/>
        <w:t xml:space="preserve">Si au moins 70% des réponses des </w:t>
      </w:r>
      <w:r w:rsidR="0000320B" w:rsidRPr="00D44CF8">
        <w:t>États</w:t>
      </w:r>
      <w:r w:rsidRPr="00D44CF8">
        <w:t xml:space="preserve"> Membres sont en faveur de l</w:t>
      </w:r>
      <w:r w:rsidR="00BF7CA7" w:rsidRPr="00D44CF8">
        <w:t>'</w:t>
      </w:r>
      <w:r w:rsidRPr="00D44CF8">
        <w:t>examen, aux fins d</w:t>
      </w:r>
      <w:r w:rsidR="00BF7CA7" w:rsidRPr="00D44CF8">
        <w:t>'</w:t>
      </w:r>
      <w:r w:rsidRPr="00D44CF8">
        <w:t>approbation, de ces textes, une séance plénière sera consacrée à l</w:t>
      </w:r>
      <w:r w:rsidR="00BF7CA7" w:rsidRPr="00D44CF8">
        <w:t>'</w:t>
      </w:r>
      <w:r w:rsidRPr="00D44CF8">
        <w:t>application de la procédure d</w:t>
      </w:r>
      <w:r w:rsidR="00BF7CA7" w:rsidRPr="00D44CF8">
        <w:t>'</w:t>
      </w:r>
      <w:r w:rsidRPr="00D44CF8">
        <w:t xml:space="preserve">approbation. Les </w:t>
      </w:r>
      <w:r w:rsidR="0000320B" w:rsidRPr="00D44CF8">
        <w:t>États</w:t>
      </w:r>
      <w:r w:rsidRPr="00D44CF8">
        <w:t xml:space="preserve"> Membres qui n</w:t>
      </w:r>
      <w:r w:rsidR="00BF7CA7" w:rsidRPr="00D44CF8">
        <w:t>'</w:t>
      </w:r>
      <w:r w:rsidRPr="00D44CF8">
        <w:t>autorisent pas la commission d</w:t>
      </w:r>
      <w:r w:rsidR="00BF7CA7" w:rsidRPr="00D44CF8">
        <w:t>'</w:t>
      </w:r>
      <w:r w:rsidRPr="00D44CF8">
        <w:t>études à procéder ainsi doivent informer le Directeur du TSB des motifs de cette décision et lui faire part des éventuelles modifications qui permettraient la poursuite des travaux.</w:t>
      </w:r>
    </w:p>
    <w:p w14:paraId="708C1A37" w14:textId="41F83262" w:rsidR="00036B70" w:rsidRPr="00D44CF8" w:rsidRDefault="00036B70" w:rsidP="0000320B">
      <w:r w:rsidRPr="00D44CF8">
        <w:lastRenderedPageBreak/>
        <w:t>NOTE 1 DU TSB – À la date de la présente Circulaire, le TSB n</w:t>
      </w:r>
      <w:r w:rsidR="00BF7CA7" w:rsidRPr="00D44CF8">
        <w:t>'</w:t>
      </w:r>
      <w:r w:rsidRPr="00D44CF8">
        <w:t>avait</w:t>
      </w:r>
      <w:r w:rsidR="0000320B" w:rsidRPr="00D44CF8">
        <w:t xml:space="preserve"> </w:t>
      </w:r>
      <w:r w:rsidRPr="00D44CF8">
        <w:t>reçu aucune déclaration concernant les droits de propriété intellectuelle relative à ces projets de textes. Pour obtenir des renseignements actualisés, les membres sont invités à consulter la base de données relative aux droits de propriété intellectuelle à l</w:t>
      </w:r>
      <w:r w:rsidR="00BF7CA7" w:rsidRPr="00D44CF8">
        <w:t>'</w:t>
      </w:r>
      <w:r w:rsidRPr="00D44CF8">
        <w:t xml:space="preserve">adresse </w:t>
      </w:r>
      <w:hyperlink r:id="rId11" w:history="1">
        <w:r w:rsidRPr="00D44CF8">
          <w:rPr>
            <w:rStyle w:val="Hyperlink"/>
            <w:rFonts w:cs="Calibri"/>
            <w:szCs w:val="24"/>
          </w:rPr>
          <w:t>www.itu.int/ipr/</w:t>
        </w:r>
      </w:hyperlink>
      <w:r w:rsidRPr="00D44CF8">
        <w:t>.</w:t>
      </w:r>
    </w:p>
    <w:p w14:paraId="479741D8" w14:textId="53D4158A" w:rsidR="00036B70" w:rsidRPr="00D44CF8" w:rsidRDefault="00036B70" w:rsidP="0000320B">
      <w:r w:rsidRPr="00D44CF8">
        <w:t>Veuillez agréer, Madame, Monsieur, l</w:t>
      </w:r>
      <w:r w:rsidR="00BF7CA7" w:rsidRPr="00D44CF8">
        <w:t>'</w:t>
      </w:r>
      <w:r w:rsidRPr="00D44CF8">
        <w:t>assurance de ma</w:t>
      </w:r>
      <w:r w:rsidR="0000320B" w:rsidRPr="00D44CF8">
        <w:t xml:space="preserve"> </w:t>
      </w:r>
      <w:r w:rsidRPr="00D44CF8">
        <w:t>considération distinguée</w:t>
      </w:r>
      <w:r w:rsidR="00406878" w:rsidRPr="00D44CF8">
        <w:t>.</w:t>
      </w:r>
    </w:p>
    <w:p w14:paraId="3E2CFC8C" w14:textId="31A197F5" w:rsidR="00406878" w:rsidRPr="00D44CF8" w:rsidRDefault="004A62D0" w:rsidP="00BC4BB1">
      <w:pPr>
        <w:spacing w:before="960"/>
      </w:pPr>
      <w:r>
        <w:rPr>
          <w:noProof/>
        </w:rPr>
        <w:drawing>
          <wp:anchor distT="0" distB="0" distL="114300" distR="114300" simplePos="0" relativeHeight="251658240" behindDoc="1" locked="0" layoutInCell="1" allowOverlap="1" wp14:anchorId="1F4F6EFE" wp14:editId="6722057F">
            <wp:simplePos x="0" y="0"/>
            <wp:positionH relativeFrom="column">
              <wp:posOffset>-31115</wp:posOffset>
            </wp:positionH>
            <wp:positionV relativeFrom="paragraph">
              <wp:posOffset>165735</wp:posOffset>
            </wp:positionV>
            <wp:extent cx="546099" cy="409575"/>
            <wp:effectExtent l="0" t="0" r="6985"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r w:rsidR="00406878" w:rsidRPr="00D44CF8">
        <w:t>S</w:t>
      </w:r>
      <w:r w:rsidR="00036B70" w:rsidRPr="00D44CF8">
        <w:t>eizo Onoe</w:t>
      </w:r>
      <w:r w:rsidR="00036B70" w:rsidRPr="00D44CF8">
        <w:br/>
        <w:t xml:space="preserve">Directeur du Bureau de la normalisation </w:t>
      </w:r>
      <w:r w:rsidR="008B2FBA">
        <w:br/>
      </w:r>
      <w:r w:rsidR="00036B70" w:rsidRPr="00D44CF8">
        <w:t>des télécommunications</w:t>
      </w:r>
    </w:p>
    <w:p w14:paraId="349070FC" w14:textId="113876A9" w:rsidR="00036B70" w:rsidRPr="00D44CF8" w:rsidRDefault="00036B70" w:rsidP="008B2FBA">
      <w:pPr>
        <w:spacing w:before="2280"/>
      </w:pPr>
      <w:r w:rsidRPr="00D44CF8">
        <w:rPr>
          <w:b/>
          <w:bCs/>
        </w:rPr>
        <w:t>Annexes</w:t>
      </w:r>
      <w:r w:rsidR="0000320B" w:rsidRPr="008B2FBA">
        <w:rPr>
          <w:bCs/>
        </w:rPr>
        <w:t>:</w:t>
      </w:r>
      <w:r w:rsidRPr="00D44CF8">
        <w:t xml:space="preserve"> 2</w:t>
      </w:r>
    </w:p>
    <w:p w14:paraId="0733DD19" w14:textId="77777777" w:rsidR="00406878" w:rsidRPr="00D44CF8" w:rsidRDefault="00406878" w:rsidP="00CE37BA">
      <w:pPr>
        <w:spacing w:before="0"/>
      </w:pPr>
      <w:r w:rsidRPr="00D44CF8">
        <w:br w:type="page"/>
      </w:r>
    </w:p>
    <w:p w14:paraId="7685F069" w14:textId="49BC4B55" w:rsidR="00036B70" w:rsidRPr="008B2FBA" w:rsidRDefault="00036B70" w:rsidP="00406878">
      <w:pPr>
        <w:pStyle w:val="AnnexTitle"/>
        <w:rPr>
          <w:sz w:val="28"/>
          <w:szCs w:val="28"/>
        </w:rPr>
      </w:pPr>
      <w:r w:rsidRPr="008B2FBA">
        <w:rPr>
          <w:sz w:val="28"/>
          <w:szCs w:val="28"/>
        </w:rPr>
        <w:lastRenderedPageBreak/>
        <w:t>Annexe 1</w:t>
      </w:r>
      <w:r w:rsidR="006930CD" w:rsidRPr="008B2FBA">
        <w:rPr>
          <w:sz w:val="28"/>
          <w:szCs w:val="28"/>
        </w:rPr>
        <w:br/>
      </w:r>
      <w:r w:rsidR="006930CD" w:rsidRPr="008B2FBA">
        <w:rPr>
          <w:sz w:val="28"/>
          <w:szCs w:val="28"/>
        </w:rPr>
        <w:br/>
      </w:r>
      <w:r w:rsidRPr="008B2FBA">
        <w:rPr>
          <w:sz w:val="28"/>
          <w:szCs w:val="28"/>
        </w:rPr>
        <w:t>Résumé et localisation des textes déte</w:t>
      </w:r>
      <w:r w:rsidR="008B2FBA">
        <w:rPr>
          <w:sz w:val="28"/>
          <w:szCs w:val="28"/>
        </w:rPr>
        <w:t>rminés des projets de nouvelles </w:t>
      </w:r>
      <w:r w:rsidRPr="008B2FBA">
        <w:rPr>
          <w:sz w:val="28"/>
          <w:szCs w:val="28"/>
        </w:rPr>
        <w:t xml:space="preserve">Recommandations UIT-T Y.4221 (ex Y.ElecMon-Reqts), </w:t>
      </w:r>
      <w:r w:rsidR="008B2FBA">
        <w:rPr>
          <w:sz w:val="28"/>
          <w:szCs w:val="28"/>
        </w:rPr>
        <w:br/>
      </w:r>
      <w:r w:rsidRPr="008B2FBA">
        <w:rPr>
          <w:sz w:val="28"/>
          <w:szCs w:val="28"/>
        </w:rPr>
        <w:t xml:space="preserve">Y.4222 (ex Y.smart-evacuation), Y.4223 (ex Y.SCC-Reqts), </w:t>
      </w:r>
      <w:r w:rsidR="00406878" w:rsidRPr="008B2FBA">
        <w:rPr>
          <w:sz w:val="28"/>
          <w:szCs w:val="28"/>
        </w:rPr>
        <w:br/>
      </w:r>
      <w:r w:rsidRPr="008B2FBA">
        <w:rPr>
          <w:sz w:val="28"/>
          <w:szCs w:val="28"/>
        </w:rPr>
        <w:t xml:space="preserve">Y.4487 (ex Y.RMDFS-arch), Y.4488 (ex Y.IoT-SPWE) </w:t>
      </w:r>
      <w:r w:rsidR="00406878" w:rsidRPr="008B2FBA">
        <w:rPr>
          <w:sz w:val="28"/>
          <w:szCs w:val="28"/>
        </w:rPr>
        <w:br/>
      </w:r>
      <w:r w:rsidRPr="008B2FBA">
        <w:rPr>
          <w:sz w:val="28"/>
          <w:szCs w:val="28"/>
        </w:rPr>
        <w:t>et Y.4604 (ex Y.IoT-MCSI)</w:t>
      </w:r>
    </w:p>
    <w:p w14:paraId="0B64EFF2" w14:textId="3C8F6D9E" w:rsidR="00036B70" w:rsidRPr="009519B7" w:rsidRDefault="00036B70" w:rsidP="008B2FBA">
      <w:pPr>
        <w:pStyle w:val="Heading1"/>
        <w:rPr>
          <w:rFonts w:cs="Calibri"/>
          <w:sz w:val="26"/>
          <w:szCs w:val="26"/>
        </w:rPr>
      </w:pPr>
      <w:r w:rsidRPr="009519B7">
        <w:rPr>
          <w:rFonts w:cs="Calibri"/>
          <w:sz w:val="26"/>
          <w:szCs w:val="26"/>
        </w:rPr>
        <w:t>1</w:t>
      </w:r>
      <w:r w:rsidR="00406878" w:rsidRPr="009519B7">
        <w:rPr>
          <w:rFonts w:cs="Calibri"/>
          <w:sz w:val="26"/>
          <w:szCs w:val="26"/>
        </w:rPr>
        <w:tab/>
      </w:r>
      <w:r w:rsidRPr="009519B7">
        <w:rPr>
          <w:rFonts w:cs="Calibri"/>
          <w:sz w:val="26"/>
          <w:szCs w:val="26"/>
        </w:rPr>
        <w:t xml:space="preserve">Projet de nouvelle Recommandation UIT-T </w:t>
      </w:r>
      <w:r w:rsidRPr="009519B7">
        <w:rPr>
          <w:sz w:val="26"/>
          <w:szCs w:val="26"/>
        </w:rPr>
        <w:t>Y.4221 (ex Y.ElecMon-Reqts)</w:t>
      </w:r>
      <w:r w:rsidR="0000320B" w:rsidRPr="009519B7">
        <w:rPr>
          <w:sz w:val="26"/>
          <w:szCs w:val="26"/>
        </w:rPr>
        <w:t>:</w:t>
      </w:r>
      <w:r w:rsidRPr="009519B7">
        <w:rPr>
          <w:sz w:val="26"/>
          <w:szCs w:val="26"/>
        </w:rPr>
        <w:t xml:space="preserve"> </w:t>
      </w:r>
      <w:r w:rsidRPr="009519B7">
        <w:rPr>
          <w:rFonts w:cs="Calibri"/>
          <w:sz w:val="26"/>
          <w:szCs w:val="26"/>
        </w:rPr>
        <w:t>[</w:t>
      </w:r>
      <w:hyperlink r:id="rId13" w:history="1">
        <w:r w:rsidRPr="009519B7">
          <w:rPr>
            <w:rStyle w:val="Hyperlink"/>
            <w:rFonts w:cs="Calibri"/>
            <w:sz w:val="26"/>
            <w:szCs w:val="26"/>
          </w:rPr>
          <w:t>R5</w:t>
        </w:r>
      </w:hyperlink>
      <w:r w:rsidRPr="009519B7">
        <w:rPr>
          <w:rFonts w:cs="Calibri"/>
          <w:sz w:val="26"/>
          <w:szCs w:val="26"/>
        </w:rPr>
        <w:t>]</w:t>
      </w:r>
    </w:p>
    <w:p w14:paraId="3A55DDDF" w14:textId="1E5DE1BA" w:rsidR="00036B70" w:rsidRPr="00D44CF8" w:rsidRDefault="00036B70" w:rsidP="00406878">
      <w:pPr>
        <w:pStyle w:val="headingb"/>
      </w:pPr>
      <w:r w:rsidRPr="00D44CF8">
        <w:t>Exigences applicables au système de surveillance de l</w:t>
      </w:r>
      <w:r w:rsidR="00BF7CA7" w:rsidRPr="00D44CF8">
        <w:t>'</w:t>
      </w:r>
      <w:r w:rsidRPr="00D44CF8">
        <w:t>infrastructure du réseau électrique fondé sur l</w:t>
      </w:r>
      <w:r w:rsidR="00BF7CA7" w:rsidRPr="00D44CF8">
        <w:t>'</w:t>
      </w:r>
      <w:r w:rsidRPr="00D44CF8">
        <w:t>Internet des objets</w:t>
      </w:r>
    </w:p>
    <w:p w14:paraId="0B2D8E61" w14:textId="77777777" w:rsidR="00036B70" w:rsidRPr="00D44CF8" w:rsidRDefault="00036B70" w:rsidP="00406878">
      <w:pPr>
        <w:pStyle w:val="headingb"/>
      </w:pPr>
      <w:r w:rsidRPr="00D44CF8">
        <w:t>Résumé</w:t>
      </w:r>
    </w:p>
    <w:p w14:paraId="2F670A1A" w14:textId="266718EE" w:rsidR="00BF7CA7" w:rsidRPr="00D44CF8" w:rsidRDefault="00BF7CA7" w:rsidP="00BF7CA7">
      <w:r w:rsidRPr="00D44CF8">
        <w:t>Un système de surveillance de l'infrastructure du réseau électrique basé sur l'Internet des objets (IoT) est un moyen efficace d'obtenir des informations sur l'état de fonctionnement des infrastructures du réseau électrique. Ce système fournit des méthodes auxiliaires de surveillance et de diagnostic modernes et efficaces, permettant d'assurer le fonctionnement stable et sécurisé d'un système d'alimentation électrique et d'améliorer le niveau de gestion globale de ce système. Il offre une solution commode pour la maintenance de l'infrastructure du réseau électrique.</w:t>
      </w:r>
    </w:p>
    <w:p w14:paraId="012A3B0D" w14:textId="23CE9D5C" w:rsidR="00BF7CA7" w:rsidRPr="00D44CF8" w:rsidRDefault="00BF7CA7" w:rsidP="00BF7CA7">
      <w:r w:rsidRPr="00D44CF8">
        <w:t>Cette Recommandation définit les exigences applicables à un système de surveillance de l'infrastructure du réseau électrique fondé sur l'Internet des objets aux fins de la maintenance de l'infrastructure du réseau électrique.</w:t>
      </w:r>
    </w:p>
    <w:p w14:paraId="5EA78247" w14:textId="2DB76A62" w:rsidR="00036B70" w:rsidRPr="009519B7" w:rsidRDefault="00036B70" w:rsidP="00406878">
      <w:pPr>
        <w:pStyle w:val="Heading1"/>
        <w:rPr>
          <w:rFonts w:cs="Calibri"/>
          <w:sz w:val="26"/>
          <w:szCs w:val="26"/>
        </w:rPr>
      </w:pPr>
      <w:r w:rsidRPr="009519B7">
        <w:rPr>
          <w:rFonts w:cs="Calibri"/>
          <w:sz w:val="26"/>
          <w:szCs w:val="26"/>
        </w:rPr>
        <w:t>2</w:t>
      </w:r>
      <w:r w:rsidRPr="009519B7">
        <w:rPr>
          <w:rFonts w:cs="Calibri"/>
          <w:sz w:val="26"/>
          <w:szCs w:val="26"/>
        </w:rPr>
        <w:tab/>
        <w:t xml:space="preserve">Projet de nouvelle Recommandation UIT-T </w:t>
      </w:r>
      <w:r w:rsidRPr="009519B7">
        <w:rPr>
          <w:sz w:val="26"/>
          <w:szCs w:val="26"/>
        </w:rPr>
        <w:t>Y.4222 (ex Y.smart-evacuation)</w:t>
      </w:r>
      <w:r w:rsidR="0000320B" w:rsidRPr="009519B7">
        <w:rPr>
          <w:sz w:val="26"/>
          <w:szCs w:val="26"/>
        </w:rPr>
        <w:t>:</w:t>
      </w:r>
      <w:r w:rsidRPr="009519B7">
        <w:rPr>
          <w:sz w:val="26"/>
          <w:szCs w:val="26"/>
        </w:rPr>
        <w:t xml:space="preserve"> </w:t>
      </w:r>
      <w:r w:rsidRPr="009519B7">
        <w:rPr>
          <w:rFonts w:cs="Calibri"/>
          <w:sz w:val="26"/>
          <w:szCs w:val="26"/>
        </w:rPr>
        <w:t>[</w:t>
      </w:r>
      <w:hyperlink r:id="rId14" w:history="1">
        <w:r w:rsidRPr="009519B7">
          <w:rPr>
            <w:rStyle w:val="Hyperlink"/>
            <w:rFonts w:cs="Calibri"/>
            <w:sz w:val="26"/>
            <w:szCs w:val="26"/>
          </w:rPr>
          <w:t>R6</w:t>
        </w:r>
      </w:hyperlink>
      <w:r w:rsidRPr="009519B7">
        <w:rPr>
          <w:rFonts w:cs="Calibri"/>
          <w:sz w:val="26"/>
          <w:szCs w:val="26"/>
        </w:rPr>
        <w:t>]</w:t>
      </w:r>
    </w:p>
    <w:p w14:paraId="5B3DB742" w14:textId="1F06C527" w:rsidR="00036B70" w:rsidRPr="00D44CF8" w:rsidRDefault="00036B70" w:rsidP="00406878">
      <w:pPr>
        <w:pStyle w:val="headingb"/>
      </w:pPr>
      <w:r w:rsidRPr="00D44CF8">
        <w:t>Cadre pour l</w:t>
      </w:r>
      <w:r w:rsidR="00BF7CA7" w:rsidRPr="00D44CF8">
        <w:t>'</w:t>
      </w:r>
      <w:r w:rsidRPr="00D44CF8">
        <w:t>évacuation intelligente en cas de catastrophe ou dans une situation d</w:t>
      </w:r>
      <w:r w:rsidR="00BF7CA7" w:rsidRPr="00D44CF8">
        <w:t>'</w:t>
      </w:r>
      <w:r w:rsidRPr="00D44CF8">
        <w:t>urgence dans les villes et communautés intelligentes</w:t>
      </w:r>
    </w:p>
    <w:p w14:paraId="69AC342B" w14:textId="77777777" w:rsidR="00036B70" w:rsidRPr="00D44CF8" w:rsidRDefault="00036B70" w:rsidP="00406878">
      <w:pPr>
        <w:pStyle w:val="headingb"/>
      </w:pPr>
      <w:r w:rsidRPr="00D44CF8">
        <w:t>Résumé</w:t>
      </w:r>
    </w:p>
    <w:p w14:paraId="0E5A439F" w14:textId="1B756EC5" w:rsidR="00036B70" w:rsidRPr="00D44CF8" w:rsidRDefault="00036B70" w:rsidP="00BF7CA7">
      <w:r w:rsidRPr="00D44CF8">
        <w:t>L</w:t>
      </w:r>
      <w:r w:rsidR="00BF7CA7" w:rsidRPr="00D44CF8">
        <w:t>'</w:t>
      </w:r>
      <w:r w:rsidRPr="00D44CF8">
        <w:t>évacuation intelligente offre des solutions efficaces pour les personnes</w:t>
      </w:r>
      <w:r w:rsidR="0000320B" w:rsidRPr="00D44CF8">
        <w:t xml:space="preserve"> </w:t>
      </w:r>
      <w:r w:rsidRPr="00D44CF8">
        <w:t>se trouvant</w:t>
      </w:r>
      <w:r w:rsidR="0000320B" w:rsidRPr="00D44CF8">
        <w:t xml:space="preserve"> </w:t>
      </w:r>
      <w:r w:rsidRPr="00D44CF8">
        <w:t>dans</w:t>
      </w:r>
      <w:r w:rsidR="0000320B" w:rsidRPr="00D44CF8">
        <w:t xml:space="preserve"> </w:t>
      </w:r>
      <w:r w:rsidRPr="00D44CF8">
        <w:t>une</w:t>
      </w:r>
      <w:r w:rsidR="0000320B" w:rsidRPr="00D44CF8">
        <w:t xml:space="preserve"> </w:t>
      </w:r>
      <w:r w:rsidRPr="00D44CF8">
        <w:t>zone</w:t>
      </w:r>
      <w:r w:rsidR="0000320B" w:rsidRPr="00D44CF8">
        <w:t xml:space="preserve"> </w:t>
      </w:r>
      <w:r w:rsidRPr="00D44CF8">
        <w:t>touchée</w:t>
      </w:r>
      <w:r w:rsidR="0000320B" w:rsidRPr="00D44CF8">
        <w:t xml:space="preserve"> </w:t>
      </w:r>
      <w:r w:rsidRPr="00D44CF8">
        <w:t>par une catastrophe ou une zone placée</w:t>
      </w:r>
      <w:r w:rsidR="0000320B" w:rsidRPr="00D44CF8">
        <w:t xml:space="preserve"> </w:t>
      </w:r>
      <w:r w:rsidRPr="00D44CF8">
        <w:t>en situation d</w:t>
      </w:r>
      <w:r w:rsidR="00BF7CA7" w:rsidRPr="00D44CF8">
        <w:t>'</w:t>
      </w:r>
      <w:r w:rsidRPr="00D44CF8">
        <w:t>urgence et pour celles qui doivent se rendre dans une</w:t>
      </w:r>
      <w:r w:rsidR="0000320B" w:rsidRPr="00D44CF8">
        <w:t xml:space="preserve"> </w:t>
      </w:r>
      <w:r w:rsidRPr="00D44CF8">
        <w:t>zone de ce type</w:t>
      </w:r>
      <w:r w:rsidR="0000320B" w:rsidRPr="00D44CF8">
        <w:t xml:space="preserve"> </w:t>
      </w:r>
      <w:r w:rsidRPr="00D44CF8">
        <w:t>dans le cadre d</w:t>
      </w:r>
      <w:r w:rsidR="00BF7CA7" w:rsidRPr="00D44CF8">
        <w:t>'</w:t>
      </w:r>
      <w:r w:rsidRPr="00D44CF8">
        <w:t>une</w:t>
      </w:r>
      <w:r w:rsidR="0000320B" w:rsidRPr="00D44CF8">
        <w:t xml:space="preserve"> </w:t>
      </w:r>
      <w:r w:rsidRPr="00D44CF8">
        <w:t>intervention. L</w:t>
      </w:r>
      <w:r w:rsidR="00BF7CA7" w:rsidRPr="00D44CF8">
        <w:t>'</w:t>
      </w:r>
      <w:r w:rsidRPr="00D44CF8">
        <w:t>Internet des objets (IoT) et les technologies relatives aux villes et aux communautés intelligentes pourraient être utilisés pour assurer une évacuation intelligente en cas de</w:t>
      </w:r>
      <w:r w:rsidR="0000320B" w:rsidRPr="00D44CF8">
        <w:t xml:space="preserve"> </w:t>
      </w:r>
      <w:r w:rsidRPr="00D44CF8">
        <w:t>catastrophe ou dans</w:t>
      </w:r>
      <w:r w:rsidR="0000320B" w:rsidRPr="00D44CF8">
        <w:t xml:space="preserve"> </w:t>
      </w:r>
      <w:r w:rsidRPr="00D44CF8">
        <w:t>une situation d</w:t>
      </w:r>
      <w:r w:rsidR="00BF7CA7" w:rsidRPr="00D44CF8">
        <w:t>'</w:t>
      </w:r>
      <w:r w:rsidRPr="00D44CF8">
        <w:t>urgence.</w:t>
      </w:r>
    </w:p>
    <w:p w14:paraId="37E0D0C0" w14:textId="55EA964A" w:rsidR="00036B70" w:rsidRPr="00D44CF8" w:rsidRDefault="00036B70" w:rsidP="00BF7CA7">
      <w:r w:rsidRPr="00D44CF8">
        <w:t>Cette Recommandation décrit les concepts et les caractéristiques de la gestion intelligente des évacuations en cas de catastrophe ou dans</w:t>
      </w:r>
      <w:r w:rsidR="0000320B" w:rsidRPr="00D44CF8">
        <w:t xml:space="preserve"> </w:t>
      </w:r>
      <w:r w:rsidRPr="00D44CF8">
        <w:t>une situation d</w:t>
      </w:r>
      <w:r w:rsidR="00BF7CA7" w:rsidRPr="00D44CF8">
        <w:t>'</w:t>
      </w:r>
      <w:r w:rsidRPr="00D44CF8">
        <w:t>urgence. Elle définit les exigences de haut niveau et l</w:t>
      </w:r>
      <w:r w:rsidR="00BF7CA7" w:rsidRPr="00D44CF8">
        <w:t>'</w:t>
      </w:r>
      <w:r w:rsidRPr="00D44CF8">
        <w:t>infrastructure TIC pour l</w:t>
      </w:r>
      <w:r w:rsidR="00BF7CA7" w:rsidRPr="00D44CF8">
        <w:t>'</w:t>
      </w:r>
      <w:r w:rsidRPr="00D44CF8">
        <w:t>évacuation intelligente, ainsi que les cas d</w:t>
      </w:r>
      <w:r w:rsidR="00BF7CA7" w:rsidRPr="00D44CF8">
        <w:t>'</w:t>
      </w:r>
      <w:r w:rsidRPr="00D44CF8">
        <w:t>utilisation en cas de catastrophe et dans</w:t>
      </w:r>
      <w:r w:rsidR="0000320B" w:rsidRPr="00D44CF8">
        <w:t xml:space="preserve"> </w:t>
      </w:r>
      <w:r w:rsidRPr="00D44CF8">
        <w:t>une situation d</w:t>
      </w:r>
      <w:r w:rsidR="00BF7CA7" w:rsidRPr="00D44CF8">
        <w:t>'</w:t>
      </w:r>
      <w:r w:rsidRPr="00D44CF8">
        <w:t>urgence.</w:t>
      </w:r>
    </w:p>
    <w:p w14:paraId="46B5331C" w14:textId="0EE441B1" w:rsidR="00036B70" w:rsidRPr="00D44CF8" w:rsidRDefault="00036B70" w:rsidP="00BF7CA7">
      <w:r w:rsidRPr="00D44CF8">
        <w:t>La mise en place d</w:t>
      </w:r>
      <w:r w:rsidR="00BF7CA7" w:rsidRPr="00D44CF8">
        <w:t>'</w:t>
      </w:r>
      <w:r w:rsidRPr="00D44CF8">
        <w:t>un service d</w:t>
      </w:r>
      <w:r w:rsidR="00BF7CA7" w:rsidRPr="00D44CF8">
        <w:t>'</w:t>
      </w:r>
      <w:r w:rsidRPr="00D44CF8">
        <w:t>évacuation intelligent permettra de maintenir le niveau de confort qu</w:t>
      </w:r>
      <w:r w:rsidR="00BF7CA7" w:rsidRPr="00D44CF8">
        <w:t>'</w:t>
      </w:r>
      <w:r w:rsidRPr="00D44CF8">
        <w:t>offrent les villes intelligentes à la population, même lors d</w:t>
      </w:r>
      <w:r w:rsidR="00BF7CA7" w:rsidRPr="00D44CF8">
        <w:t>'</w:t>
      </w:r>
      <w:r w:rsidRPr="00D44CF8">
        <w:t>une situation d</w:t>
      </w:r>
      <w:r w:rsidR="00BF7CA7" w:rsidRPr="00D44CF8">
        <w:t>'</w:t>
      </w:r>
      <w:r w:rsidRPr="00D44CF8">
        <w:t>urgence d</w:t>
      </w:r>
      <w:r w:rsidR="00BF7CA7" w:rsidRPr="00D44CF8">
        <w:t>'</w:t>
      </w:r>
      <w:r w:rsidRPr="00D44CF8">
        <w:t>origine naturelle ou humaine. Il s</w:t>
      </w:r>
      <w:r w:rsidR="00BF7CA7" w:rsidRPr="00D44CF8">
        <w:t>'</w:t>
      </w:r>
      <w:r w:rsidRPr="00D44CF8">
        <w:t>agit d</w:t>
      </w:r>
      <w:r w:rsidR="00BF7CA7" w:rsidRPr="00D44CF8">
        <w:t>'</w:t>
      </w:r>
      <w:r w:rsidRPr="00D44CF8">
        <w:t>un aspect fondamental pour justifier les coûts</w:t>
      </w:r>
      <w:r w:rsidR="0000320B" w:rsidRPr="00D44CF8">
        <w:t xml:space="preserve"> </w:t>
      </w:r>
      <w:r w:rsidRPr="00D44CF8">
        <w:t>considérables du matériel</w:t>
      </w:r>
      <w:r w:rsidR="0000320B" w:rsidRPr="00D44CF8">
        <w:t xml:space="preserve"> </w:t>
      </w:r>
      <w:r w:rsidRPr="00D44CF8">
        <w:t>qu</w:t>
      </w:r>
      <w:r w:rsidR="00BF7CA7" w:rsidRPr="00D44CF8">
        <w:t>'</w:t>
      </w:r>
      <w:r w:rsidRPr="00D44CF8">
        <w:t>exige le développement rapide des villes intelligentes à travers le monde, alors que les situations d</w:t>
      </w:r>
      <w:r w:rsidR="00BF7CA7" w:rsidRPr="00D44CF8">
        <w:t>'</w:t>
      </w:r>
      <w:r w:rsidRPr="00D44CF8">
        <w:t>urgence d</w:t>
      </w:r>
      <w:r w:rsidR="00BF7CA7" w:rsidRPr="00D44CF8">
        <w:t>'</w:t>
      </w:r>
      <w:r w:rsidRPr="00D44CF8">
        <w:t>origine naturelle ou humaine sont de plus en plus fréquentes dans le monde entier.</w:t>
      </w:r>
    </w:p>
    <w:p w14:paraId="30769F73" w14:textId="510C2269" w:rsidR="00036B70" w:rsidRPr="009519B7" w:rsidRDefault="00036B70" w:rsidP="00406878">
      <w:pPr>
        <w:pStyle w:val="Heading1"/>
        <w:rPr>
          <w:rFonts w:cs="Calibri"/>
          <w:sz w:val="26"/>
          <w:szCs w:val="26"/>
        </w:rPr>
      </w:pPr>
      <w:r w:rsidRPr="009519B7">
        <w:rPr>
          <w:rFonts w:cs="Calibri"/>
          <w:sz w:val="26"/>
          <w:szCs w:val="26"/>
        </w:rPr>
        <w:lastRenderedPageBreak/>
        <w:t>3</w:t>
      </w:r>
      <w:r w:rsidRPr="009519B7">
        <w:rPr>
          <w:rFonts w:cs="Calibri"/>
          <w:sz w:val="26"/>
          <w:szCs w:val="26"/>
        </w:rPr>
        <w:tab/>
        <w:t xml:space="preserve">Projet de nouvelle Recommandation UIT-T </w:t>
      </w:r>
      <w:r w:rsidRPr="009519B7">
        <w:rPr>
          <w:sz w:val="26"/>
          <w:szCs w:val="26"/>
        </w:rPr>
        <w:t>Y.4223 (ex Y.SCC-Reqts)</w:t>
      </w:r>
      <w:r w:rsidR="0000320B" w:rsidRPr="009519B7">
        <w:rPr>
          <w:sz w:val="26"/>
          <w:szCs w:val="26"/>
        </w:rPr>
        <w:t>:</w:t>
      </w:r>
      <w:r w:rsidRPr="009519B7">
        <w:rPr>
          <w:sz w:val="26"/>
          <w:szCs w:val="26"/>
        </w:rPr>
        <w:t xml:space="preserve"> </w:t>
      </w:r>
      <w:r w:rsidRPr="009519B7">
        <w:rPr>
          <w:rFonts w:cs="Calibri"/>
          <w:sz w:val="26"/>
          <w:szCs w:val="26"/>
        </w:rPr>
        <w:t>[</w:t>
      </w:r>
      <w:hyperlink r:id="rId15" w:history="1">
        <w:r w:rsidRPr="009519B7">
          <w:rPr>
            <w:rStyle w:val="Hyperlink"/>
            <w:rFonts w:cs="Calibri"/>
            <w:sz w:val="26"/>
            <w:szCs w:val="26"/>
          </w:rPr>
          <w:t>R7</w:t>
        </w:r>
      </w:hyperlink>
      <w:r w:rsidRPr="009519B7">
        <w:rPr>
          <w:rFonts w:cs="Calibri"/>
          <w:sz w:val="26"/>
          <w:szCs w:val="26"/>
        </w:rPr>
        <w:t>]</w:t>
      </w:r>
    </w:p>
    <w:p w14:paraId="51CFD64B" w14:textId="19F21627" w:rsidR="00036B70" w:rsidRPr="00D44CF8" w:rsidRDefault="00036B70" w:rsidP="00406878">
      <w:pPr>
        <w:pStyle w:val="headingb"/>
      </w:pPr>
      <w:r w:rsidRPr="00D44CF8">
        <w:t>Exigences et capacités communes des villes et des communautés intelligentes dans le contexte</w:t>
      </w:r>
      <w:r w:rsidR="0000320B" w:rsidRPr="00D44CF8">
        <w:t xml:space="preserve"> </w:t>
      </w:r>
      <w:r w:rsidRPr="00D44CF8">
        <w:t>de l</w:t>
      </w:r>
      <w:r w:rsidR="00BF7CA7" w:rsidRPr="00D44CF8">
        <w:t>'</w:t>
      </w:r>
      <w:r w:rsidRPr="00D44CF8">
        <w:t>Internet des objets et des technologies de l</w:t>
      </w:r>
      <w:r w:rsidR="00BF7CA7" w:rsidRPr="00D44CF8">
        <w:t>'</w:t>
      </w:r>
      <w:r w:rsidRPr="00D44CF8">
        <w:t>information et de la communication</w:t>
      </w:r>
    </w:p>
    <w:p w14:paraId="2D5CDB15" w14:textId="77777777" w:rsidR="00036B70" w:rsidRPr="00D44CF8" w:rsidRDefault="00036B70" w:rsidP="00406878">
      <w:pPr>
        <w:pStyle w:val="headingb"/>
      </w:pPr>
      <w:r w:rsidRPr="00D44CF8">
        <w:t>Résumé</w:t>
      </w:r>
    </w:p>
    <w:p w14:paraId="5E4D7451" w14:textId="3CDD95D0" w:rsidR="00036B70" w:rsidRPr="00D44CF8" w:rsidRDefault="00036B70" w:rsidP="00BF7CA7">
      <w:r w:rsidRPr="00D44CF8">
        <w:t>Les villes et communautés intelligentes (SC&amp;C) ont pour finalité commune de parvenir à un développement durable en milieu urbain sans nuire à la qualité de vie des personnes. Leur objectif est de créer un cadre de vie durable</w:t>
      </w:r>
      <w:r w:rsidR="0000320B" w:rsidRPr="00D44CF8">
        <w:t xml:space="preserve"> </w:t>
      </w:r>
      <w:r w:rsidRPr="00D44CF8">
        <w:t>au moyen des technologies de l</w:t>
      </w:r>
      <w:r w:rsidR="00BF7CA7" w:rsidRPr="00D44CF8">
        <w:t>'</w:t>
      </w:r>
      <w:r w:rsidRPr="00D44CF8">
        <w:t>Internet des objets (IoT) et</w:t>
      </w:r>
      <w:r w:rsidR="0000320B" w:rsidRPr="00D44CF8">
        <w:t xml:space="preserve"> </w:t>
      </w:r>
      <w:r w:rsidRPr="00D44CF8">
        <w:t>des technologies de l</w:t>
      </w:r>
      <w:r w:rsidR="00BF7CA7" w:rsidRPr="00D44CF8">
        <w:t>'</w:t>
      </w:r>
      <w:r w:rsidRPr="00D44CF8">
        <w:t>information et de la communication (TIC).</w:t>
      </w:r>
    </w:p>
    <w:p w14:paraId="5C743066" w14:textId="6F0999B6" w:rsidR="00036B70" w:rsidRPr="00D44CF8" w:rsidRDefault="00036B70" w:rsidP="00BF7CA7">
      <w:r w:rsidRPr="00D44CF8">
        <w:t>Les travaux de normalisation concernant les villes et communautés intelligentes sont en cours au sein de l</w:t>
      </w:r>
      <w:r w:rsidR="00BF7CA7" w:rsidRPr="00D44CF8">
        <w:t>'</w:t>
      </w:r>
      <w:r w:rsidRPr="00D44CF8">
        <w:t>UIT-T et d</w:t>
      </w:r>
      <w:r w:rsidR="00BF7CA7" w:rsidRPr="00D44CF8">
        <w:t>'</w:t>
      </w:r>
      <w:r w:rsidRPr="00D44CF8">
        <w:t>autres organismes de normalisation compétents, et portent sur des aspects tels que le cadre pour les villes et communautés intelligentes, l</w:t>
      </w:r>
      <w:r w:rsidR="00BF7CA7" w:rsidRPr="00D44CF8">
        <w:t>'</w:t>
      </w:r>
      <w:r w:rsidRPr="00D44CF8">
        <w:t>infrastructure, le système intégré de détection et de gestion, les plates-formes, le traitement des données, les services et les applications (par exemple, la gestion intelligente de l</w:t>
      </w:r>
      <w:r w:rsidR="00BF7CA7" w:rsidRPr="00D44CF8">
        <w:t>'</w:t>
      </w:r>
      <w:r w:rsidRPr="00D44CF8">
        <w:t>eau, les bâtiments intelligents, les communautés résidentielles intelligentes, le tourisme intelligent et les parkings intelligents, parmi beaucoup d</w:t>
      </w:r>
      <w:r w:rsidR="00BF7CA7" w:rsidRPr="00D44CF8">
        <w:t>'</w:t>
      </w:r>
      <w:r w:rsidRPr="00D44CF8">
        <w:t>autres). Sur la base des caractéristiques fondamentales des villes et des communautés intelligentes, cette Recommandation définit les exigences et les capacités communes des villes intelligentes et durables du point de vue de l</w:t>
      </w:r>
      <w:r w:rsidR="00BF7CA7" w:rsidRPr="00D44CF8">
        <w:t>'</w:t>
      </w:r>
      <w:r w:rsidRPr="00D44CF8">
        <w:t>IoT et des TIC.</w:t>
      </w:r>
    </w:p>
    <w:p w14:paraId="7071A540" w14:textId="5E660CEB" w:rsidR="00036B70" w:rsidRPr="00D44CF8" w:rsidRDefault="00036B70" w:rsidP="00BF7CA7">
      <w:r w:rsidRPr="00D44CF8">
        <w:t>Les exigences et les capacités communes définies sont destinées à s</w:t>
      </w:r>
      <w:r w:rsidR="00BF7CA7" w:rsidRPr="00D44CF8">
        <w:t>'</w:t>
      </w:r>
      <w:r w:rsidRPr="00D44CF8">
        <w:t>appliquer de manière générale dans les villes et les communautés intelligentes.</w:t>
      </w:r>
    </w:p>
    <w:p w14:paraId="52DD6D2D" w14:textId="08627603" w:rsidR="00036B70" w:rsidRPr="009519B7" w:rsidRDefault="00036B70" w:rsidP="00406878">
      <w:pPr>
        <w:pStyle w:val="Heading1"/>
        <w:rPr>
          <w:rFonts w:cs="Calibri"/>
          <w:sz w:val="26"/>
          <w:szCs w:val="26"/>
        </w:rPr>
      </w:pPr>
      <w:r w:rsidRPr="009519B7">
        <w:rPr>
          <w:rFonts w:cs="Calibri"/>
          <w:sz w:val="26"/>
          <w:szCs w:val="26"/>
        </w:rPr>
        <w:t>4</w:t>
      </w:r>
      <w:r w:rsidRPr="009519B7">
        <w:rPr>
          <w:rFonts w:cs="Calibri"/>
          <w:sz w:val="26"/>
          <w:szCs w:val="26"/>
        </w:rPr>
        <w:tab/>
        <w:t xml:space="preserve">Projet de nouvelle Recommandation UIT-T </w:t>
      </w:r>
      <w:r w:rsidRPr="009519B7">
        <w:rPr>
          <w:sz w:val="26"/>
          <w:szCs w:val="26"/>
        </w:rPr>
        <w:t>Y.4487 (ex Y.RMDFS-arch)</w:t>
      </w:r>
      <w:r w:rsidR="0000320B" w:rsidRPr="009519B7">
        <w:rPr>
          <w:sz w:val="26"/>
          <w:szCs w:val="26"/>
        </w:rPr>
        <w:t>:</w:t>
      </w:r>
      <w:r w:rsidRPr="009519B7">
        <w:rPr>
          <w:sz w:val="26"/>
          <w:szCs w:val="26"/>
        </w:rPr>
        <w:t xml:space="preserve"> </w:t>
      </w:r>
      <w:r w:rsidRPr="009519B7">
        <w:rPr>
          <w:rFonts w:cs="Calibri"/>
          <w:sz w:val="26"/>
          <w:szCs w:val="26"/>
        </w:rPr>
        <w:t>[</w:t>
      </w:r>
      <w:hyperlink r:id="rId16" w:history="1">
        <w:r w:rsidRPr="009519B7">
          <w:rPr>
            <w:rStyle w:val="Hyperlink"/>
            <w:rFonts w:cs="Calibri"/>
            <w:sz w:val="26"/>
            <w:szCs w:val="26"/>
          </w:rPr>
          <w:t>R8</w:t>
        </w:r>
      </w:hyperlink>
      <w:r w:rsidRPr="009519B7">
        <w:rPr>
          <w:rFonts w:cs="Calibri"/>
          <w:sz w:val="26"/>
          <w:szCs w:val="26"/>
        </w:rPr>
        <w:t>]</w:t>
      </w:r>
    </w:p>
    <w:p w14:paraId="13B24AF7" w14:textId="77777777" w:rsidR="00036B70" w:rsidRPr="00D44CF8" w:rsidRDefault="00036B70" w:rsidP="00406878">
      <w:pPr>
        <w:pStyle w:val="headingb"/>
      </w:pPr>
      <w:r w:rsidRPr="00D44CF8">
        <w:t>Architecture fonctionnelle des systèmes de fusion de données multicapteurs de bord de route pour les véhicules autonomes</w:t>
      </w:r>
    </w:p>
    <w:p w14:paraId="39F2A39F" w14:textId="77777777" w:rsidR="00036B70" w:rsidRPr="00D44CF8" w:rsidRDefault="00036B70" w:rsidP="00406878">
      <w:pPr>
        <w:pStyle w:val="headingb"/>
      </w:pPr>
      <w:r w:rsidRPr="00D44CF8">
        <w:t>Résumé</w:t>
      </w:r>
    </w:p>
    <w:p w14:paraId="2C7BE5F3" w14:textId="4456034B" w:rsidR="00036B70" w:rsidRPr="00D44CF8" w:rsidRDefault="00036B70" w:rsidP="00036B70">
      <w:pPr>
        <w:pBdr>
          <w:top w:val="nil"/>
          <w:left w:val="nil"/>
          <w:bottom w:val="nil"/>
          <w:right w:val="nil"/>
          <w:between w:val="nil"/>
          <w:bar w:val="nil"/>
        </w:pBdr>
        <w:rPr>
          <w:color w:val="000000"/>
          <w:u w:color="000000"/>
          <w:bdr w:val="nil"/>
          <w:lang w:eastAsia="ko-KR"/>
          <w14:textOutline w14:w="12700" w14:cap="flat" w14:cmpd="sng" w14:algn="ctr">
            <w14:noFill/>
            <w14:prstDash w14:val="solid"/>
            <w14:miter w14:lim="400000"/>
          </w14:textOutline>
        </w:rPr>
      </w:pPr>
      <w:r w:rsidRPr="00D44CF8">
        <w:rPr>
          <w:color w:val="000000"/>
          <w:u w:color="000000"/>
          <w:bdr w:val="nil"/>
          <w:lang w:eastAsia="ko-KR"/>
          <w14:textOutline w14:w="12700" w14:cap="flat" w14:cmpd="sng" w14:algn="ctr">
            <w14:noFill/>
            <w14:prstDash w14:val="solid"/>
            <w14:miter w14:lim="400000"/>
          </w14:textOutline>
        </w:rPr>
        <w:t>Avec le développement de la conduite autonome, les méthodes de perception reposant uniquement sur les capteurs du véhicule ou sur les systèmes de détection traditionnels le long des routes, dans le cadre desquelles la collaboration entre les dispositifs est insuffisante, ne suffisent plus pour prendre en charge les applications de conduite autonome de haut niveau. Le système de fusion de données multicapteurs de bord de route (RMDFS) peut fournir de nouvelles fonctionnalités qui contribueront à améliorer les capacités de détection le long des routes, en associant différents types de dispositifs de détection en bord de route tels que des caméras, des lidars et des radars à ondes millimétriques, etc</w:t>
      </w:r>
      <w:r w:rsidR="006930CD" w:rsidRPr="00D44CF8">
        <w:rPr>
          <w:color w:val="000000"/>
          <w:u w:color="000000"/>
          <w:bdr w:val="nil"/>
          <w:lang w:eastAsia="ko-KR"/>
          <w14:textOutline w14:w="12700" w14:cap="flat" w14:cmpd="sng" w14:algn="ctr">
            <w14:noFill/>
            <w14:prstDash w14:val="solid"/>
            <w14:miter w14:lim="400000"/>
          </w14:textOutline>
        </w:rPr>
        <w:t>.</w:t>
      </w:r>
      <w:r w:rsidRPr="00D44CF8">
        <w:rPr>
          <w:color w:val="000000"/>
          <w:u w:color="000000"/>
          <w:bdr w:val="nil"/>
          <w:lang w:eastAsia="ko-KR"/>
          <w14:textOutline w14:w="12700" w14:cap="flat" w14:cmpd="sng" w14:algn="ctr">
            <w14:noFill/>
            <w14:prstDash w14:val="solid"/>
            <w14:miter w14:lim="400000"/>
          </w14:textOutline>
        </w:rPr>
        <w:t>, en fonction de leurs caractéristiques, et permettre une gestion et une coordination unifiées, afin de parvenir à une perception précise des informations routières et de prendre en charge les applications de conduite autonome.</w:t>
      </w:r>
    </w:p>
    <w:p w14:paraId="2831774B" w14:textId="5E11E106" w:rsidR="00036B70" w:rsidRPr="00D44CF8" w:rsidRDefault="00036B70" w:rsidP="00036B70">
      <w:pPr>
        <w:pBdr>
          <w:top w:val="nil"/>
          <w:left w:val="nil"/>
          <w:bottom w:val="nil"/>
          <w:right w:val="nil"/>
          <w:between w:val="nil"/>
          <w:bar w:val="nil"/>
        </w:pBdr>
        <w:rPr>
          <w:color w:val="000000"/>
          <w:u w:color="000000"/>
          <w:bdr w:val="nil"/>
          <w:lang w:eastAsia="ko-KR"/>
          <w14:textOutline w14:w="12700" w14:cap="flat" w14:cmpd="sng" w14:algn="ctr">
            <w14:noFill/>
            <w14:prstDash w14:val="solid"/>
            <w14:miter w14:lim="400000"/>
          </w14:textOutline>
        </w:rPr>
      </w:pPr>
      <w:r w:rsidRPr="00D44CF8">
        <w:rPr>
          <w:color w:val="000000"/>
          <w:u w:color="000000"/>
          <w:bdr w:val="nil"/>
          <w:lang w:eastAsia="ko-KR"/>
          <w14:textOutline w14:w="12700" w14:cap="flat" w14:cmpd="sng" w14:algn="ctr">
            <w14:noFill/>
            <w14:prstDash w14:val="solid"/>
            <w14:miter w14:lim="400000"/>
          </w14:textOutline>
        </w:rPr>
        <w:t>La Recommandation UIT-T Y.4487 définit une architecture fonctionnelle de référence pour les syst</w:t>
      </w:r>
      <w:r w:rsidR="009519B7">
        <w:rPr>
          <w:color w:val="000000"/>
          <w:u w:color="000000"/>
          <w:bdr w:val="nil"/>
          <w:lang w:eastAsia="ko-KR"/>
          <w14:textOutline w14:w="12700" w14:cap="flat" w14:cmpd="sng" w14:algn="ctr">
            <w14:noFill/>
            <w14:prstDash w14:val="solid"/>
            <w14:miter w14:lim="400000"/>
          </w14:textOutline>
        </w:rPr>
        <w:t>èmes de fusion de données multi</w:t>
      </w:r>
      <w:r w:rsidRPr="00D44CF8">
        <w:rPr>
          <w:color w:val="000000"/>
          <w:u w:color="000000"/>
          <w:bdr w:val="nil"/>
          <w:lang w:eastAsia="ko-KR"/>
          <w14:textOutline w14:w="12700" w14:cap="flat" w14:cmpd="sng" w14:algn="ctr">
            <w14:noFill/>
            <w14:prstDash w14:val="solid"/>
            <w14:miter w14:lim="400000"/>
          </w14:textOutline>
        </w:rPr>
        <w:t>capteurs de bord de route. Elle</w:t>
      </w:r>
      <w:r w:rsidR="0000320B" w:rsidRPr="00D44CF8">
        <w:rPr>
          <w:color w:val="000000"/>
          <w:u w:color="000000"/>
          <w:bdr w:val="nil"/>
          <w:lang w:eastAsia="ko-KR"/>
          <w14:textOutline w14:w="12700" w14:cap="flat" w14:cmpd="sng" w14:algn="ctr">
            <w14:noFill/>
            <w14:prstDash w14:val="solid"/>
            <w14:miter w14:lim="400000"/>
          </w14:textOutline>
        </w:rPr>
        <w:t xml:space="preserve"> </w:t>
      </w:r>
      <w:r w:rsidRPr="00D44CF8">
        <w:rPr>
          <w:color w:val="000000"/>
          <w:u w:color="000000"/>
          <w:bdr w:val="nil"/>
          <w:lang w:eastAsia="ko-KR"/>
          <w14:textOutline w14:w="12700" w14:cap="flat" w14:cmpd="sng" w14:algn="ctr">
            <w14:noFill/>
            <w14:prstDash w14:val="solid"/>
            <w14:miter w14:lim="400000"/>
          </w14:textOutline>
        </w:rPr>
        <w:t>précise</w:t>
      </w:r>
      <w:r w:rsidR="0000320B" w:rsidRPr="00D44CF8">
        <w:rPr>
          <w:color w:val="000000"/>
          <w:u w:color="000000"/>
          <w:bdr w:val="nil"/>
          <w:lang w:eastAsia="ko-KR"/>
          <w14:textOutline w14:w="12700" w14:cap="flat" w14:cmpd="sng" w14:algn="ctr">
            <w14:noFill/>
            <w14:prstDash w14:val="solid"/>
            <w14:miter w14:lim="400000"/>
          </w14:textOutline>
        </w:rPr>
        <w:t xml:space="preserve"> </w:t>
      </w:r>
      <w:r w:rsidRPr="00D44CF8">
        <w:rPr>
          <w:color w:val="000000"/>
          <w:u w:color="000000"/>
          <w:bdr w:val="nil"/>
          <w:lang w:eastAsia="ko-KR"/>
          <w14:textOutline w14:w="12700" w14:cap="flat" w14:cmpd="sng" w14:algn="ctr">
            <w14:noFill/>
            <w14:prstDash w14:val="solid"/>
            <w14:miter w14:lim="400000"/>
          </w14:textOutline>
        </w:rPr>
        <w:t>le concept et les composants des systèmes et</w:t>
      </w:r>
      <w:r w:rsidR="0000320B" w:rsidRPr="00D44CF8">
        <w:rPr>
          <w:color w:val="000000"/>
          <w:u w:color="000000"/>
          <w:bdr w:val="nil"/>
          <w:lang w:eastAsia="ko-KR"/>
          <w14:textOutline w14:w="12700" w14:cap="flat" w14:cmpd="sng" w14:algn="ctr">
            <w14:noFill/>
            <w14:prstDash w14:val="solid"/>
            <w14:miter w14:lim="400000"/>
          </w14:textOutline>
        </w:rPr>
        <w:t xml:space="preserve"> </w:t>
      </w:r>
      <w:r w:rsidRPr="00D44CF8">
        <w:rPr>
          <w:color w:val="000000"/>
          <w:u w:color="000000"/>
          <w:bdr w:val="nil"/>
          <w:lang w:eastAsia="ko-KR"/>
          <w14:textOutline w14:w="12700" w14:cap="flat" w14:cmpd="sng" w14:algn="ctr">
            <w14:noFill/>
            <w14:prstDash w14:val="solid"/>
            <w14:miter w14:lim="400000"/>
          </w14:textOutline>
        </w:rPr>
        <w:t>indique les principales entités fonctionnelles des systèmes et les points de référence entre les entités fonctionnelles. Des cas d</w:t>
      </w:r>
      <w:r w:rsidR="00BF7CA7" w:rsidRPr="00D44CF8">
        <w:rPr>
          <w:color w:val="000000"/>
          <w:u w:color="000000"/>
          <w:bdr w:val="nil"/>
          <w:lang w:eastAsia="ko-KR"/>
          <w14:textOutline w14:w="12700" w14:cap="flat" w14:cmpd="sng" w14:algn="ctr">
            <w14:noFill/>
            <w14:prstDash w14:val="solid"/>
            <w14:miter w14:lim="400000"/>
          </w14:textOutline>
        </w:rPr>
        <w:t>'</w:t>
      </w:r>
      <w:r w:rsidRPr="00D44CF8">
        <w:rPr>
          <w:color w:val="000000"/>
          <w:u w:color="000000"/>
          <w:bdr w:val="nil"/>
          <w:lang w:eastAsia="ko-KR"/>
          <w14:textOutline w14:w="12700" w14:cap="flat" w14:cmpd="sng" w14:algn="ctr">
            <w14:noFill/>
            <w14:prstDash w14:val="solid"/>
            <w14:miter w14:lim="400000"/>
          </w14:textOutline>
        </w:rPr>
        <w:t>utilisation fondés sur les systèmes de fusion de données multi-capteurs de bord de route sont également présentés dans l</w:t>
      </w:r>
      <w:r w:rsidR="00BF7CA7" w:rsidRPr="00D44CF8">
        <w:rPr>
          <w:color w:val="000000"/>
          <w:u w:color="000000"/>
          <w:bdr w:val="nil"/>
          <w:lang w:eastAsia="ko-KR"/>
          <w14:textOutline w14:w="12700" w14:cap="flat" w14:cmpd="sng" w14:algn="ctr">
            <w14:noFill/>
            <w14:prstDash w14:val="solid"/>
            <w14:miter w14:lim="400000"/>
          </w14:textOutline>
        </w:rPr>
        <w:t>'</w:t>
      </w:r>
      <w:r w:rsidRPr="00D44CF8">
        <w:rPr>
          <w:color w:val="000000"/>
          <w:u w:color="000000"/>
          <w:bdr w:val="nil"/>
          <w:lang w:eastAsia="ko-KR"/>
          <w14:textOutline w14:w="12700" w14:cap="flat" w14:cmpd="sng" w14:algn="ctr">
            <w14:noFill/>
            <w14:prstDash w14:val="solid"/>
            <w14:miter w14:lim="400000"/>
          </w14:textOutline>
        </w:rPr>
        <w:t>appendice</w:t>
      </w:r>
      <w:r w:rsidR="009519B7">
        <w:rPr>
          <w:color w:val="000000"/>
          <w:u w:color="000000"/>
          <w:bdr w:val="nil"/>
          <w:lang w:eastAsia="ko-KR"/>
          <w14:textOutline w14:w="12700" w14:cap="flat" w14:cmpd="sng" w14:algn="ctr">
            <w14:noFill/>
            <w14:prstDash w14:val="solid"/>
            <w14:miter w14:lim="400000"/>
          </w14:textOutline>
        </w:rPr>
        <w:t>.</w:t>
      </w:r>
    </w:p>
    <w:p w14:paraId="0CBA2DD3" w14:textId="60D0C2A6" w:rsidR="00036B70" w:rsidRPr="009519B7" w:rsidRDefault="00036B70" w:rsidP="00BF7CA7">
      <w:pPr>
        <w:pStyle w:val="Heading1"/>
        <w:rPr>
          <w:rFonts w:cs="Calibri"/>
          <w:sz w:val="26"/>
          <w:szCs w:val="26"/>
        </w:rPr>
      </w:pPr>
      <w:r w:rsidRPr="009519B7">
        <w:rPr>
          <w:rFonts w:cs="Calibri"/>
          <w:sz w:val="26"/>
          <w:szCs w:val="26"/>
        </w:rPr>
        <w:lastRenderedPageBreak/>
        <w:t>5</w:t>
      </w:r>
      <w:r w:rsidRPr="009519B7">
        <w:rPr>
          <w:rFonts w:cs="Calibri"/>
          <w:sz w:val="26"/>
          <w:szCs w:val="26"/>
        </w:rPr>
        <w:tab/>
        <w:t xml:space="preserve">Projet de nouvelle Recommandation UIT-T </w:t>
      </w:r>
      <w:r w:rsidRPr="009519B7">
        <w:rPr>
          <w:sz w:val="26"/>
          <w:szCs w:val="26"/>
        </w:rPr>
        <w:t>Y.4488 (ex Y.IoT-SPWE)</w:t>
      </w:r>
      <w:r w:rsidR="0000320B" w:rsidRPr="009519B7">
        <w:rPr>
          <w:sz w:val="26"/>
          <w:szCs w:val="26"/>
        </w:rPr>
        <w:t>:</w:t>
      </w:r>
      <w:r w:rsidRPr="009519B7">
        <w:rPr>
          <w:sz w:val="26"/>
          <w:szCs w:val="26"/>
        </w:rPr>
        <w:t xml:space="preserve"> </w:t>
      </w:r>
      <w:r w:rsidRPr="009519B7">
        <w:rPr>
          <w:rFonts w:cs="Calibri"/>
          <w:sz w:val="26"/>
          <w:szCs w:val="26"/>
        </w:rPr>
        <w:t>[</w:t>
      </w:r>
      <w:hyperlink r:id="rId17" w:history="1">
        <w:r w:rsidRPr="009519B7">
          <w:rPr>
            <w:rStyle w:val="Hyperlink"/>
            <w:rFonts w:cs="Calibri"/>
            <w:sz w:val="26"/>
            <w:szCs w:val="26"/>
          </w:rPr>
          <w:t>R9</w:t>
        </w:r>
      </w:hyperlink>
      <w:r w:rsidRPr="009519B7">
        <w:rPr>
          <w:rFonts w:cs="Calibri"/>
          <w:sz w:val="26"/>
          <w:szCs w:val="26"/>
        </w:rPr>
        <w:t>]</w:t>
      </w:r>
    </w:p>
    <w:p w14:paraId="5D7CA642" w14:textId="59EB838A" w:rsidR="00036B70" w:rsidRPr="00D44CF8" w:rsidRDefault="00036B70" w:rsidP="00BF7CA7">
      <w:pPr>
        <w:pStyle w:val="headingb"/>
      </w:pPr>
      <w:r w:rsidRPr="00D44CF8">
        <w:t>Cadre applicable aux services de l</w:t>
      </w:r>
      <w:r w:rsidR="00BF7CA7" w:rsidRPr="00D44CF8">
        <w:t>'</w:t>
      </w:r>
      <w:r w:rsidRPr="00D44CF8">
        <w:t>Internet des objets pour la protection de la sécurité des environnements de travail</w:t>
      </w:r>
    </w:p>
    <w:p w14:paraId="12030B12" w14:textId="77777777" w:rsidR="00036B70" w:rsidRPr="00D44CF8" w:rsidRDefault="00036B70" w:rsidP="00BF7CA7">
      <w:pPr>
        <w:pStyle w:val="headingb"/>
      </w:pPr>
      <w:r w:rsidRPr="00D44CF8">
        <w:t>Résumé</w:t>
      </w:r>
    </w:p>
    <w:p w14:paraId="19CC63E5" w14:textId="26FCA8C7" w:rsidR="00036B70" w:rsidRPr="00D44CF8" w:rsidRDefault="00036B70" w:rsidP="006930CD">
      <w:r w:rsidRPr="00D44CF8">
        <w:t>Cette Recommandation définit le cadre applicable aux services de l</w:t>
      </w:r>
      <w:r w:rsidR="00BF7CA7" w:rsidRPr="00D44CF8">
        <w:t>'</w:t>
      </w:r>
      <w:r w:rsidRPr="00D44CF8">
        <w:t>Internet des objets (IoT) pour la protection de</w:t>
      </w:r>
      <w:r w:rsidR="0000320B" w:rsidRPr="00D44CF8">
        <w:t xml:space="preserve"> </w:t>
      </w:r>
      <w:r w:rsidRPr="00D44CF8">
        <w:t>la sécurité des environnements de travail.</w:t>
      </w:r>
    </w:p>
    <w:p w14:paraId="5120FE10" w14:textId="43C8496C" w:rsidR="00036B70" w:rsidRPr="00D44CF8" w:rsidRDefault="00036B70" w:rsidP="006930CD">
      <w:r w:rsidRPr="00D44CF8">
        <w:t>Lorsque des services IoT sont déployés, les environnements de travail utilisent les technologies IoT pour</w:t>
      </w:r>
      <w:r w:rsidR="0000320B" w:rsidRPr="00D44CF8">
        <w:t xml:space="preserve"> </w:t>
      </w:r>
      <w:r w:rsidRPr="00D44CF8">
        <w:t>recueillir</w:t>
      </w:r>
      <w:r w:rsidR="0000320B" w:rsidRPr="00D44CF8">
        <w:t xml:space="preserve"> </w:t>
      </w:r>
      <w:r w:rsidRPr="00D44CF8">
        <w:t>des informations à distance, identifier les comportements à risque, coordonner les équipements, etc. Ces technologies pourraient fournir un appui aux services intelligents, tels que la surveillance des informations relatives à la protection de la sécurité, notamment des employés et de l</w:t>
      </w:r>
      <w:r w:rsidR="00BF7CA7" w:rsidRPr="00D44CF8">
        <w:t>'</w:t>
      </w:r>
      <w:r w:rsidRPr="00D44CF8">
        <w:t>environnement, la maintenance prédictive, etc., de manière à limiter le nombre d</w:t>
      </w:r>
      <w:r w:rsidR="00BF7CA7" w:rsidRPr="00D44CF8">
        <w:t>'</w:t>
      </w:r>
      <w:r w:rsidRPr="00D44CF8">
        <w:t>incidents et de victimes</w:t>
      </w:r>
      <w:r w:rsidR="0000320B" w:rsidRPr="00D44CF8">
        <w:t xml:space="preserve"> </w:t>
      </w:r>
      <w:r w:rsidRPr="00D44CF8">
        <w:t>et à améliorer le niveau de sécurité des environnements de travail.</w:t>
      </w:r>
    </w:p>
    <w:p w14:paraId="79BF9CA7" w14:textId="548B6313" w:rsidR="00036B70" w:rsidRPr="009519B7" w:rsidRDefault="00036B70" w:rsidP="00BF7CA7">
      <w:pPr>
        <w:pStyle w:val="Heading1"/>
        <w:rPr>
          <w:rFonts w:cs="Calibri"/>
          <w:sz w:val="26"/>
          <w:szCs w:val="26"/>
        </w:rPr>
      </w:pPr>
      <w:r w:rsidRPr="009519B7">
        <w:rPr>
          <w:rFonts w:cs="Calibri"/>
          <w:sz w:val="26"/>
          <w:szCs w:val="26"/>
        </w:rPr>
        <w:t>6</w:t>
      </w:r>
      <w:r w:rsidRPr="009519B7">
        <w:rPr>
          <w:rFonts w:cs="Calibri"/>
          <w:sz w:val="26"/>
          <w:szCs w:val="26"/>
        </w:rPr>
        <w:tab/>
        <w:t xml:space="preserve">Projet de nouvelle Recommandation UIT-T </w:t>
      </w:r>
      <w:r w:rsidRPr="009519B7">
        <w:rPr>
          <w:sz w:val="26"/>
          <w:szCs w:val="26"/>
        </w:rPr>
        <w:t>Y.4604 (ex Y.IoT-MCSI)</w:t>
      </w:r>
      <w:r w:rsidR="0000320B" w:rsidRPr="009519B7">
        <w:rPr>
          <w:sz w:val="26"/>
          <w:szCs w:val="26"/>
        </w:rPr>
        <w:t>:</w:t>
      </w:r>
      <w:r w:rsidRPr="009519B7">
        <w:rPr>
          <w:sz w:val="26"/>
          <w:szCs w:val="26"/>
        </w:rPr>
        <w:t xml:space="preserve"> </w:t>
      </w:r>
      <w:r w:rsidRPr="009519B7">
        <w:rPr>
          <w:rFonts w:cs="Calibri"/>
          <w:sz w:val="26"/>
          <w:szCs w:val="26"/>
        </w:rPr>
        <w:t>[</w:t>
      </w:r>
      <w:hyperlink r:id="rId18" w:history="1">
        <w:r w:rsidRPr="009519B7">
          <w:rPr>
            <w:rStyle w:val="Hyperlink"/>
            <w:rFonts w:cs="Calibri"/>
            <w:sz w:val="26"/>
            <w:szCs w:val="26"/>
          </w:rPr>
          <w:t>R10</w:t>
        </w:r>
      </w:hyperlink>
      <w:r w:rsidRPr="009519B7">
        <w:rPr>
          <w:rFonts w:cs="Calibri"/>
          <w:sz w:val="26"/>
          <w:szCs w:val="26"/>
        </w:rPr>
        <w:t>]</w:t>
      </w:r>
    </w:p>
    <w:p w14:paraId="46E9A1A3" w14:textId="0264AA32" w:rsidR="00036B70" w:rsidRPr="00D44CF8" w:rsidRDefault="00036B70" w:rsidP="00BF7CA7">
      <w:pPr>
        <w:pStyle w:val="headingb"/>
      </w:pPr>
      <w:r w:rsidRPr="00D44CF8">
        <w:t>Métadonnées pour les informations captées par les caméras des dispositifs mobiles autonomes de l</w:t>
      </w:r>
      <w:r w:rsidR="00BF7CA7" w:rsidRPr="00D44CF8">
        <w:t>'</w:t>
      </w:r>
      <w:r w:rsidRPr="00D44CF8">
        <w:t>Internet des objets</w:t>
      </w:r>
    </w:p>
    <w:p w14:paraId="0BEAC482" w14:textId="77777777" w:rsidR="00036B70" w:rsidRPr="00D44CF8" w:rsidRDefault="00036B70" w:rsidP="00BF7CA7">
      <w:pPr>
        <w:pStyle w:val="headingb"/>
      </w:pPr>
      <w:r w:rsidRPr="00D44CF8">
        <w:t>Résumé</w:t>
      </w:r>
    </w:p>
    <w:p w14:paraId="48815DFB" w14:textId="5523CB4D" w:rsidR="00036B70" w:rsidRPr="00D44CF8" w:rsidRDefault="00036B70" w:rsidP="006930CD">
      <w:pPr>
        <w:rPr>
          <w:rFonts w:eastAsia="Malgun Gothic"/>
        </w:rPr>
      </w:pPr>
      <w:r w:rsidRPr="00D44CF8">
        <w:t>Les capteurs des caméras fondées sur l</w:t>
      </w:r>
      <w:r w:rsidR="00BF7CA7" w:rsidRPr="00D44CF8">
        <w:t>'</w:t>
      </w:r>
      <w:r w:rsidRPr="00D44CF8">
        <w:t>Internet des objets (IoT) de</w:t>
      </w:r>
      <w:r w:rsidR="0000320B" w:rsidRPr="00D44CF8">
        <w:t xml:space="preserve"> </w:t>
      </w:r>
      <w:r w:rsidRPr="00D44CF8">
        <w:t>coût modique et à faible résolution ne sont pas en mesure de prendre en charge des informations de détection complètes en raison des capacités limitées du dispositif IoT. Les appareils photo numériques traditionnels à haute performance fournissent des métadonnées complexes, telles que les paramètres de l</w:t>
      </w:r>
      <w:r w:rsidR="00BF7CA7" w:rsidRPr="00D44CF8">
        <w:t>'</w:t>
      </w:r>
      <w:r w:rsidRPr="00D44CF8">
        <w:t>appareil photo (stimulus, sensibilité, vitesse d</w:t>
      </w:r>
      <w:r w:rsidR="00BF7CA7" w:rsidRPr="00D44CF8">
        <w:t>'</w:t>
      </w:r>
      <w:r w:rsidRPr="00D44CF8">
        <w:t>obturation, etc.), l</w:t>
      </w:r>
      <w:r w:rsidR="00BF7CA7" w:rsidRPr="00D44CF8">
        <w:t>'</w:t>
      </w:r>
      <w:r w:rsidRPr="00D44CF8">
        <w:t>heure, les informations de localisation, le modèle de l</w:t>
      </w:r>
      <w:r w:rsidR="00BF7CA7" w:rsidRPr="00D44CF8">
        <w:t>'</w:t>
      </w:r>
      <w:r w:rsidRPr="00D44CF8">
        <w:t>appareil photo, etc.</w:t>
      </w:r>
    </w:p>
    <w:p w14:paraId="25FF4D36" w14:textId="12688C0B" w:rsidR="00036B70" w:rsidRPr="00D44CF8" w:rsidRDefault="00036B70" w:rsidP="006930CD">
      <w:r w:rsidRPr="00D44CF8">
        <w:t>Il n</w:t>
      </w:r>
      <w:r w:rsidR="00BF7CA7" w:rsidRPr="00D44CF8">
        <w:t>'</w:t>
      </w:r>
      <w:r w:rsidRPr="00D44CF8">
        <w:t>existe aucune orientation concernant des métadonnées de détection de caméras IoT de différents fournisseurs qui soient le fruit d</w:t>
      </w:r>
      <w:r w:rsidR="00BF7CA7" w:rsidRPr="00D44CF8">
        <w:t>'</w:t>
      </w:r>
      <w:r w:rsidRPr="00D44CF8">
        <w:t>un compromis et respectent une certaine conformité, ce qui entraîne des problèmes liés à l</w:t>
      </w:r>
      <w:r w:rsidR="00BF7CA7" w:rsidRPr="00D44CF8">
        <w:t>'</w:t>
      </w:r>
      <w:r w:rsidRPr="00D44CF8">
        <w:t>interchangeabilité des métadonnées. Il est donc essentiel de fournir des métadonnées de détection de caméra élémentaires et minimales pour permettre l</w:t>
      </w:r>
      <w:r w:rsidR="00BF7CA7" w:rsidRPr="00D44CF8">
        <w:t>'</w:t>
      </w:r>
      <w:r w:rsidRPr="00D44CF8">
        <w:t>interopérabilité entre les applications et les services IoT.</w:t>
      </w:r>
    </w:p>
    <w:p w14:paraId="4E41E117" w14:textId="5B44F999" w:rsidR="00036B70" w:rsidRDefault="00036B70" w:rsidP="006930CD">
      <w:r w:rsidRPr="00D44CF8">
        <w:t xml:space="preserve">La Recommandation UIT-T Y.4604 définit les </w:t>
      </w:r>
      <w:r w:rsidR="006930CD" w:rsidRPr="00D44CF8">
        <w:t>m</w:t>
      </w:r>
      <w:r w:rsidR="006930CD" w:rsidRPr="00D44CF8">
        <w:rPr>
          <w:rFonts w:eastAsia="Malgun Gothic"/>
        </w:rPr>
        <w:t>étadonnées</w:t>
      </w:r>
      <w:r w:rsidRPr="00D44CF8">
        <w:rPr>
          <w:rFonts w:eastAsia="Malgun Gothic"/>
        </w:rPr>
        <w:t xml:space="preserve"> pour les informations captées par les caméras </w:t>
      </w:r>
      <w:r w:rsidRPr="00D44CF8">
        <w:t>et décrit c</w:t>
      </w:r>
      <w:r w:rsidRPr="00D44CF8">
        <w:rPr>
          <w:rFonts w:eastAsia="Malgun Gothic"/>
        </w:rPr>
        <w:t>es caractéristiques et les particularités de ces métadonnées, dans le contexte des dispositifs mobiles autonomes de l</w:t>
      </w:r>
      <w:r w:rsidR="00BF7CA7" w:rsidRPr="00D44CF8">
        <w:rPr>
          <w:rFonts w:eastAsia="Malgun Gothic"/>
        </w:rPr>
        <w:t>'</w:t>
      </w:r>
      <w:r w:rsidRPr="00D44CF8">
        <w:rPr>
          <w:rFonts w:eastAsia="Malgun Gothic"/>
        </w:rPr>
        <w:t>Internet des objets</w:t>
      </w:r>
      <w:r w:rsidRPr="00D44CF8">
        <w:t>.</w:t>
      </w:r>
    </w:p>
    <w:p w14:paraId="0028415F" w14:textId="77777777" w:rsidR="009519B7" w:rsidRPr="00D44CF8" w:rsidRDefault="009519B7" w:rsidP="006930CD"/>
    <w:p w14:paraId="7ACE0E89" w14:textId="746DD2EC" w:rsidR="00036B70" w:rsidRPr="009519B7" w:rsidRDefault="00036B70" w:rsidP="000C684E">
      <w:pPr>
        <w:pStyle w:val="AnnexTitle"/>
        <w:spacing w:after="480"/>
        <w:rPr>
          <w:sz w:val="28"/>
          <w:szCs w:val="28"/>
          <w:highlight w:val="yellow"/>
        </w:rPr>
      </w:pPr>
      <w:r w:rsidRPr="00D44CF8">
        <w:rPr>
          <w:highlight w:val="yellow"/>
        </w:rPr>
        <w:br w:type="page"/>
      </w:r>
      <w:r w:rsidRPr="009519B7">
        <w:rPr>
          <w:sz w:val="28"/>
          <w:szCs w:val="28"/>
        </w:rPr>
        <w:lastRenderedPageBreak/>
        <w:t>Annexe 2</w:t>
      </w:r>
      <w:r w:rsidR="006930CD" w:rsidRPr="009519B7">
        <w:rPr>
          <w:sz w:val="28"/>
          <w:szCs w:val="28"/>
        </w:rPr>
        <w:br/>
      </w:r>
      <w:r w:rsidR="006930CD" w:rsidRPr="009519B7">
        <w:rPr>
          <w:sz w:val="28"/>
          <w:szCs w:val="28"/>
        </w:rPr>
        <w:br/>
      </w:r>
      <w:r w:rsidRPr="009519B7">
        <w:rPr>
          <w:sz w:val="28"/>
          <w:szCs w:val="28"/>
        </w:rPr>
        <w:t>Objet</w:t>
      </w:r>
      <w:r w:rsidR="0000320B" w:rsidRPr="009519B7">
        <w:rPr>
          <w:sz w:val="28"/>
          <w:szCs w:val="28"/>
        </w:rPr>
        <w:t>:</w:t>
      </w:r>
      <w:r w:rsidRPr="009519B7">
        <w:rPr>
          <w:sz w:val="28"/>
          <w:szCs w:val="28"/>
        </w:rPr>
        <w:t xml:space="preserve"> Réponse des États Membres à la Circulaire TSB 96</w:t>
      </w:r>
      <w:r w:rsidR="0000320B" w:rsidRPr="009519B7">
        <w:rPr>
          <w:sz w:val="28"/>
          <w:szCs w:val="28"/>
        </w:rPr>
        <w:t>:</w:t>
      </w:r>
      <w:r w:rsidRPr="009519B7">
        <w:rPr>
          <w:sz w:val="28"/>
          <w:szCs w:val="28"/>
        </w:rPr>
        <w:br/>
        <w:t xml:space="preserve">Consultation au sujet du texte déterminé des projets de nouvelles Recommandations UIT-T Y.4221 (ex Y.ElecMon-Reqts), </w:t>
      </w:r>
      <w:r w:rsidR="009519B7">
        <w:rPr>
          <w:sz w:val="28"/>
          <w:szCs w:val="28"/>
        </w:rPr>
        <w:br/>
      </w:r>
      <w:r w:rsidRPr="009519B7">
        <w:rPr>
          <w:sz w:val="28"/>
          <w:szCs w:val="28"/>
        </w:rPr>
        <w:t xml:space="preserve">Y.4222 (ex Y.smart-evacuation), Y.4223 (ex Y.SCC-Reqts), </w:t>
      </w:r>
      <w:r w:rsidR="006930CD" w:rsidRPr="009519B7">
        <w:rPr>
          <w:sz w:val="28"/>
          <w:szCs w:val="28"/>
        </w:rPr>
        <w:br/>
      </w:r>
      <w:r w:rsidRPr="009519B7">
        <w:rPr>
          <w:sz w:val="28"/>
          <w:szCs w:val="28"/>
        </w:rPr>
        <w:t xml:space="preserve">Y.4487 (ex Y.RMDFS-arch), Y.4488 (ex Y.IoT-SPWE) </w:t>
      </w:r>
      <w:r w:rsidR="006930CD" w:rsidRPr="009519B7">
        <w:rPr>
          <w:sz w:val="28"/>
          <w:szCs w:val="28"/>
        </w:rPr>
        <w:br/>
      </w:r>
      <w:r w:rsidRPr="009519B7">
        <w:rPr>
          <w:sz w:val="28"/>
          <w:szCs w:val="28"/>
        </w:rPr>
        <w:t>et Y.4604 (ex Y.IoT-MCSI)</w:t>
      </w:r>
    </w:p>
    <w:tbl>
      <w:tblPr>
        <w:tblW w:w="9923" w:type="dxa"/>
        <w:tblInd w:w="-142" w:type="dxa"/>
        <w:tblLayout w:type="fixed"/>
        <w:tblLook w:val="04A0" w:firstRow="1" w:lastRow="0" w:firstColumn="1" w:lastColumn="0" w:noHBand="0" w:noVBand="1"/>
      </w:tblPr>
      <w:tblGrid>
        <w:gridCol w:w="1276"/>
        <w:gridCol w:w="4820"/>
        <w:gridCol w:w="1417"/>
        <w:gridCol w:w="2410"/>
      </w:tblGrid>
      <w:tr w:rsidR="00036B70" w:rsidRPr="00D44CF8" w14:paraId="3A968950" w14:textId="77777777" w:rsidTr="00CE37BA">
        <w:tc>
          <w:tcPr>
            <w:tcW w:w="1276" w:type="dxa"/>
            <w:shd w:val="clear" w:color="auto" w:fill="auto"/>
          </w:tcPr>
          <w:p w14:paraId="4E10A218" w14:textId="0E0088D3" w:rsidR="00036B70" w:rsidRPr="009519B7" w:rsidRDefault="000C3478" w:rsidP="00CE37BA">
            <w:pPr>
              <w:spacing w:before="40"/>
              <w:jc w:val="right"/>
              <w:rPr>
                <w:b/>
                <w:szCs w:val="24"/>
              </w:rPr>
            </w:pPr>
            <w:r w:rsidRPr="000C3478">
              <w:rPr>
                <w:b/>
                <w:caps/>
                <w:szCs w:val="24"/>
              </w:rPr>
              <w:t>à</w:t>
            </w:r>
            <w:r w:rsidR="009519B7" w:rsidRPr="009519B7">
              <w:rPr>
                <w:b/>
                <w:szCs w:val="24"/>
              </w:rPr>
              <w:t>:</w:t>
            </w:r>
          </w:p>
        </w:tc>
        <w:tc>
          <w:tcPr>
            <w:tcW w:w="4820" w:type="dxa"/>
            <w:tcBorders>
              <w:right w:val="single" w:sz="8" w:space="0" w:color="auto"/>
            </w:tcBorders>
            <w:shd w:val="clear" w:color="auto" w:fill="auto"/>
          </w:tcPr>
          <w:p w14:paraId="6F27442A" w14:textId="35E82D9D" w:rsidR="00036B70" w:rsidRPr="00D44CF8" w:rsidRDefault="00036B70" w:rsidP="00CE37BA">
            <w:pPr>
              <w:spacing w:before="40"/>
              <w:rPr>
                <w:szCs w:val="24"/>
              </w:rPr>
            </w:pPr>
            <w:r w:rsidRPr="00D44CF8">
              <w:t>Directeur du</w:t>
            </w:r>
            <w:r w:rsidR="009519B7">
              <w:t xml:space="preserve"> Bureau de la normalisation des </w:t>
            </w:r>
            <w:r w:rsidRPr="00D44CF8">
              <w:t>télécommunications</w:t>
            </w:r>
          </w:p>
          <w:p w14:paraId="506EEA1B" w14:textId="77777777" w:rsidR="00036B70" w:rsidRPr="00D44CF8" w:rsidRDefault="00036B70" w:rsidP="009519B7">
            <w:pPr>
              <w:spacing w:before="0"/>
              <w:rPr>
                <w:szCs w:val="24"/>
              </w:rPr>
            </w:pPr>
            <w:r w:rsidRPr="00D44CF8">
              <w:t>Union internationale des télécommunications</w:t>
            </w:r>
          </w:p>
          <w:p w14:paraId="4A17E88C" w14:textId="77777777" w:rsidR="00036B70" w:rsidRPr="00D44CF8" w:rsidRDefault="00036B70" w:rsidP="009519B7">
            <w:pPr>
              <w:spacing w:before="0"/>
              <w:rPr>
                <w:szCs w:val="24"/>
              </w:rPr>
            </w:pPr>
            <w:r w:rsidRPr="00D44CF8">
              <w:t>Place des Nations</w:t>
            </w:r>
          </w:p>
          <w:p w14:paraId="12411B6D" w14:textId="77777777" w:rsidR="00036B70" w:rsidRPr="00D44CF8" w:rsidRDefault="00036B70" w:rsidP="009519B7">
            <w:pPr>
              <w:spacing w:before="0"/>
              <w:rPr>
                <w:szCs w:val="24"/>
              </w:rPr>
            </w:pPr>
            <w:r w:rsidRPr="00D44CF8">
              <w:t>CH-1211 Genève 20, Suisse</w:t>
            </w:r>
          </w:p>
        </w:tc>
        <w:tc>
          <w:tcPr>
            <w:tcW w:w="1417" w:type="dxa"/>
            <w:tcBorders>
              <w:left w:val="single" w:sz="8" w:space="0" w:color="auto"/>
            </w:tcBorders>
            <w:shd w:val="clear" w:color="auto" w:fill="auto"/>
          </w:tcPr>
          <w:p w14:paraId="66C5F2E5" w14:textId="77777777" w:rsidR="00036B70" w:rsidRPr="00D44CF8" w:rsidRDefault="00036B70" w:rsidP="00CE37BA">
            <w:pPr>
              <w:spacing w:before="40"/>
              <w:jc w:val="right"/>
              <w:rPr>
                <w:szCs w:val="24"/>
              </w:rPr>
            </w:pPr>
            <w:r w:rsidRPr="00D44CF8">
              <w:rPr>
                <w:b/>
              </w:rPr>
              <w:t>De</w:t>
            </w:r>
            <w:r w:rsidRPr="00D44CF8">
              <w:rPr>
                <w:b/>
                <w:bCs/>
              </w:rPr>
              <w:t>:</w:t>
            </w:r>
          </w:p>
        </w:tc>
        <w:tc>
          <w:tcPr>
            <w:tcW w:w="2410" w:type="dxa"/>
            <w:shd w:val="clear" w:color="auto" w:fill="auto"/>
          </w:tcPr>
          <w:p w14:paraId="53043446" w14:textId="77777777" w:rsidR="00036B70" w:rsidRPr="00D44CF8" w:rsidRDefault="00036B70" w:rsidP="00CE37BA">
            <w:pPr>
              <w:spacing w:before="40"/>
              <w:rPr>
                <w:szCs w:val="24"/>
              </w:rPr>
            </w:pPr>
            <w:r w:rsidRPr="00D44CF8">
              <w:t>[Nom]</w:t>
            </w:r>
          </w:p>
          <w:p w14:paraId="63564FA6" w14:textId="77777777" w:rsidR="00036B70" w:rsidRPr="00D44CF8" w:rsidRDefault="00036B70" w:rsidP="00CE37BA">
            <w:pPr>
              <w:spacing w:before="40"/>
              <w:rPr>
                <w:szCs w:val="24"/>
              </w:rPr>
            </w:pPr>
            <w:r w:rsidRPr="00D44CF8">
              <w:t>[Rôle/titre officiel]</w:t>
            </w:r>
          </w:p>
          <w:p w14:paraId="013A7491" w14:textId="77777777" w:rsidR="00036B70" w:rsidRPr="00D44CF8" w:rsidRDefault="00036B70" w:rsidP="00CE37BA">
            <w:pPr>
              <w:spacing w:before="40"/>
              <w:rPr>
                <w:szCs w:val="24"/>
              </w:rPr>
            </w:pPr>
            <w:r w:rsidRPr="00D44CF8">
              <w:t>[Adresse]</w:t>
            </w:r>
          </w:p>
        </w:tc>
      </w:tr>
      <w:tr w:rsidR="00036B70" w:rsidRPr="00D44CF8" w14:paraId="35D259CF" w14:textId="77777777" w:rsidTr="00CE37BA">
        <w:tc>
          <w:tcPr>
            <w:tcW w:w="1276" w:type="dxa"/>
            <w:shd w:val="clear" w:color="auto" w:fill="auto"/>
          </w:tcPr>
          <w:p w14:paraId="3C1E831A" w14:textId="77777777" w:rsidR="00036B70" w:rsidRPr="00D44CF8" w:rsidRDefault="00036B70" w:rsidP="00CE37BA">
            <w:pPr>
              <w:spacing w:before="40"/>
              <w:jc w:val="right"/>
              <w:rPr>
                <w:szCs w:val="24"/>
              </w:rPr>
            </w:pPr>
            <w:r w:rsidRPr="00D44CF8">
              <w:rPr>
                <w:b/>
                <w:bCs/>
              </w:rPr>
              <w:t>Télécopie:</w:t>
            </w:r>
          </w:p>
          <w:p w14:paraId="799854DC" w14:textId="77777777" w:rsidR="00036B70" w:rsidRPr="00D44CF8" w:rsidRDefault="00036B70" w:rsidP="00CE37BA">
            <w:pPr>
              <w:spacing w:before="40"/>
              <w:jc w:val="right"/>
              <w:rPr>
                <w:szCs w:val="24"/>
              </w:rPr>
            </w:pPr>
            <w:r w:rsidRPr="00D44CF8">
              <w:rPr>
                <w:b/>
                <w:bCs/>
              </w:rPr>
              <w:t>Courriel:</w:t>
            </w:r>
          </w:p>
        </w:tc>
        <w:tc>
          <w:tcPr>
            <w:tcW w:w="4820" w:type="dxa"/>
            <w:tcBorders>
              <w:right w:val="single" w:sz="8" w:space="0" w:color="auto"/>
            </w:tcBorders>
            <w:shd w:val="clear" w:color="auto" w:fill="auto"/>
          </w:tcPr>
          <w:p w14:paraId="63FC62A6" w14:textId="3E075C09" w:rsidR="00036B70" w:rsidRPr="00D44CF8" w:rsidRDefault="000C3478" w:rsidP="00CE37BA">
            <w:pPr>
              <w:spacing w:before="40"/>
              <w:rPr>
                <w:szCs w:val="24"/>
              </w:rPr>
            </w:pPr>
            <w:r>
              <w:t xml:space="preserve">+41 22 730 </w:t>
            </w:r>
            <w:r w:rsidR="00036B70" w:rsidRPr="00D44CF8">
              <w:t>5853</w:t>
            </w:r>
          </w:p>
          <w:p w14:paraId="64615557" w14:textId="0E8EEF0C" w:rsidR="00036B70" w:rsidRPr="00D44CF8" w:rsidRDefault="004A62D0" w:rsidP="00CE37BA">
            <w:pPr>
              <w:spacing w:before="40"/>
            </w:pPr>
            <w:hyperlink r:id="rId19" w:history="1">
              <w:r w:rsidR="00E756D0" w:rsidRPr="00D44CF8">
                <w:rPr>
                  <w:rStyle w:val="Hyperlink"/>
                </w:rPr>
                <w:t>tsbdir@itu.int</w:t>
              </w:r>
            </w:hyperlink>
          </w:p>
        </w:tc>
        <w:tc>
          <w:tcPr>
            <w:tcW w:w="1417" w:type="dxa"/>
            <w:tcBorders>
              <w:left w:val="single" w:sz="8" w:space="0" w:color="auto"/>
            </w:tcBorders>
            <w:shd w:val="clear" w:color="auto" w:fill="auto"/>
          </w:tcPr>
          <w:p w14:paraId="0513DF0C" w14:textId="77777777" w:rsidR="00036B70" w:rsidRPr="00D44CF8" w:rsidRDefault="00036B70" w:rsidP="00CE37BA">
            <w:pPr>
              <w:spacing w:before="40"/>
              <w:jc w:val="right"/>
              <w:rPr>
                <w:b/>
                <w:bCs/>
                <w:szCs w:val="24"/>
              </w:rPr>
            </w:pPr>
            <w:r w:rsidRPr="00D44CF8">
              <w:rPr>
                <w:b/>
                <w:bCs/>
              </w:rPr>
              <w:t>Télécopie:</w:t>
            </w:r>
          </w:p>
          <w:p w14:paraId="66608D2C" w14:textId="77777777" w:rsidR="00036B70" w:rsidRPr="00D44CF8" w:rsidRDefault="00036B70" w:rsidP="00CE37BA">
            <w:pPr>
              <w:spacing w:before="40"/>
              <w:jc w:val="right"/>
              <w:rPr>
                <w:szCs w:val="24"/>
              </w:rPr>
            </w:pPr>
            <w:r w:rsidRPr="00D44CF8">
              <w:rPr>
                <w:b/>
                <w:bCs/>
              </w:rPr>
              <w:t>Courriel:</w:t>
            </w:r>
          </w:p>
        </w:tc>
        <w:tc>
          <w:tcPr>
            <w:tcW w:w="2410" w:type="dxa"/>
            <w:shd w:val="clear" w:color="auto" w:fill="auto"/>
          </w:tcPr>
          <w:p w14:paraId="2114CB92" w14:textId="77777777" w:rsidR="00036B70" w:rsidRPr="00D44CF8" w:rsidRDefault="00036B70" w:rsidP="00CE37BA">
            <w:pPr>
              <w:spacing w:before="40"/>
              <w:rPr>
                <w:szCs w:val="24"/>
              </w:rPr>
            </w:pPr>
          </w:p>
        </w:tc>
      </w:tr>
      <w:tr w:rsidR="00036B70" w:rsidRPr="00D44CF8" w14:paraId="2FAE2A5A" w14:textId="77777777" w:rsidTr="00CE37BA">
        <w:tc>
          <w:tcPr>
            <w:tcW w:w="1276" w:type="dxa"/>
            <w:shd w:val="clear" w:color="auto" w:fill="auto"/>
          </w:tcPr>
          <w:p w14:paraId="61CC35C3" w14:textId="77777777" w:rsidR="00036B70" w:rsidRPr="00D44CF8" w:rsidRDefault="00036B70" w:rsidP="00CE37BA">
            <w:pPr>
              <w:spacing w:before="40"/>
              <w:jc w:val="right"/>
              <w:rPr>
                <w:szCs w:val="24"/>
              </w:rPr>
            </w:pPr>
          </w:p>
        </w:tc>
        <w:tc>
          <w:tcPr>
            <w:tcW w:w="4820" w:type="dxa"/>
            <w:tcBorders>
              <w:right w:val="single" w:sz="8" w:space="0" w:color="auto"/>
            </w:tcBorders>
            <w:shd w:val="clear" w:color="auto" w:fill="auto"/>
          </w:tcPr>
          <w:p w14:paraId="72375254" w14:textId="77777777" w:rsidR="00036B70" w:rsidRPr="00D44CF8" w:rsidRDefault="00036B70" w:rsidP="00CE37BA">
            <w:pPr>
              <w:spacing w:before="40"/>
              <w:rPr>
                <w:szCs w:val="24"/>
              </w:rPr>
            </w:pPr>
          </w:p>
        </w:tc>
        <w:tc>
          <w:tcPr>
            <w:tcW w:w="1417" w:type="dxa"/>
            <w:tcBorders>
              <w:left w:val="single" w:sz="8" w:space="0" w:color="auto"/>
            </w:tcBorders>
            <w:shd w:val="clear" w:color="auto" w:fill="auto"/>
          </w:tcPr>
          <w:p w14:paraId="4F5E4E36" w14:textId="77777777" w:rsidR="00036B70" w:rsidRPr="00D44CF8" w:rsidRDefault="00036B70" w:rsidP="00CE37BA">
            <w:pPr>
              <w:spacing w:before="40"/>
              <w:jc w:val="right"/>
              <w:rPr>
                <w:szCs w:val="24"/>
              </w:rPr>
            </w:pPr>
            <w:r w:rsidRPr="00D44CF8">
              <w:rPr>
                <w:b/>
                <w:bCs/>
              </w:rPr>
              <w:t>Date:</w:t>
            </w:r>
          </w:p>
        </w:tc>
        <w:tc>
          <w:tcPr>
            <w:tcW w:w="2410" w:type="dxa"/>
            <w:shd w:val="clear" w:color="auto" w:fill="auto"/>
          </w:tcPr>
          <w:p w14:paraId="6FEB4475" w14:textId="77777777" w:rsidR="00036B70" w:rsidRPr="00D44CF8" w:rsidRDefault="00036B70" w:rsidP="00CE37BA">
            <w:pPr>
              <w:spacing w:before="40"/>
              <w:rPr>
                <w:szCs w:val="24"/>
              </w:rPr>
            </w:pPr>
            <w:r w:rsidRPr="00D44CF8">
              <w:t>[Lieu,] [Date]</w:t>
            </w:r>
          </w:p>
        </w:tc>
      </w:tr>
    </w:tbl>
    <w:p w14:paraId="479B7D43" w14:textId="77777777" w:rsidR="00036B70" w:rsidRPr="00D44CF8" w:rsidRDefault="00036B70" w:rsidP="000C684E">
      <w:pPr>
        <w:spacing w:before="360"/>
      </w:pPr>
      <w:r w:rsidRPr="00D44CF8">
        <w:t>Madame, Monsieur,</w:t>
      </w:r>
    </w:p>
    <w:p w14:paraId="33214084" w14:textId="00640C9C" w:rsidR="00036B70" w:rsidRPr="00D44CF8" w:rsidRDefault="00036B70" w:rsidP="000C684E">
      <w:pPr>
        <w:spacing w:after="240"/>
      </w:pPr>
      <w:r w:rsidRPr="00D44CF8">
        <w:t>Dans le cadre de la consultation des États Membres au sujet des projets de textes déterminés dont il est question dans la Circulaire TSB 96, je vous indique par la présente l</w:t>
      </w:r>
      <w:r w:rsidR="00BF7CA7" w:rsidRPr="00D44CF8">
        <w:t>'</w:t>
      </w:r>
      <w:r w:rsidRPr="00D44CF8">
        <w:t>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314"/>
      </w:tblGrid>
      <w:tr w:rsidR="00036B70" w:rsidRPr="00D44CF8" w14:paraId="71A8BB3A" w14:textId="77777777" w:rsidTr="00E756D0">
        <w:trPr>
          <w:tblHeader/>
        </w:trPr>
        <w:tc>
          <w:tcPr>
            <w:tcW w:w="2405" w:type="dxa"/>
            <w:shd w:val="clear" w:color="auto" w:fill="auto"/>
            <w:vAlign w:val="center"/>
          </w:tcPr>
          <w:p w14:paraId="1DB4E53E" w14:textId="77777777" w:rsidR="00036B70" w:rsidRPr="00D44CF8" w:rsidRDefault="00036B70" w:rsidP="000C3478">
            <w:pPr>
              <w:pStyle w:val="TableHead"/>
            </w:pPr>
          </w:p>
        </w:tc>
        <w:tc>
          <w:tcPr>
            <w:tcW w:w="7314" w:type="dxa"/>
            <w:shd w:val="clear" w:color="auto" w:fill="auto"/>
            <w:vAlign w:val="center"/>
          </w:tcPr>
          <w:p w14:paraId="3FCB3478" w14:textId="6FFCC595" w:rsidR="00036B70" w:rsidRPr="00D44CF8" w:rsidRDefault="00036B70" w:rsidP="00E756D0">
            <w:pPr>
              <w:pStyle w:val="TableHead"/>
            </w:pPr>
            <w:r w:rsidRPr="00D44CF8">
              <w:t>Cochez l</w:t>
            </w:r>
            <w:r w:rsidR="00BF7CA7" w:rsidRPr="00D44CF8">
              <w:t>'</w:t>
            </w:r>
            <w:r w:rsidRPr="00D44CF8">
              <w:t>une des deux cases pour chaque texte</w:t>
            </w:r>
          </w:p>
        </w:tc>
      </w:tr>
      <w:tr w:rsidR="00036B70" w:rsidRPr="00D44CF8" w14:paraId="75A754AF" w14:textId="77777777" w:rsidTr="00E756D0">
        <w:trPr>
          <w:trHeight w:val="748"/>
        </w:trPr>
        <w:tc>
          <w:tcPr>
            <w:tcW w:w="2405" w:type="dxa"/>
            <w:vMerge w:val="restart"/>
            <w:shd w:val="clear" w:color="auto" w:fill="auto"/>
            <w:vAlign w:val="center"/>
          </w:tcPr>
          <w:p w14:paraId="7123A5E4" w14:textId="76BF0723" w:rsidR="00036B70" w:rsidRPr="00D44CF8" w:rsidRDefault="00036B70" w:rsidP="000C3478">
            <w:pPr>
              <w:pStyle w:val="TableText"/>
              <w:jc w:val="center"/>
              <w:rPr>
                <w:b/>
              </w:rPr>
            </w:pPr>
            <w:r w:rsidRPr="00D44CF8">
              <w:rPr>
                <w:b/>
              </w:rPr>
              <w:t>Projet de nouvelle Recommandation UIT</w:t>
            </w:r>
            <w:r w:rsidR="00E756D0" w:rsidRPr="00D44CF8">
              <w:rPr>
                <w:b/>
              </w:rPr>
              <w:noBreakHyphen/>
            </w:r>
            <w:r w:rsidRPr="00D44CF8">
              <w:rPr>
                <w:b/>
              </w:rPr>
              <w:t>T</w:t>
            </w:r>
            <w:r w:rsidR="00E756D0" w:rsidRPr="00D44CF8">
              <w:rPr>
                <w:b/>
              </w:rPr>
              <w:t> </w:t>
            </w:r>
            <w:r w:rsidRPr="00D44CF8">
              <w:rPr>
                <w:b/>
              </w:rPr>
              <w:t>Y.4221 (ex</w:t>
            </w:r>
            <w:r w:rsidR="00E756D0" w:rsidRPr="00D44CF8">
              <w:rPr>
                <w:b/>
              </w:rPr>
              <w:t> </w:t>
            </w:r>
            <w:r w:rsidRPr="00D44CF8">
              <w:rPr>
                <w:b/>
              </w:rPr>
              <w:t>Y.ElecMon</w:t>
            </w:r>
            <w:r w:rsidR="00E756D0" w:rsidRPr="00D44CF8">
              <w:rPr>
                <w:b/>
              </w:rPr>
              <w:noBreakHyphen/>
            </w:r>
            <w:r w:rsidRPr="00D44CF8">
              <w:rPr>
                <w:b/>
              </w:rPr>
              <w:t>Reqts)</w:t>
            </w:r>
          </w:p>
        </w:tc>
        <w:tc>
          <w:tcPr>
            <w:tcW w:w="7314" w:type="dxa"/>
            <w:shd w:val="clear" w:color="auto" w:fill="auto"/>
            <w:vAlign w:val="center"/>
          </w:tcPr>
          <w:p w14:paraId="7FA0058C" w14:textId="2228CAA5" w:rsidR="00036B70" w:rsidRPr="00D44CF8" w:rsidRDefault="00036B70" w:rsidP="00E756D0">
            <w:pPr>
              <w:pStyle w:val="TableText"/>
              <w:tabs>
                <w:tab w:val="clear" w:pos="284"/>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Autorise</w:t>
            </w:r>
            <w:r w:rsidR="00E756D0" w:rsidRPr="00D44CF8">
              <w:rPr>
                <w:bCs/>
              </w:rPr>
              <w:t xml:space="preserve"> </w:t>
            </w:r>
            <w:r w:rsidRPr="00D44CF8">
              <w:t>la Commission d</w:t>
            </w:r>
            <w:r w:rsidR="00BF7CA7" w:rsidRPr="00D44CF8">
              <w:t>'</w:t>
            </w:r>
            <w:r w:rsidRPr="00D44CF8">
              <w:t>études 20 à procéder à l</w:t>
            </w:r>
            <w:r w:rsidR="00BF7CA7" w:rsidRPr="00D44CF8">
              <w:t>'</w:t>
            </w:r>
            <w:r w:rsidRPr="00D44CF8">
              <w:t>examen de ce document en vue de son approbation (dans ce cas, sélectionnez l</w:t>
            </w:r>
            <w:r w:rsidR="00BF7CA7" w:rsidRPr="00D44CF8">
              <w:t>'</w:t>
            </w:r>
            <w:r w:rsidRPr="00D44CF8">
              <w:t>une des deux options ⃝):</w:t>
            </w:r>
          </w:p>
          <w:p w14:paraId="3901D774" w14:textId="16339575" w:rsidR="00036B70" w:rsidRPr="00D44CF8" w:rsidRDefault="00036B70" w:rsidP="00E756D0">
            <w:pPr>
              <w:pStyle w:val="TableText"/>
              <w:tabs>
                <w:tab w:val="clear" w:pos="284"/>
                <w:tab w:val="clear" w:pos="567"/>
                <w:tab w:val="clear" w:pos="851"/>
              </w:tabs>
              <w:ind w:left="1163" w:hanging="567"/>
            </w:pPr>
            <w:r w:rsidRPr="00D44CF8">
              <w:t>⃝</w:t>
            </w:r>
            <w:r w:rsidRPr="00D44CF8">
              <w:tab/>
              <w:t>Pas de commentaire ou de proposition de modification</w:t>
            </w:r>
            <w:r w:rsidR="00E756D0" w:rsidRPr="00D44CF8">
              <w:t>.</w:t>
            </w:r>
          </w:p>
          <w:p w14:paraId="16B33FE8" w14:textId="77777777" w:rsidR="00036B70" w:rsidRPr="00D44CF8" w:rsidRDefault="00036B70" w:rsidP="00E756D0">
            <w:pPr>
              <w:pStyle w:val="TableText"/>
              <w:tabs>
                <w:tab w:val="clear" w:pos="284"/>
                <w:tab w:val="clear" w:pos="567"/>
                <w:tab w:val="clear" w:pos="851"/>
              </w:tabs>
              <w:ind w:left="1163" w:hanging="567"/>
            </w:pPr>
            <w:r w:rsidRPr="00D44CF8">
              <w:t>⃝</w:t>
            </w:r>
            <w:r w:rsidRPr="00D44CF8">
              <w:tab/>
              <w:t>Des commentaires ou propositions de modification sont joints à la présente</w:t>
            </w:r>
          </w:p>
        </w:tc>
      </w:tr>
      <w:tr w:rsidR="00036B70" w:rsidRPr="00D44CF8" w14:paraId="3C1D10D6" w14:textId="77777777" w:rsidTr="00E756D0">
        <w:trPr>
          <w:trHeight w:val="747"/>
        </w:trPr>
        <w:tc>
          <w:tcPr>
            <w:tcW w:w="2405" w:type="dxa"/>
            <w:vMerge/>
            <w:shd w:val="clear" w:color="auto" w:fill="auto"/>
            <w:vAlign w:val="center"/>
          </w:tcPr>
          <w:p w14:paraId="2F68C0A0" w14:textId="77777777" w:rsidR="00036B70" w:rsidRPr="00D44CF8" w:rsidRDefault="00036B70" w:rsidP="000C3478">
            <w:pPr>
              <w:pStyle w:val="TableText"/>
              <w:jc w:val="center"/>
              <w:rPr>
                <w:b/>
              </w:rPr>
            </w:pPr>
          </w:p>
        </w:tc>
        <w:tc>
          <w:tcPr>
            <w:tcW w:w="7314" w:type="dxa"/>
            <w:shd w:val="clear" w:color="auto" w:fill="auto"/>
            <w:vAlign w:val="center"/>
          </w:tcPr>
          <w:p w14:paraId="60B28820" w14:textId="1EBE0025" w:rsidR="00036B70" w:rsidRPr="00D44CF8" w:rsidRDefault="00036B70" w:rsidP="00E756D0">
            <w:pPr>
              <w:pStyle w:val="TableText"/>
              <w:tabs>
                <w:tab w:val="clear" w:pos="284"/>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N</w:t>
            </w:r>
            <w:r w:rsidR="00BF7CA7" w:rsidRPr="00D44CF8">
              <w:rPr>
                <w:b/>
              </w:rPr>
              <w:t>'</w:t>
            </w:r>
            <w:r w:rsidRPr="00D44CF8">
              <w:rPr>
                <w:b/>
              </w:rPr>
              <w:t>autorise pas</w:t>
            </w:r>
            <w:r w:rsidRPr="00D44CF8">
              <w:rPr>
                <w:bCs/>
              </w:rPr>
              <w:t xml:space="preserve"> </w:t>
            </w:r>
            <w:r w:rsidRPr="00D44CF8">
              <w:t>la Commission d</w:t>
            </w:r>
            <w:r w:rsidR="00BF7CA7" w:rsidRPr="00D44CF8">
              <w:t>'</w:t>
            </w:r>
            <w:r w:rsidRPr="00D44CF8">
              <w:t>études 20 à procéder à l</w:t>
            </w:r>
            <w:r w:rsidR="00BF7CA7" w:rsidRPr="00D44CF8">
              <w:t>'</w:t>
            </w:r>
            <w:r w:rsidRPr="00D44CF8">
              <w:t>examen de ce document en vue de son approbation (les motifs de cette décision et une description des éventuelles modifications qui permettraient la poursuite des travaux sont joints à la présente)</w:t>
            </w:r>
            <w:r w:rsidR="00E756D0" w:rsidRPr="00D44CF8">
              <w:t>.</w:t>
            </w:r>
          </w:p>
        </w:tc>
      </w:tr>
      <w:tr w:rsidR="00036B70" w:rsidRPr="00D44CF8" w14:paraId="720092F6" w14:textId="77777777" w:rsidTr="00E756D0">
        <w:trPr>
          <w:trHeight w:val="748"/>
        </w:trPr>
        <w:tc>
          <w:tcPr>
            <w:tcW w:w="2405" w:type="dxa"/>
            <w:vMerge w:val="restart"/>
            <w:shd w:val="clear" w:color="auto" w:fill="auto"/>
            <w:vAlign w:val="center"/>
          </w:tcPr>
          <w:p w14:paraId="421BBA15" w14:textId="15725B07" w:rsidR="00036B70" w:rsidRPr="00D44CF8" w:rsidRDefault="00036B70" w:rsidP="000C3478">
            <w:pPr>
              <w:pStyle w:val="TableText"/>
              <w:jc w:val="center"/>
              <w:rPr>
                <w:b/>
              </w:rPr>
            </w:pPr>
            <w:r w:rsidRPr="00D44CF8">
              <w:rPr>
                <w:b/>
              </w:rPr>
              <w:t xml:space="preserve">Projet de nouvelle Recommandation </w:t>
            </w:r>
            <w:r w:rsidR="00E756D0" w:rsidRPr="00D44CF8">
              <w:rPr>
                <w:b/>
              </w:rPr>
              <w:t>UIT</w:t>
            </w:r>
            <w:r w:rsidR="00E756D0" w:rsidRPr="00D44CF8">
              <w:rPr>
                <w:b/>
              </w:rPr>
              <w:noBreakHyphen/>
              <w:t>T </w:t>
            </w:r>
            <w:r w:rsidRPr="00D44CF8">
              <w:rPr>
                <w:b/>
              </w:rPr>
              <w:t>Y.4222 (ex</w:t>
            </w:r>
            <w:r w:rsidR="00E756D0" w:rsidRPr="00D44CF8">
              <w:rPr>
                <w:b/>
              </w:rPr>
              <w:t> </w:t>
            </w:r>
            <w:r w:rsidRPr="00D44CF8">
              <w:rPr>
                <w:b/>
              </w:rPr>
              <w:t>Y.smart</w:t>
            </w:r>
            <w:r w:rsidR="00E756D0" w:rsidRPr="00D44CF8">
              <w:rPr>
                <w:b/>
              </w:rPr>
              <w:noBreakHyphen/>
            </w:r>
            <w:r w:rsidRPr="00D44CF8">
              <w:rPr>
                <w:b/>
              </w:rPr>
              <w:t>evacuation)</w:t>
            </w:r>
          </w:p>
        </w:tc>
        <w:tc>
          <w:tcPr>
            <w:tcW w:w="7314" w:type="dxa"/>
            <w:shd w:val="clear" w:color="auto" w:fill="auto"/>
            <w:vAlign w:val="center"/>
          </w:tcPr>
          <w:p w14:paraId="3CBE9763" w14:textId="3CC575E0" w:rsidR="00036B70" w:rsidRPr="00D44CF8" w:rsidRDefault="00036B70" w:rsidP="00E756D0">
            <w:pPr>
              <w:pStyle w:val="TableText"/>
              <w:tabs>
                <w:tab w:val="clear" w:pos="284"/>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Autorise</w:t>
            </w:r>
            <w:r w:rsidR="00E756D0" w:rsidRPr="00D44CF8">
              <w:rPr>
                <w:bCs/>
              </w:rPr>
              <w:t xml:space="preserve"> </w:t>
            </w:r>
            <w:r w:rsidRPr="00D44CF8">
              <w:t>la Commission d</w:t>
            </w:r>
            <w:r w:rsidR="00BF7CA7" w:rsidRPr="00D44CF8">
              <w:t>'</w:t>
            </w:r>
            <w:r w:rsidRPr="00D44CF8">
              <w:t>études 20 à procéder à l</w:t>
            </w:r>
            <w:r w:rsidR="00BF7CA7" w:rsidRPr="00D44CF8">
              <w:t>'</w:t>
            </w:r>
            <w:r w:rsidRPr="00D44CF8">
              <w:t>examen de ce document en vue de son approbation (dans ce cas, sélectionnez l</w:t>
            </w:r>
            <w:r w:rsidR="00BF7CA7" w:rsidRPr="00D44CF8">
              <w:t>'</w:t>
            </w:r>
            <w:r w:rsidRPr="00D44CF8">
              <w:t>une des deux options ⃝):</w:t>
            </w:r>
          </w:p>
          <w:p w14:paraId="76C2900C" w14:textId="7A1849B4" w:rsidR="00036B70" w:rsidRPr="00D44CF8" w:rsidRDefault="00036B70" w:rsidP="00E756D0">
            <w:pPr>
              <w:pStyle w:val="TableText"/>
              <w:tabs>
                <w:tab w:val="clear" w:pos="284"/>
                <w:tab w:val="clear" w:pos="567"/>
                <w:tab w:val="clear" w:pos="851"/>
              </w:tabs>
              <w:ind w:left="1163" w:hanging="567"/>
            </w:pPr>
            <w:r w:rsidRPr="00D44CF8">
              <w:t>⃝</w:t>
            </w:r>
            <w:r w:rsidRPr="00D44CF8">
              <w:tab/>
              <w:t>Pas de commentaire ou de proposition de modification</w:t>
            </w:r>
            <w:r w:rsidR="00E756D0" w:rsidRPr="00D44CF8">
              <w:t>.</w:t>
            </w:r>
          </w:p>
          <w:p w14:paraId="211D0975" w14:textId="10D07C6C" w:rsidR="00036B70" w:rsidRPr="00D44CF8" w:rsidRDefault="00036B70" w:rsidP="00E756D0">
            <w:pPr>
              <w:pStyle w:val="TableText"/>
              <w:tabs>
                <w:tab w:val="clear" w:pos="284"/>
                <w:tab w:val="clear" w:pos="567"/>
                <w:tab w:val="clear" w:pos="851"/>
              </w:tabs>
              <w:ind w:left="1163" w:hanging="567"/>
            </w:pPr>
            <w:r w:rsidRPr="00D44CF8">
              <w:t>⃝</w:t>
            </w:r>
            <w:r w:rsidRPr="00D44CF8">
              <w:tab/>
              <w:t>Des commentaires ou propositions de modification sont joints à la présente</w:t>
            </w:r>
            <w:r w:rsidR="00E756D0" w:rsidRPr="00D44CF8">
              <w:t>.</w:t>
            </w:r>
          </w:p>
        </w:tc>
      </w:tr>
      <w:tr w:rsidR="00036B70" w:rsidRPr="00D44CF8" w14:paraId="1F65C8E9" w14:textId="77777777" w:rsidTr="00E756D0">
        <w:trPr>
          <w:trHeight w:val="747"/>
        </w:trPr>
        <w:tc>
          <w:tcPr>
            <w:tcW w:w="2405" w:type="dxa"/>
            <w:vMerge/>
            <w:shd w:val="clear" w:color="auto" w:fill="auto"/>
            <w:vAlign w:val="center"/>
          </w:tcPr>
          <w:p w14:paraId="1B12CFD2" w14:textId="77777777" w:rsidR="00036B70" w:rsidRPr="00D44CF8" w:rsidRDefault="00036B70" w:rsidP="000C3478">
            <w:pPr>
              <w:pStyle w:val="TableText"/>
              <w:jc w:val="center"/>
              <w:rPr>
                <w:b/>
              </w:rPr>
            </w:pPr>
          </w:p>
        </w:tc>
        <w:tc>
          <w:tcPr>
            <w:tcW w:w="7314" w:type="dxa"/>
            <w:shd w:val="clear" w:color="auto" w:fill="auto"/>
            <w:vAlign w:val="center"/>
          </w:tcPr>
          <w:p w14:paraId="3BBB66DC" w14:textId="294202CB" w:rsidR="00036B70" w:rsidRPr="00D44CF8" w:rsidRDefault="00036B70" w:rsidP="00E756D0">
            <w:pPr>
              <w:pStyle w:val="TableText"/>
              <w:tabs>
                <w:tab w:val="clear" w:pos="284"/>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N</w:t>
            </w:r>
            <w:r w:rsidR="00BF7CA7" w:rsidRPr="00D44CF8">
              <w:rPr>
                <w:b/>
              </w:rPr>
              <w:t>'</w:t>
            </w:r>
            <w:r w:rsidRPr="00D44CF8">
              <w:rPr>
                <w:b/>
              </w:rPr>
              <w:t>autorise pas</w:t>
            </w:r>
            <w:r w:rsidRPr="00D44CF8">
              <w:t xml:space="preserve"> la Commission d</w:t>
            </w:r>
            <w:r w:rsidR="00BF7CA7" w:rsidRPr="00D44CF8">
              <w:t>'</w:t>
            </w:r>
            <w:r w:rsidRPr="00D44CF8">
              <w:t>études 20 à procéder à l</w:t>
            </w:r>
            <w:r w:rsidR="00BF7CA7" w:rsidRPr="00D44CF8">
              <w:t>'</w:t>
            </w:r>
            <w:r w:rsidRPr="00D44CF8">
              <w:t>examen de ce document en vue de son approbation (les motifs de cette décision et une description des éventuelles modifications qui permettraient la poursuite des travaux sont joints à la présente)</w:t>
            </w:r>
            <w:r w:rsidR="00E756D0" w:rsidRPr="00D44CF8">
              <w:t>.</w:t>
            </w:r>
          </w:p>
        </w:tc>
      </w:tr>
      <w:tr w:rsidR="00036B70" w:rsidRPr="00D44CF8" w14:paraId="16B39A12" w14:textId="77777777" w:rsidTr="00E756D0">
        <w:trPr>
          <w:trHeight w:val="747"/>
        </w:trPr>
        <w:tc>
          <w:tcPr>
            <w:tcW w:w="2405" w:type="dxa"/>
            <w:vMerge w:val="restart"/>
            <w:shd w:val="clear" w:color="auto" w:fill="auto"/>
            <w:vAlign w:val="center"/>
          </w:tcPr>
          <w:p w14:paraId="1ED954F5" w14:textId="46BCBCA8" w:rsidR="00036B70" w:rsidRPr="00D44CF8" w:rsidRDefault="00036B70" w:rsidP="000C3478">
            <w:pPr>
              <w:pStyle w:val="TableText"/>
              <w:jc w:val="center"/>
              <w:rPr>
                <w:b/>
              </w:rPr>
            </w:pPr>
            <w:r w:rsidRPr="00D44CF8">
              <w:rPr>
                <w:b/>
              </w:rPr>
              <w:lastRenderedPageBreak/>
              <w:t xml:space="preserve">Projet de nouvelle Recommandation </w:t>
            </w:r>
            <w:r w:rsidR="00E756D0" w:rsidRPr="00D44CF8">
              <w:rPr>
                <w:b/>
              </w:rPr>
              <w:t>UIT</w:t>
            </w:r>
            <w:r w:rsidR="00E756D0" w:rsidRPr="00D44CF8">
              <w:rPr>
                <w:b/>
              </w:rPr>
              <w:noBreakHyphen/>
              <w:t>T </w:t>
            </w:r>
            <w:r w:rsidRPr="00D44CF8">
              <w:rPr>
                <w:b/>
              </w:rPr>
              <w:t>Y.4223 (ex</w:t>
            </w:r>
            <w:r w:rsidR="00E756D0" w:rsidRPr="00D44CF8">
              <w:rPr>
                <w:b/>
              </w:rPr>
              <w:t> </w:t>
            </w:r>
            <w:r w:rsidRPr="00D44CF8">
              <w:rPr>
                <w:b/>
              </w:rPr>
              <w:t>Y.SCC</w:t>
            </w:r>
            <w:r w:rsidR="00E756D0" w:rsidRPr="00D44CF8">
              <w:rPr>
                <w:b/>
              </w:rPr>
              <w:noBreakHyphen/>
            </w:r>
            <w:r w:rsidRPr="00D44CF8">
              <w:rPr>
                <w:b/>
              </w:rPr>
              <w:t>Reqts)</w:t>
            </w:r>
          </w:p>
        </w:tc>
        <w:tc>
          <w:tcPr>
            <w:tcW w:w="7314" w:type="dxa"/>
            <w:shd w:val="clear" w:color="auto" w:fill="auto"/>
            <w:vAlign w:val="center"/>
          </w:tcPr>
          <w:p w14:paraId="129D0B55" w14:textId="31413ECD" w:rsidR="00036B70" w:rsidRPr="00D44CF8" w:rsidRDefault="00036B70" w:rsidP="00CE37BA">
            <w:pPr>
              <w:pStyle w:val="TableText"/>
              <w:keepNext/>
              <w:tabs>
                <w:tab w:val="clear" w:pos="284"/>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Autorise</w:t>
            </w:r>
            <w:r w:rsidR="00E756D0" w:rsidRPr="00D44CF8">
              <w:rPr>
                <w:bCs/>
              </w:rPr>
              <w:t xml:space="preserve"> </w:t>
            </w:r>
            <w:r w:rsidRPr="00D44CF8">
              <w:t>la Commission d</w:t>
            </w:r>
            <w:r w:rsidR="00BF7CA7" w:rsidRPr="00D44CF8">
              <w:t>'</w:t>
            </w:r>
            <w:r w:rsidRPr="00D44CF8">
              <w:t>études 20 à procéder à l</w:t>
            </w:r>
            <w:r w:rsidR="00BF7CA7" w:rsidRPr="00D44CF8">
              <w:t>'</w:t>
            </w:r>
            <w:r w:rsidRPr="00D44CF8">
              <w:t>examen de ce document en vue de son approbation (dans ce cas, sélectionnez l</w:t>
            </w:r>
            <w:r w:rsidR="00BF7CA7" w:rsidRPr="00D44CF8">
              <w:t>'</w:t>
            </w:r>
            <w:r w:rsidRPr="00D44CF8">
              <w:t>une des deux options ⃝):</w:t>
            </w:r>
          </w:p>
          <w:p w14:paraId="2DC86491" w14:textId="6471EB21" w:rsidR="00036B70" w:rsidRPr="00D44CF8" w:rsidRDefault="00036B70" w:rsidP="00CE37BA">
            <w:pPr>
              <w:pStyle w:val="TableText"/>
              <w:keepNext/>
              <w:tabs>
                <w:tab w:val="clear" w:pos="284"/>
                <w:tab w:val="clear" w:pos="567"/>
                <w:tab w:val="clear" w:pos="851"/>
              </w:tabs>
              <w:ind w:left="1163" w:hanging="567"/>
            </w:pPr>
            <w:r w:rsidRPr="00D44CF8">
              <w:t>⃝</w:t>
            </w:r>
            <w:r w:rsidRPr="00D44CF8">
              <w:tab/>
              <w:t>Pas de commentaire ou de proposition de modification</w:t>
            </w:r>
            <w:r w:rsidR="00E756D0" w:rsidRPr="00D44CF8">
              <w:t>.</w:t>
            </w:r>
          </w:p>
          <w:p w14:paraId="7BC6DA5A" w14:textId="01563279" w:rsidR="00036B70" w:rsidRPr="00D44CF8" w:rsidRDefault="00036B70" w:rsidP="00CE37BA">
            <w:pPr>
              <w:pStyle w:val="TableText"/>
              <w:keepNext/>
              <w:tabs>
                <w:tab w:val="clear" w:pos="284"/>
                <w:tab w:val="clear" w:pos="567"/>
                <w:tab w:val="clear" w:pos="851"/>
              </w:tabs>
              <w:ind w:left="1163" w:hanging="567"/>
            </w:pPr>
            <w:r w:rsidRPr="00D44CF8">
              <w:t>⃝</w:t>
            </w:r>
            <w:r w:rsidRPr="00D44CF8">
              <w:tab/>
              <w:t>Des commentaires ou propositions de modification sont joints à la présente</w:t>
            </w:r>
            <w:r w:rsidR="00E756D0" w:rsidRPr="00D44CF8">
              <w:t>.</w:t>
            </w:r>
          </w:p>
        </w:tc>
      </w:tr>
      <w:tr w:rsidR="00036B70" w:rsidRPr="00D44CF8" w14:paraId="714CA79D" w14:textId="77777777" w:rsidTr="00E756D0">
        <w:trPr>
          <w:trHeight w:val="747"/>
        </w:trPr>
        <w:tc>
          <w:tcPr>
            <w:tcW w:w="2405" w:type="dxa"/>
            <w:vMerge/>
            <w:shd w:val="clear" w:color="auto" w:fill="auto"/>
            <w:vAlign w:val="center"/>
          </w:tcPr>
          <w:p w14:paraId="032A6342" w14:textId="77777777" w:rsidR="00036B70" w:rsidRPr="00D44CF8" w:rsidRDefault="00036B70" w:rsidP="000C3478">
            <w:pPr>
              <w:pStyle w:val="TableText"/>
              <w:jc w:val="center"/>
              <w:rPr>
                <w:b/>
              </w:rPr>
            </w:pPr>
          </w:p>
        </w:tc>
        <w:tc>
          <w:tcPr>
            <w:tcW w:w="7314" w:type="dxa"/>
            <w:shd w:val="clear" w:color="auto" w:fill="auto"/>
            <w:vAlign w:val="center"/>
          </w:tcPr>
          <w:p w14:paraId="0C2E8FBB" w14:textId="62DB0B7F" w:rsidR="00036B70" w:rsidRPr="00D44CF8" w:rsidRDefault="00036B70" w:rsidP="009271E2">
            <w:pPr>
              <w:pStyle w:val="TableText"/>
              <w:tabs>
                <w:tab w:val="clear" w:pos="284"/>
                <w:tab w:val="clear" w:pos="567"/>
                <w:tab w:val="left" w:pos="596"/>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N</w:t>
            </w:r>
            <w:r w:rsidR="00BF7CA7" w:rsidRPr="00D44CF8">
              <w:rPr>
                <w:b/>
              </w:rPr>
              <w:t>'</w:t>
            </w:r>
            <w:r w:rsidRPr="00D44CF8">
              <w:rPr>
                <w:b/>
              </w:rPr>
              <w:t>autorise pas</w:t>
            </w:r>
            <w:r w:rsidRPr="00D44CF8">
              <w:t xml:space="preserve"> la Commission d</w:t>
            </w:r>
            <w:r w:rsidR="00BF7CA7" w:rsidRPr="00D44CF8">
              <w:t>'</w:t>
            </w:r>
            <w:r w:rsidRPr="00D44CF8">
              <w:t>études 20 à procéder à l</w:t>
            </w:r>
            <w:r w:rsidR="00BF7CA7" w:rsidRPr="00D44CF8">
              <w:t>'</w:t>
            </w:r>
            <w:r w:rsidRPr="00D44CF8">
              <w:t>examen de ce document en vue de son approbation (les motifs de cette décision et une description des éventuelles modifications qui permettraient la poursuite des travaux sont joints à la présente)</w:t>
            </w:r>
            <w:r w:rsidR="00E756D0" w:rsidRPr="00D44CF8">
              <w:t>.</w:t>
            </w:r>
          </w:p>
        </w:tc>
      </w:tr>
      <w:tr w:rsidR="00036B70" w:rsidRPr="00D44CF8" w14:paraId="72DFD1AF" w14:textId="77777777" w:rsidTr="00E756D0">
        <w:trPr>
          <w:trHeight w:val="747"/>
        </w:trPr>
        <w:tc>
          <w:tcPr>
            <w:tcW w:w="2405" w:type="dxa"/>
            <w:vMerge w:val="restart"/>
            <w:shd w:val="clear" w:color="auto" w:fill="auto"/>
            <w:vAlign w:val="center"/>
          </w:tcPr>
          <w:p w14:paraId="24C72917" w14:textId="3CFD9EF8" w:rsidR="00036B70" w:rsidRPr="00D44CF8" w:rsidRDefault="00036B70" w:rsidP="000C3478">
            <w:pPr>
              <w:pStyle w:val="TableText"/>
              <w:jc w:val="center"/>
              <w:rPr>
                <w:b/>
              </w:rPr>
            </w:pPr>
            <w:r w:rsidRPr="00D44CF8">
              <w:rPr>
                <w:b/>
              </w:rPr>
              <w:t xml:space="preserve">Projet de nouvelle Recommandation </w:t>
            </w:r>
            <w:r w:rsidR="00E756D0" w:rsidRPr="00D44CF8">
              <w:rPr>
                <w:b/>
              </w:rPr>
              <w:t>UIT</w:t>
            </w:r>
            <w:r w:rsidR="00E756D0" w:rsidRPr="00D44CF8">
              <w:rPr>
                <w:b/>
              </w:rPr>
              <w:noBreakHyphen/>
              <w:t>T </w:t>
            </w:r>
            <w:r w:rsidRPr="00D44CF8">
              <w:rPr>
                <w:b/>
              </w:rPr>
              <w:t>Y.4487 (ex</w:t>
            </w:r>
            <w:r w:rsidR="00E756D0" w:rsidRPr="00D44CF8">
              <w:rPr>
                <w:b/>
              </w:rPr>
              <w:t> </w:t>
            </w:r>
            <w:r w:rsidRPr="00D44CF8">
              <w:rPr>
                <w:b/>
              </w:rPr>
              <w:t>Y.RMDFS-arch)</w:t>
            </w:r>
          </w:p>
        </w:tc>
        <w:tc>
          <w:tcPr>
            <w:tcW w:w="7314" w:type="dxa"/>
            <w:shd w:val="clear" w:color="auto" w:fill="auto"/>
            <w:vAlign w:val="center"/>
          </w:tcPr>
          <w:p w14:paraId="078013AD" w14:textId="5B80B456" w:rsidR="00036B70" w:rsidRPr="00D44CF8" w:rsidRDefault="00036B70" w:rsidP="009271E2">
            <w:pPr>
              <w:pStyle w:val="TableText"/>
              <w:tabs>
                <w:tab w:val="clear" w:pos="284"/>
                <w:tab w:val="clear" w:pos="567"/>
                <w:tab w:val="left" w:pos="596"/>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Autorise</w:t>
            </w:r>
            <w:r w:rsidR="00E756D0" w:rsidRPr="00D44CF8">
              <w:rPr>
                <w:bCs/>
              </w:rPr>
              <w:t xml:space="preserve"> </w:t>
            </w:r>
            <w:r w:rsidRPr="00D44CF8">
              <w:t>la Commission d</w:t>
            </w:r>
            <w:r w:rsidR="00BF7CA7" w:rsidRPr="00D44CF8">
              <w:t>'</w:t>
            </w:r>
            <w:r w:rsidRPr="00D44CF8">
              <w:t>études 20 à procéder à l</w:t>
            </w:r>
            <w:r w:rsidR="00BF7CA7" w:rsidRPr="00D44CF8">
              <w:t>'</w:t>
            </w:r>
            <w:r w:rsidRPr="00D44CF8">
              <w:t>examen de ce document en vue de son approbation (dans ce cas, sélectionnez l</w:t>
            </w:r>
            <w:r w:rsidR="00BF7CA7" w:rsidRPr="00D44CF8">
              <w:t>'</w:t>
            </w:r>
            <w:r w:rsidRPr="00D44CF8">
              <w:t>une des deux options ⃝):</w:t>
            </w:r>
          </w:p>
          <w:p w14:paraId="577F8FCA" w14:textId="0854E22E" w:rsidR="00036B70" w:rsidRPr="00D44CF8" w:rsidRDefault="00036B70" w:rsidP="00E756D0">
            <w:pPr>
              <w:pStyle w:val="TableText"/>
              <w:tabs>
                <w:tab w:val="clear" w:pos="284"/>
                <w:tab w:val="clear" w:pos="567"/>
                <w:tab w:val="clear" w:pos="851"/>
              </w:tabs>
              <w:ind w:left="1163" w:hanging="567"/>
            </w:pPr>
            <w:r w:rsidRPr="00D44CF8">
              <w:t>⃝</w:t>
            </w:r>
            <w:r w:rsidRPr="00D44CF8">
              <w:tab/>
              <w:t>Pas de commentaire ou de proposition de modification</w:t>
            </w:r>
            <w:r w:rsidR="00E756D0" w:rsidRPr="00D44CF8">
              <w:t>.</w:t>
            </w:r>
          </w:p>
          <w:p w14:paraId="53BC1E36" w14:textId="3B75B1E3" w:rsidR="00036B70" w:rsidRPr="00D44CF8" w:rsidRDefault="00036B70" w:rsidP="00E756D0">
            <w:pPr>
              <w:pStyle w:val="TableText"/>
              <w:tabs>
                <w:tab w:val="clear" w:pos="284"/>
                <w:tab w:val="clear" w:pos="567"/>
                <w:tab w:val="clear" w:pos="851"/>
              </w:tabs>
              <w:ind w:left="1163" w:hanging="567"/>
            </w:pPr>
            <w:r w:rsidRPr="00D44CF8">
              <w:t>⃝</w:t>
            </w:r>
            <w:r w:rsidRPr="00D44CF8">
              <w:tab/>
              <w:t>Des commentaires ou propositions de modification sont joints à la présente</w:t>
            </w:r>
            <w:r w:rsidR="00E756D0" w:rsidRPr="00D44CF8">
              <w:t>.</w:t>
            </w:r>
          </w:p>
        </w:tc>
      </w:tr>
      <w:tr w:rsidR="00036B70" w:rsidRPr="00D44CF8" w14:paraId="085D9926" w14:textId="77777777" w:rsidTr="00E756D0">
        <w:trPr>
          <w:trHeight w:val="747"/>
        </w:trPr>
        <w:tc>
          <w:tcPr>
            <w:tcW w:w="2405" w:type="dxa"/>
            <w:vMerge/>
            <w:shd w:val="clear" w:color="auto" w:fill="auto"/>
            <w:vAlign w:val="center"/>
          </w:tcPr>
          <w:p w14:paraId="0F7C1F23" w14:textId="77777777" w:rsidR="00036B70" w:rsidRPr="00D44CF8" w:rsidRDefault="00036B70" w:rsidP="000C3478">
            <w:pPr>
              <w:pStyle w:val="TableText"/>
              <w:jc w:val="center"/>
              <w:rPr>
                <w:b/>
              </w:rPr>
            </w:pPr>
          </w:p>
        </w:tc>
        <w:tc>
          <w:tcPr>
            <w:tcW w:w="7314" w:type="dxa"/>
            <w:shd w:val="clear" w:color="auto" w:fill="auto"/>
            <w:vAlign w:val="center"/>
          </w:tcPr>
          <w:p w14:paraId="27C33F3C" w14:textId="2D362DA1" w:rsidR="00036B70" w:rsidRPr="00D44CF8" w:rsidRDefault="00036B70" w:rsidP="009271E2">
            <w:pPr>
              <w:pStyle w:val="TableText"/>
              <w:tabs>
                <w:tab w:val="clear" w:pos="284"/>
                <w:tab w:val="clear" w:pos="567"/>
                <w:tab w:val="left" w:pos="596"/>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N</w:t>
            </w:r>
            <w:r w:rsidR="00BF7CA7" w:rsidRPr="00D44CF8">
              <w:rPr>
                <w:b/>
              </w:rPr>
              <w:t>'</w:t>
            </w:r>
            <w:r w:rsidRPr="00D44CF8">
              <w:rPr>
                <w:b/>
              </w:rPr>
              <w:t>autorise pas</w:t>
            </w:r>
            <w:r w:rsidRPr="00D44CF8">
              <w:t xml:space="preserve"> la Commission d</w:t>
            </w:r>
            <w:r w:rsidR="00BF7CA7" w:rsidRPr="00D44CF8">
              <w:t>'</w:t>
            </w:r>
            <w:r w:rsidRPr="00D44CF8">
              <w:t>études 20 à procéder à l</w:t>
            </w:r>
            <w:r w:rsidR="00BF7CA7" w:rsidRPr="00D44CF8">
              <w:t>'</w:t>
            </w:r>
            <w:r w:rsidRPr="00D44CF8">
              <w:t>examen de ce document en vue de son approbation (les motifs de cette décision et une description des éventuelles modifications qui permettraient la poursuite des travaux sont joints à la présente)</w:t>
            </w:r>
            <w:r w:rsidR="00E756D0" w:rsidRPr="00D44CF8">
              <w:t>.</w:t>
            </w:r>
          </w:p>
        </w:tc>
      </w:tr>
      <w:tr w:rsidR="00036B70" w:rsidRPr="00D44CF8" w14:paraId="446F7EAC" w14:textId="77777777" w:rsidTr="00E756D0">
        <w:trPr>
          <w:trHeight w:val="747"/>
        </w:trPr>
        <w:tc>
          <w:tcPr>
            <w:tcW w:w="2405" w:type="dxa"/>
            <w:vMerge w:val="restart"/>
            <w:shd w:val="clear" w:color="auto" w:fill="auto"/>
            <w:vAlign w:val="center"/>
          </w:tcPr>
          <w:p w14:paraId="09C8EAB3" w14:textId="6E57EEFE" w:rsidR="00036B70" w:rsidRPr="00D44CF8" w:rsidRDefault="00036B70" w:rsidP="000C3478">
            <w:pPr>
              <w:pStyle w:val="TableText"/>
              <w:jc w:val="center"/>
              <w:rPr>
                <w:b/>
              </w:rPr>
            </w:pPr>
            <w:r w:rsidRPr="00D44CF8">
              <w:rPr>
                <w:b/>
              </w:rPr>
              <w:t xml:space="preserve">Projet de nouvelle Recommandation </w:t>
            </w:r>
            <w:r w:rsidR="00E756D0" w:rsidRPr="00D44CF8">
              <w:rPr>
                <w:b/>
              </w:rPr>
              <w:t>UIT</w:t>
            </w:r>
            <w:r w:rsidR="00E756D0" w:rsidRPr="00D44CF8">
              <w:rPr>
                <w:b/>
              </w:rPr>
              <w:noBreakHyphen/>
              <w:t>T </w:t>
            </w:r>
            <w:r w:rsidRPr="00D44CF8">
              <w:rPr>
                <w:b/>
              </w:rPr>
              <w:t>Y.4488 (ex</w:t>
            </w:r>
            <w:r w:rsidR="00E756D0" w:rsidRPr="00D44CF8">
              <w:rPr>
                <w:b/>
              </w:rPr>
              <w:t> </w:t>
            </w:r>
            <w:r w:rsidRPr="00D44CF8">
              <w:rPr>
                <w:b/>
              </w:rPr>
              <w:t>Y.IoT</w:t>
            </w:r>
            <w:r w:rsidR="00E756D0" w:rsidRPr="00D44CF8">
              <w:rPr>
                <w:b/>
              </w:rPr>
              <w:noBreakHyphen/>
            </w:r>
            <w:r w:rsidRPr="00D44CF8">
              <w:rPr>
                <w:b/>
              </w:rPr>
              <w:t>SPWE)</w:t>
            </w:r>
          </w:p>
        </w:tc>
        <w:tc>
          <w:tcPr>
            <w:tcW w:w="7314" w:type="dxa"/>
            <w:shd w:val="clear" w:color="auto" w:fill="auto"/>
            <w:vAlign w:val="center"/>
          </w:tcPr>
          <w:p w14:paraId="7BE088B9" w14:textId="71BBF8BF" w:rsidR="00036B70" w:rsidRPr="00D44CF8" w:rsidRDefault="00036B70" w:rsidP="009271E2">
            <w:pPr>
              <w:pStyle w:val="TableText"/>
              <w:tabs>
                <w:tab w:val="clear" w:pos="284"/>
                <w:tab w:val="clear" w:pos="567"/>
                <w:tab w:val="left" w:pos="596"/>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Autorise</w:t>
            </w:r>
            <w:r w:rsidR="00E756D0" w:rsidRPr="00D44CF8">
              <w:rPr>
                <w:bCs/>
              </w:rPr>
              <w:t xml:space="preserve"> </w:t>
            </w:r>
            <w:r w:rsidRPr="00D44CF8">
              <w:t>la Commission d</w:t>
            </w:r>
            <w:r w:rsidR="00BF7CA7" w:rsidRPr="00D44CF8">
              <w:t>'</w:t>
            </w:r>
            <w:r w:rsidRPr="00D44CF8">
              <w:t>études 20 à procéder à l</w:t>
            </w:r>
            <w:r w:rsidR="00BF7CA7" w:rsidRPr="00D44CF8">
              <w:t>'</w:t>
            </w:r>
            <w:r w:rsidRPr="00D44CF8">
              <w:t>examen de ce document en vue de son approbation (dans ce cas, sélectionnez l</w:t>
            </w:r>
            <w:r w:rsidR="00BF7CA7" w:rsidRPr="00D44CF8">
              <w:t>'</w:t>
            </w:r>
            <w:r w:rsidRPr="00D44CF8">
              <w:t>une des deux options ⃝):</w:t>
            </w:r>
          </w:p>
          <w:p w14:paraId="6FEA2E25" w14:textId="4115D0DA" w:rsidR="00036B70" w:rsidRPr="00D44CF8" w:rsidRDefault="00036B70" w:rsidP="00E756D0">
            <w:pPr>
              <w:pStyle w:val="TableText"/>
              <w:tabs>
                <w:tab w:val="clear" w:pos="284"/>
                <w:tab w:val="clear" w:pos="567"/>
                <w:tab w:val="clear" w:pos="851"/>
              </w:tabs>
              <w:ind w:left="1163" w:hanging="567"/>
            </w:pPr>
            <w:r w:rsidRPr="00D44CF8">
              <w:t>⃝</w:t>
            </w:r>
            <w:r w:rsidRPr="00D44CF8">
              <w:tab/>
              <w:t>Pas de commentaire ou de proposition de modification</w:t>
            </w:r>
            <w:r w:rsidR="00B52BC8" w:rsidRPr="00D44CF8">
              <w:t>.</w:t>
            </w:r>
          </w:p>
          <w:p w14:paraId="05F934E9" w14:textId="7CFA1CC0" w:rsidR="00036B70" w:rsidRPr="00D44CF8" w:rsidRDefault="00036B70" w:rsidP="00E756D0">
            <w:pPr>
              <w:pStyle w:val="TableText"/>
              <w:tabs>
                <w:tab w:val="clear" w:pos="284"/>
                <w:tab w:val="clear" w:pos="567"/>
                <w:tab w:val="clear" w:pos="851"/>
              </w:tabs>
              <w:ind w:left="1163" w:hanging="567"/>
            </w:pPr>
            <w:r w:rsidRPr="00D44CF8">
              <w:t>⃝</w:t>
            </w:r>
            <w:r w:rsidRPr="00D44CF8">
              <w:tab/>
              <w:t>Des commentaires ou propositions de modification sont joints à la présente</w:t>
            </w:r>
            <w:r w:rsidR="00B52BC8" w:rsidRPr="00D44CF8">
              <w:t>.</w:t>
            </w:r>
          </w:p>
        </w:tc>
      </w:tr>
      <w:tr w:rsidR="00036B70" w:rsidRPr="00D44CF8" w14:paraId="65D994E0" w14:textId="77777777" w:rsidTr="00E756D0">
        <w:trPr>
          <w:trHeight w:val="747"/>
        </w:trPr>
        <w:tc>
          <w:tcPr>
            <w:tcW w:w="2405" w:type="dxa"/>
            <w:vMerge/>
            <w:shd w:val="clear" w:color="auto" w:fill="auto"/>
            <w:vAlign w:val="center"/>
          </w:tcPr>
          <w:p w14:paraId="045B76E3" w14:textId="77777777" w:rsidR="00036B70" w:rsidRPr="00D44CF8" w:rsidRDefault="00036B70" w:rsidP="000C3478">
            <w:pPr>
              <w:pStyle w:val="TableText"/>
              <w:jc w:val="center"/>
              <w:rPr>
                <w:b/>
              </w:rPr>
            </w:pPr>
          </w:p>
        </w:tc>
        <w:tc>
          <w:tcPr>
            <w:tcW w:w="7314" w:type="dxa"/>
            <w:shd w:val="clear" w:color="auto" w:fill="auto"/>
            <w:vAlign w:val="center"/>
          </w:tcPr>
          <w:p w14:paraId="43EC933E" w14:textId="222DDE9F" w:rsidR="00036B70" w:rsidRPr="00D44CF8" w:rsidRDefault="00036B70" w:rsidP="009271E2">
            <w:pPr>
              <w:pStyle w:val="TableText"/>
              <w:tabs>
                <w:tab w:val="clear" w:pos="284"/>
                <w:tab w:val="clear" w:pos="567"/>
                <w:tab w:val="left" w:pos="596"/>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N</w:t>
            </w:r>
            <w:r w:rsidR="00BF7CA7" w:rsidRPr="00D44CF8">
              <w:rPr>
                <w:b/>
              </w:rPr>
              <w:t>'</w:t>
            </w:r>
            <w:r w:rsidRPr="00D44CF8">
              <w:rPr>
                <w:b/>
              </w:rPr>
              <w:t>autorise pas</w:t>
            </w:r>
            <w:r w:rsidRPr="00D44CF8">
              <w:t xml:space="preserve"> la Commission d</w:t>
            </w:r>
            <w:r w:rsidR="00BF7CA7" w:rsidRPr="00D44CF8">
              <w:t>'</w:t>
            </w:r>
            <w:r w:rsidRPr="00D44CF8">
              <w:t>études 20 à procéder à l</w:t>
            </w:r>
            <w:r w:rsidR="00BF7CA7" w:rsidRPr="00D44CF8">
              <w:t>'</w:t>
            </w:r>
            <w:r w:rsidRPr="00D44CF8">
              <w:t>examen de ce document en vue de son approbation (les motifs de cette décision et une description des éventuelles modifications qui permettraient la poursuite des travaux sont joints à la présente)</w:t>
            </w:r>
            <w:r w:rsidR="00B52BC8" w:rsidRPr="00D44CF8">
              <w:t>.</w:t>
            </w:r>
          </w:p>
        </w:tc>
      </w:tr>
      <w:tr w:rsidR="00036B70" w:rsidRPr="00D44CF8" w14:paraId="2B0B7739" w14:textId="77777777" w:rsidTr="00E756D0">
        <w:trPr>
          <w:trHeight w:val="747"/>
        </w:trPr>
        <w:tc>
          <w:tcPr>
            <w:tcW w:w="2405" w:type="dxa"/>
            <w:vMerge w:val="restart"/>
            <w:shd w:val="clear" w:color="auto" w:fill="auto"/>
            <w:vAlign w:val="center"/>
          </w:tcPr>
          <w:p w14:paraId="67315008" w14:textId="6C907B31" w:rsidR="00036B70" w:rsidRPr="00D44CF8" w:rsidRDefault="00036B70" w:rsidP="000C3478">
            <w:pPr>
              <w:pStyle w:val="TableText"/>
              <w:jc w:val="center"/>
              <w:rPr>
                <w:b/>
              </w:rPr>
            </w:pPr>
            <w:r w:rsidRPr="00D44CF8">
              <w:rPr>
                <w:b/>
              </w:rPr>
              <w:t xml:space="preserve">Projet de nouvelle Recommandation </w:t>
            </w:r>
            <w:r w:rsidR="00E756D0" w:rsidRPr="00D44CF8">
              <w:rPr>
                <w:b/>
              </w:rPr>
              <w:t>UIT</w:t>
            </w:r>
            <w:r w:rsidR="00E756D0" w:rsidRPr="00D44CF8">
              <w:rPr>
                <w:b/>
              </w:rPr>
              <w:noBreakHyphen/>
              <w:t>T </w:t>
            </w:r>
            <w:r w:rsidRPr="00D44CF8">
              <w:rPr>
                <w:b/>
              </w:rPr>
              <w:t>Y.4604 (ex</w:t>
            </w:r>
            <w:r w:rsidR="00E756D0" w:rsidRPr="00D44CF8">
              <w:rPr>
                <w:b/>
              </w:rPr>
              <w:t> </w:t>
            </w:r>
            <w:r w:rsidRPr="00D44CF8">
              <w:rPr>
                <w:b/>
              </w:rPr>
              <w:t>Y.IoT</w:t>
            </w:r>
            <w:r w:rsidR="009271E2" w:rsidRPr="00D44CF8">
              <w:rPr>
                <w:b/>
              </w:rPr>
              <w:noBreakHyphen/>
            </w:r>
            <w:r w:rsidRPr="00D44CF8">
              <w:rPr>
                <w:b/>
              </w:rPr>
              <w:t>MCSI)</w:t>
            </w:r>
          </w:p>
        </w:tc>
        <w:tc>
          <w:tcPr>
            <w:tcW w:w="7314" w:type="dxa"/>
            <w:shd w:val="clear" w:color="auto" w:fill="auto"/>
            <w:vAlign w:val="center"/>
          </w:tcPr>
          <w:p w14:paraId="69D82A01" w14:textId="4243B01F" w:rsidR="00036B70" w:rsidRPr="00D44CF8" w:rsidRDefault="00036B70" w:rsidP="009271E2">
            <w:pPr>
              <w:pStyle w:val="TableText"/>
              <w:tabs>
                <w:tab w:val="clear" w:pos="284"/>
                <w:tab w:val="clear" w:pos="567"/>
                <w:tab w:val="left" w:pos="596"/>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Autorise</w:t>
            </w:r>
            <w:r w:rsidR="00E756D0" w:rsidRPr="00D44CF8">
              <w:rPr>
                <w:bCs/>
              </w:rPr>
              <w:t xml:space="preserve"> </w:t>
            </w:r>
            <w:r w:rsidRPr="00D44CF8">
              <w:t>la Commission d</w:t>
            </w:r>
            <w:r w:rsidR="00BF7CA7" w:rsidRPr="00D44CF8">
              <w:t>'</w:t>
            </w:r>
            <w:r w:rsidRPr="00D44CF8">
              <w:t>études 20 à procéder à l</w:t>
            </w:r>
            <w:r w:rsidR="00BF7CA7" w:rsidRPr="00D44CF8">
              <w:t>'</w:t>
            </w:r>
            <w:r w:rsidRPr="00D44CF8">
              <w:t>examen de ce document en vue de son approbation (dans ce cas, sélectionnez l</w:t>
            </w:r>
            <w:r w:rsidR="00BF7CA7" w:rsidRPr="00D44CF8">
              <w:t>'</w:t>
            </w:r>
            <w:r w:rsidRPr="00D44CF8">
              <w:t>une des deux options ⃝):</w:t>
            </w:r>
          </w:p>
          <w:p w14:paraId="24D0662B" w14:textId="01EBD33B" w:rsidR="00036B70" w:rsidRPr="00D44CF8" w:rsidRDefault="00036B70" w:rsidP="00E756D0">
            <w:pPr>
              <w:pStyle w:val="TableText"/>
              <w:tabs>
                <w:tab w:val="clear" w:pos="284"/>
                <w:tab w:val="clear" w:pos="567"/>
                <w:tab w:val="clear" w:pos="851"/>
              </w:tabs>
              <w:ind w:left="1163" w:hanging="567"/>
            </w:pPr>
            <w:r w:rsidRPr="00D44CF8">
              <w:t>⃝</w:t>
            </w:r>
            <w:r w:rsidRPr="00D44CF8">
              <w:tab/>
              <w:t>Pas de commentaire ou de proposition de modification</w:t>
            </w:r>
            <w:r w:rsidR="009271E2" w:rsidRPr="00D44CF8">
              <w:t>.</w:t>
            </w:r>
          </w:p>
          <w:p w14:paraId="69EC587C" w14:textId="4F133069" w:rsidR="00036B70" w:rsidRPr="00D44CF8" w:rsidRDefault="00036B70" w:rsidP="00E756D0">
            <w:pPr>
              <w:pStyle w:val="TableText"/>
              <w:tabs>
                <w:tab w:val="clear" w:pos="284"/>
                <w:tab w:val="clear" w:pos="567"/>
                <w:tab w:val="clear" w:pos="851"/>
              </w:tabs>
              <w:ind w:left="1163" w:hanging="567"/>
            </w:pPr>
            <w:r w:rsidRPr="00D44CF8">
              <w:t>⃝</w:t>
            </w:r>
            <w:r w:rsidRPr="00D44CF8">
              <w:tab/>
              <w:t>Des commentaires ou propositions de modification sont joints à la présente</w:t>
            </w:r>
            <w:r w:rsidR="009271E2" w:rsidRPr="00D44CF8">
              <w:t>.</w:t>
            </w:r>
          </w:p>
        </w:tc>
      </w:tr>
      <w:tr w:rsidR="00036B70" w:rsidRPr="00D44CF8" w14:paraId="55DCE250" w14:textId="77777777" w:rsidTr="00E756D0">
        <w:trPr>
          <w:trHeight w:val="747"/>
        </w:trPr>
        <w:tc>
          <w:tcPr>
            <w:tcW w:w="2405" w:type="dxa"/>
            <w:vMerge/>
            <w:shd w:val="clear" w:color="auto" w:fill="auto"/>
            <w:vAlign w:val="center"/>
          </w:tcPr>
          <w:p w14:paraId="71E987F1" w14:textId="77777777" w:rsidR="00036B70" w:rsidRPr="00D44CF8" w:rsidRDefault="00036B70" w:rsidP="000C3478">
            <w:pPr>
              <w:pStyle w:val="TableText"/>
              <w:jc w:val="center"/>
              <w:rPr>
                <w:b/>
              </w:rPr>
            </w:pPr>
          </w:p>
        </w:tc>
        <w:tc>
          <w:tcPr>
            <w:tcW w:w="7314" w:type="dxa"/>
            <w:shd w:val="clear" w:color="auto" w:fill="auto"/>
            <w:vAlign w:val="center"/>
          </w:tcPr>
          <w:p w14:paraId="27111845" w14:textId="2E350BE8" w:rsidR="00036B70" w:rsidRPr="00D44CF8" w:rsidRDefault="00036B70" w:rsidP="009271E2">
            <w:pPr>
              <w:pStyle w:val="TableText"/>
              <w:tabs>
                <w:tab w:val="clear" w:pos="284"/>
                <w:tab w:val="clear" w:pos="567"/>
                <w:tab w:val="left" w:pos="596"/>
              </w:tabs>
              <w:ind w:left="596" w:hanging="596"/>
            </w:pPr>
            <w:r w:rsidRPr="00D44CF8">
              <w:fldChar w:fldCharType="begin">
                <w:ffData>
                  <w:name w:val="Check1"/>
                  <w:enabled/>
                  <w:calcOnExit w:val="0"/>
                  <w:checkBox>
                    <w:sizeAuto/>
                    <w:default w:val="0"/>
                  </w:checkBox>
                </w:ffData>
              </w:fldChar>
            </w:r>
            <w:r w:rsidRPr="00D44CF8">
              <w:instrText xml:space="preserve"> FORMCHECKBOX </w:instrText>
            </w:r>
            <w:r w:rsidR="004A62D0">
              <w:fldChar w:fldCharType="separate"/>
            </w:r>
            <w:r w:rsidRPr="00D44CF8">
              <w:fldChar w:fldCharType="end"/>
            </w:r>
            <w:r w:rsidRPr="00D44CF8">
              <w:tab/>
            </w:r>
            <w:r w:rsidR="00E756D0" w:rsidRPr="00D44CF8">
              <w:rPr>
                <w:b/>
              </w:rPr>
              <w:t>N</w:t>
            </w:r>
            <w:r w:rsidR="00BF7CA7" w:rsidRPr="00D44CF8">
              <w:rPr>
                <w:b/>
              </w:rPr>
              <w:t>'</w:t>
            </w:r>
            <w:r w:rsidRPr="00D44CF8">
              <w:rPr>
                <w:b/>
              </w:rPr>
              <w:t>autorise pas</w:t>
            </w:r>
            <w:r w:rsidRPr="00D44CF8">
              <w:t xml:space="preserve"> la Commission d</w:t>
            </w:r>
            <w:r w:rsidR="00BF7CA7" w:rsidRPr="00D44CF8">
              <w:t>'</w:t>
            </w:r>
            <w:r w:rsidRPr="00D44CF8">
              <w:t>études 20 à procéder à l</w:t>
            </w:r>
            <w:r w:rsidR="00BF7CA7" w:rsidRPr="00D44CF8">
              <w:t>'</w:t>
            </w:r>
            <w:r w:rsidRPr="00D44CF8">
              <w:t>examen de ce document en vue de son approbation (les motifs de cette décision et une description des éventuelles modifications qui permettraient la poursuite des travaux sont joints à la présente)</w:t>
            </w:r>
            <w:r w:rsidR="009271E2" w:rsidRPr="00D44CF8">
              <w:t>.</w:t>
            </w:r>
          </w:p>
        </w:tc>
      </w:tr>
    </w:tbl>
    <w:p w14:paraId="15E2E956" w14:textId="73704E7E" w:rsidR="00036B70" w:rsidRPr="00D44CF8" w:rsidRDefault="00036B70" w:rsidP="000C684E">
      <w:r w:rsidRPr="00D44CF8">
        <w:t>Veuillez agréer, Madame, Monsieur, l</w:t>
      </w:r>
      <w:r w:rsidR="00BF7CA7" w:rsidRPr="00D44CF8">
        <w:t>'</w:t>
      </w:r>
      <w:r w:rsidRPr="00D44CF8">
        <w:t>assurance de ma considération distinguée.</w:t>
      </w:r>
    </w:p>
    <w:p w14:paraId="3D1E4CA7" w14:textId="77777777" w:rsidR="00036B70" w:rsidRPr="00D44CF8" w:rsidRDefault="00036B70" w:rsidP="000C3478">
      <w:pPr>
        <w:spacing w:before="720"/>
        <w:rPr>
          <w:szCs w:val="24"/>
        </w:rPr>
      </w:pPr>
      <w:r w:rsidRPr="00D44CF8">
        <w:t>[Nom]</w:t>
      </w:r>
    </w:p>
    <w:p w14:paraId="4E6F764A" w14:textId="77777777" w:rsidR="00036B70" w:rsidRPr="00D44CF8" w:rsidRDefault="00036B70" w:rsidP="00036B70">
      <w:pPr>
        <w:spacing w:before="0"/>
        <w:rPr>
          <w:szCs w:val="24"/>
        </w:rPr>
      </w:pPr>
      <w:r w:rsidRPr="00D44CF8">
        <w:t>[Rôle/titre officiel]</w:t>
      </w:r>
    </w:p>
    <w:p w14:paraId="6872F404" w14:textId="7186C0BB" w:rsidR="00036B70" w:rsidRDefault="00036B70" w:rsidP="00CE37BA">
      <w:pPr>
        <w:spacing w:before="0"/>
      </w:pPr>
      <w:r w:rsidRPr="00D44CF8">
        <w:t>Administration de [État Membre]</w:t>
      </w:r>
    </w:p>
    <w:p w14:paraId="599CABC3" w14:textId="6329100E" w:rsidR="000C3478" w:rsidRPr="00D44CF8" w:rsidRDefault="000C3478" w:rsidP="000C3478">
      <w:pPr>
        <w:spacing w:before="0"/>
        <w:jc w:val="center"/>
        <w:rPr>
          <w:szCs w:val="24"/>
        </w:rPr>
      </w:pPr>
      <w:r>
        <w:t>______________</w:t>
      </w:r>
    </w:p>
    <w:sectPr w:rsidR="000C3478" w:rsidRPr="00D44CF8"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DB03" w14:textId="77777777" w:rsidR="00E05FB8" w:rsidRDefault="00E05FB8">
      <w:r>
        <w:separator/>
      </w:r>
    </w:p>
  </w:endnote>
  <w:endnote w:type="continuationSeparator" w:id="0">
    <w:p w14:paraId="0567280D" w14:textId="77777777" w:rsidR="00E05FB8" w:rsidRDefault="00E0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Malgun Gothic"/>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312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50F5" w14:textId="77777777" w:rsidR="00E05FB8" w:rsidRDefault="00E05FB8">
      <w:r>
        <w:t>____________________</w:t>
      </w:r>
    </w:p>
  </w:footnote>
  <w:footnote w:type="continuationSeparator" w:id="0">
    <w:p w14:paraId="565D9498" w14:textId="77777777" w:rsidR="00E05FB8" w:rsidRDefault="00E0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F68" w14:textId="021D08A5" w:rsidR="00697BC1" w:rsidRDefault="004A62D0"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C684E">
          <w:rPr>
            <w:noProof/>
            <w:sz w:val="18"/>
            <w:szCs w:val="16"/>
          </w:rPr>
          <w:t>7</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7DBF2DCC" w14:textId="1FA71918" w:rsidR="00406878" w:rsidRPr="00697BC1" w:rsidRDefault="00406878" w:rsidP="00697BC1">
    <w:pPr>
      <w:pStyle w:val="Header"/>
      <w:rPr>
        <w:sz w:val="18"/>
        <w:szCs w:val="16"/>
      </w:rPr>
    </w:pPr>
    <w:r w:rsidRPr="000572BA">
      <w:rPr>
        <w:sz w:val="18"/>
        <w:szCs w:val="16"/>
      </w:rPr>
      <w:t xml:space="preserve">Circulaire TSB </w:t>
    </w:r>
    <w:r>
      <w:rPr>
        <w:sz w:val="18"/>
        <w:szCs w:val="16"/>
      </w:rPr>
      <w:t>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BAD3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BA7E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80D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5C7A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60F1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6C58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FAA4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8240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689F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24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num w:numId="1" w16cid:durableId="2069641775">
    <w:abstractNumId w:val="10"/>
  </w:num>
  <w:num w:numId="2" w16cid:durableId="1390836653">
    <w:abstractNumId w:val="9"/>
  </w:num>
  <w:num w:numId="3" w16cid:durableId="1036154545">
    <w:abstractNumId w:val="7"/>
  </w:num>
  <w:num w:numId="4" w16cid:durableId="317808814">
    <w:abstractNumId w:val="6"/>
  </w:num>
  <w:num w:numId="5" w16cid:durableId="721902008">
    <w:abstractNumId w:val="5"/>
  </w:num>
  <w:num w:numId="6" w16cid:durableId="2037002597">
    <w:abstractNumId w:val="4"/>
  </w:num>
  <w:num w:numId="7" w16cid:durableId="413211828">
    <w:abstractNumId w:val="8"/>
  </w:num>
  <w:num w:numId="8" w16cid:durableId="1819416555">
    <w:abstractNumId w:val="3"/>
  </w:num>
  <w:num w:numId="9" w16cid:durableId="72750951">
    <w:abstractNumId w:val="2"/>
  </w:num>
  <w:num w:numId="10" w16cid:durableId="871847834">
    <w:abstractNumId w:val="1"/>
  </w:num>
  <w:num w:numId="11" w16cid:durableId="1581938086">
    <w:abstractNumId w:val="0"/>
  </w:num>
  <w:num w:numId="12" w16cid:durableId="1622957698">
    <w:abstractNumId w:val="9"/>
  </w:num>
  <w:num w:numId="13" w16cid:durableId="1346394821">
    <w:abstractNumId w:val="7"/>
  </w:num>
  <w:num w:numId="14" w16cid:durableId="438910751">
    <w:abstractNumId w:val="6"/>
  </w:num>
  <w:num w:numId="15" w16cid:durableId="404646517">
    <w:abstractNumId w:val="5"/>
  </w:num>
  <w:num w:numId="16" w16cid:durableId="1892618301">
    <w:abstractNumId w:val="4"/>
  </w:num>
  <w:num w:numId="17" w16cid:durableId="1671835248">
    <w:abstractNumId w:val="8"/>
  </w:num>
  <w:num w:numId="18" w16cid:durableId="142503435">
    <w:abstractNumId w:val="3"/>
  </w:num>
  <w:num w:numId="19" w16cid:durableId="613052930">
    <w:abstractNumId w:val="2"/>
  </w:num>
  <w:num w:numId="20" w16cid:durableId="386341656">
    <w:abstractNumId w:val="1"/>
  </w:num>
  <w:num w:numId="21" w16cid:durableId="19459196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B8"/>
    <w:rsid w:val="0000320B"/>
    <w:rsid w:val="000039EE"/>
    <w:rsid w:val="00005622"/>
    <w:rsid w:val="0002519E"/>
    <w:rsid w:val="00035B43"/>
    <w:rsid w:val="00036B70"/>
    <w:rsid w:val="00036F4F"/>
    <w:rsid w:val="000758B3"/>
    <w:rsid w:val="00085F5A"/>
    <w:rsid w:val="000B0D96"/>
    <w:rsid w:val="000B59D8"/>
    <w:rsid w:val="000C1F6B"/>
    <w:rsid w:val="000C25CC"/>
    <w:rsid w:val="000C3478"/>
    <w:rsid w:val="000C56BE"/>
    <w:rsid w:val="000C684E"/>
    <w:rsid w:val="001026FD"/>
    <w:rsid w:val="001077FD"/>
    <w:rsid w:val="00115DD7"/>
    <w:rsid w:val="00167472"/>
    <w:rsid w:val="00167F92"/>
    <w:rsid w:val="00173738"/>
    <w:rsid w:val="001B79A3"/>
    <w:rsid w:val="002152A3"/>
    <w:rsid w:val="0023667A"/>
    <w:rsid w:val="002E395D"/>
    <w:rsid w:val="003131F0"/>
    <w:rsid w:val="00333A80"/>
    <w:rsid w:val="00341117"/>
    <w:rsid w:val="00364E95"/>
    <w:rsid w:val="00372875"/>
    <w:rsid w:val="003B1E80"/>
    <w:rsid w:val="003B66E8"/>
    <w:rsid w:val="003E66AD"/>
    <w:rsid w:val="004033F1"/>
    <w:rsid w:val="00406878"/>
    <w:rsid w:val="00414B0C"/>
    <w:rsid w:val="00423C21"/>
    <w:rsid w:val="004257AC"/>
    <w:rsid w:val="0043711B"/>
    <w:rsid w:val="00445B68"/>
    <w:rsid w:val="00493E87"/>
    <w:rsid w:val="004977C9"/>
    <w:rsid w:val="004A62D0"/>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30CD"/>
    <w:rsid w:val="00697BC1"/>
    <w:rsid w:val="006A6FFE"/>
    <w:rsid w:val="006B6A24"/>
    <w:rsid w:val="006C5A91"/>
    <w:rsid w:val="00716BBC"/>
    <w:rsid w:val="007321BC"/>
    <w:rsid w:val="00760063"/>
    <w:rsid w:val="00775E4B"/>
    <w:rsid w:val="0079553B"/>
    <w:rsid w:val="00795679"/>
    <w:rsid w:val="007A40FE"/>
    <w:rsid w:val="00810105"/>
    <w:rsid w:val="008157E0"/>
    <w:rsid w:val="00850477"/>
    <w:rsid w:val="00854E1D"/>
    <w:rsid w:val="00887FA6"/>
    <w:rsid w:val="008B2FBA"/>
    <w:rsid w:val="008C4397"/>
    <w:rsid w:val="008C465A"/>
    <w:rsid w:val="008F2C9B"/>
    <w:rsid w:val="00923CD6"/>
    <w:rsid w:val="009271E2"/>
    <w:rsid w:val="00935AA8"/>
    <w:rsid w:val="009519B7"/>
    <w:rsid w:val="00971C9A"/>
    <w:rsid w:val="009D51FA"/>
    <w:rsid w:val="009F1E23"/>
    <w:rsid w:val="00A15179"/>
    <w:rsid w:val="00A51537"/>
    <w:rsid w:val="00A5280F"/>
    <w:rsid w:val="00A5645A"/>
    <w:rsid w:val="00A60FC1"/>
    <w:rsid w:val="00A97C37"/>
    <w:rsid w:val="00AA131B"/>
    <w:rsid w:val="00AC37B5"/>
    <w:rsid w:val="00AD752F"/>
    <w:rsid w:val="00AF08A4"/>
    <w:rsid w:val="00B17E03"/>
    <w:rsid w:val="00B27B41"/>
    <w:rsid w:val="00B42659"/>
    <w:rsid w:val="00B52BC8"/>
    <w:rsid w:val="00B8573E"/>
    <w:rsid w:val="00BB24C0"/>
    <w:rsid w:val="00BC4BB1"/>
    <w:rsid w:val="00BD6ECF"/>
    <w:rsid w:val="00BF7CA7"/>
    <w:rsid w:val="00C26F2E"/>
    <w:rsid w:val="00C302E3"/>
    <w:rsid w:val="00C41B89"/>
    <w:rsid w:val="00C45376"/>
    <w:rsid w:val="00C9028F"/>
    <w:rsid w:val="00CA0416"/>
    <w:rsid w:val="00CB1125"/>
    <w:rsid w:val="00CB4E80"/>
    <w:rsid w:val="00CD042E"/>
    <w:rsid w:val="00CE37BA"/>
    <w:rsid w:val="00CF2560"/>
    <w:rsid w:val="00CF5B46"/>
    <w:rsid w:val="00D44CF8"/>
    <w:rsid w:val="00D46B68"/>
    <w:rsid w:val="00D542A5"/>
    <w:rsid w:val="00DC3D47"/>
    <w:rsid w:val="00DD77DA"/>
    <w:rsid w:val="00E05FB8"/>
    <w:rsid w:val="00E06C61"/>
    <w:rsid w:val="00E13DB3"/>
    <w:rsid w:val="00E2408B"/>
    <w:rsid w:val="00E62CEA"/>
    <w:rsid w:val="00E72AE1"/>
    <w:rsid w:val="00E756D0"/>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16E58"/>
  <w15:docId w15:val="{F36DCDF5-BF96-4C03-AEA6-7031AB22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036B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lang w:val="en-GB"/>
    </w:rPr>
  </w:style>
  <w:style w:type="character" w:styleId="CommentReference">
    <w:name w:val="annotation reference"/>
    <w:rsid w:val="00036B70"/>
    <w:rPr>
      <w:sz w:val="16"/>
      <w:szCs w:val="16"/>
    </w:rPr>
  </w:style>
  <w:style w:type="paragraph" w:styleId="CommentText">
    <w:name w:val="annotation text"/>
    <w:basedOn w:val="Normal"/>
    <w:link w:val="CommentTextChar"/>
    <w:rsid w:val="00036B70"/>
    <w:rPr>
      <w:rFonts w:ascii="Calibri" w:eastAsia="Batang" w:hAnsi="Calibri"/>
      <w:sz w:val="20"/>
      <w:lang w:val="en-GB"/>
    </w:rPr>
  </w:style>
  <w:style w:type="character" w:customStyle="1" w:styleId="CommentTextChar">
    <w:name w:val="Comment Text Char"/>
    <w:basedOn w:val="DefaultParagraphFont"/>
    <w:link w:val="CommentText"/>
    <w:rsid w:val="00036B70"/>
    <w:rPr>
      <w:rFonts w:ascii="Calibri" w:eastAsia="Batang" w:hAnsi="Calibri"/>
      <w:lang w:val="en-GB" w:eastAsia="en-US"/>
    </w:rPr>
  </w:style>
  <w:style w:type="character" w:customStyle="1" w:styleId="UnresolvedMention1">
    <w:name w:val="Unresolved Mention1"/>
    <w:basedOn w:val="DefaultParagraphFont"/>
    <w:uiPriority w:val="99"/>
    <w:semiHidden/>
    <w:unhideWhenUsed/>
    <w:rsid w:val="0000320B"/>
    <w:rPr>
      <w:color w:val="605E5C"/>
      <w:shd w:val="clear" w:color="auto" w:fill="E1DFDD"/>
    </w:rPr>
  </w:style>
  <w:style w:type="character" w:styleId="FollowedHyperlink">
    <w:name w:val="FollowedHyperlink"/>
    <w:basedOn w:val="DefaultParagraphFont"/>
    <w:semiHidden/>
    <w:unhideWhenUsed/>
    <w:rsid w:val="0000320B"/>
    <w:rPr>
      <w:color w:val="800080" w:themeColor="followedHyperlink"/>
      <w:u w:val="single"/>
    </w:rPr>
  </w:style>
  <w:style w:type="character" w:customStyle="1" w:styleId="BodyTextChar">
    <w:name w:val="Body Text Char"/>
    <w:basedOn w:val="DefaultParagraphFont"/>
    <w:link w:val="BodyText"/>
    <w:rsid w:val="0000320B"/>
    <w:rPr>
      <w:rFonts w:asciiTheme="minorHAnsi" w:hAnsiTheme="minorHAnsi"/>
      <w:sz w:val="24"/>
      <w:lang w:val="fr-FR" w:eastAsia="en-US"/>
    </w:rPr>
  </w:style>
  <w:style w:type="paragraph" w:customStyle="1" w:styleId="Reasons">
    <w:name w:val="Reasons"/>
    <w:basedOn w:val="Normal"/>
    <w:qFormat/>
    <w:rsid w:val="000C347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05/fr" TargetMode="External"/><Relationship Id="rId18" Type="http://schemas.openxmlformats.org/officeDocument/2006/relationships/hyperlink" Target="https://www.itu.int/md/T22-SG20-R-0010/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20-R-0009/fr" TargetMode="External"/><Relationship Id="rId2" Type="http://schemas.openxmlformats.org/officeDocument/2006/relationships/numbering" Target="numbering.xml"/><Relationship Id="rId16" Type="http://schemas.openxmlformats.org/officeDocument/2006/relationships/hyperlink" Target="https://www.itu.int/md/T22-SG20-R-0008/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ipr/Pages/default.aspx" TargetMode="External"/><Relationship Id="rId5" Type="http://schemas.openxmlformats.org/officeDocument/2006/relationships/webSettings" Target="webSettings.xml"/><Relationship Id="rId15" Type="http://schemas.openxmlformats.org/officeDocument/2006/relationships/hyperlink" Target="https://www.itu.int/md/T22-SG20-R-0007/fr" TargetMode="External"/><Relationship Id="rId23" Type="http://schemas.openxmlformats.org/officeDocument/2006/relationships/theme" Target="theme/theme1.xml"/><Relationship Id="rId10" Type="http://schemas.openxmlformats.org/officeDocument/2006/relationships/hyperlink" Target="https://www.itu.int/md/T22-SG20-COL-0003/fr"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06/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8FDC-66EF-45A5-9994-005FCF47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97</TotalTime>
  <Pages>7</Pages>
  <Words>2420</Words>
  <Characters>14809</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UNION INTERNATIONALE DES TÉLÉCOMMUNICATIONS</vt:lpstr>
      <vt:lpstr>1	Projet de nouvelle Recommandation UIT-T Y.4221 (ex Y.ElecMon-Reqts): [R5]</vt:lpstr>
      <vt:lpstr>2	Projet de nouvelle Recommandation UIT-T Y.4222 (ex Y.smart-evacuation): [R6]</vt:lpstr>
      <vt:lpstr>3	Projet de nouvelle Recommandation UIT-T Y.4223 (ex Y.SCC-Reqts): [R7]</vt:lpstr>
      <vt:lpstr>4	Projet de nouvelle Recommandation UIT-T Y.4487 (ex Y.RMDFS-arch): [R8]</vt:lpstr>
      <vt:lpstr>5	Projet de nouvelle Recommandation UIT-T Y.4488 (ex Y.IoT-SPWE): [R9]</vt:lpstr>
      <vt:lpstr>6	Projet de nouvelle Recommandation UIT-T Y.4604 (ex Y.IoT-MCSI): [R10]</vt:lpstr>
    </vt:vector>
  </TitlesOfParts>
  <Company>ITU</Company>
  <LinksUpToDate>false</LinksUpToDate>
  <CharactersWithSpaces>17195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FrenchVS</dc:creator>
  <cp:lastModifiedBy>Braud, Olivia</cp:lastModifiedBy>
  <cp:revision>12</cp:revision>
  <cp:lastPrinted>2023-08-01T09:28:00Z</cp:lastPrinted>
  <dcterms:created xsi:type="dcterms:W3CDTF">2023-05-22T12:10:00Z</dcterms:created>
  <dcterms:modified xsi:type="dcterms:W3CDTF">2023-08-01T09:29:00Z</dcterms:modified>
</cp:coreProperties>
</file>