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3402"/>
        <w:gridCol w:w="3119"/>
        <w:gridCol w:w="1984"/>
      </w:tblGrid>
      <w:tr w:rsidR="00B21D62" w:rsidRPr="00AB3F26" w14:paraId="1D9AF2CE" w14:textId="77777777" w:rsidTr="00F4296B">
        <w:trPr>
          <w:trHeight w:val="1282"/>
        </w:trPr>
        <w:tc>
          <w:tcPr>
            <w:tcW w:w="1276" w:type="dxa"/>
            <w:shd w:val="clear" w:color="auto" w:fill="auto"/>
            <w:tcMar>
              <w:left w:w="0" w:type="dxa"/>
              <w:right w:w="0" w:type="dxa"/>
            </w:tcMar>
            <w:vAlign w:val="center"/>
          </w:tcPr>
          <w:p w14:paraId="03D3C090" w14:textId="77777777" w:rsidR="00B21D62" w:rsidRPr="00AB3F26" w:rsidRDefault="00B21D62" w:rsidP="00CC5BC4">
            <w:pPr>
              <w:pStyle w:val="Tabletext0"/>
              <w:jc w:val="center"/>
            </w:pPr>
            <w:r w:rsidRPr="00AB3F26">
              <w:rPr>
                <w:noProof/>
                <w:lang w:eastAsia="es-ES"/>
              </w:rPr>
              <w:drawing>
                <wp:inline distT="0" distB="0" distL="0" distR="0" wp14:anchorId="35FCBCF5" wp14:editId="3BE9D58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8F0204" w14:textId="77777777" w:rsidR="00B21D62" w:rsidRPr="00AB3F26" w:rsidRDefault="00B21D62" w:rsidP="00CC5BC4">
            <w:pPr>
              <w:spacing w:before="0"/>
              <w:rPr>
                <w:rFonts w:cs="Times New Roman Bold"/>
                <w:b/>
                <w:bCs/>
                <w:iCs/>
                <w:smallCaps/>
                <w:sz w:val="34"/>
                <w:szCs w:val="34"/>
              </w:rPr>
            </w:pPr>
            <w:r w:rsidRPr="00AB3F26">
              <w:rPr>
                <w:rFonts w:cs="Times New Roman Bold"/>
                <w:b/>
                <w:bCs/>
                <w:iCs/>
                <w:smallCaps/>
                <w:sz w:val="34"/>
                <w:szCs w:val="34"/>
              </w:rPr>
              <w:t>Unión Internacional de Telecomunicaciones</w:t>
            </w:r>
          </w:p>
          <w:p w14:paraId="224D4C04" w14:textId="77777777" w:rsidR="00B21D62" w:rsidRPr="00AB3F26" w:rsidRDefault="00B21D62" w:rsidP="00CC5BC4">
            <w:pPr>
              <w:spacing w:before="0"/>
              <w:rPr>
                <w:rFonts w:ascii="Verdana" w:hAnsi="Verdana"/>
                <w:color w:val="FFFFFF"/>
                <w:sz w:val="26"/>
                <w:szCs w:val="26"/>
              </w:rPr>
            </w:pPr>
            <w:r w:rsidRPr="00AB3F26">
              <w:rPr>
                <w:rFonts w:cs="Times New Roman Bold"/>
                <w:b/>
                <w:bCs/>
                <w:iCs/>
                <w:smallCaps/>
                <w:sz w:val="28"/>
                <w:szCs w:val="28"/>
              </w:rPr>
              <w:t>Oficina de Normalización de las Telecomunicaciones</w:t>
            </w:r>
          </w:p>
        </w:tc>
        <w:tc>
          <w:tcPr>
            <w:tcW w:w="1984" w:type="dxa"/>
            <w:shd w:val="clear" w:color="auto" w:fill="auto"/>
            <w:vAlign w:val="center"/>
          </w:tcPr>
          <w:p w14:paraId="0A69F2F9" w14:textId="77777777" w:rsidR="00B21D62" w:rsidRPr="00AB3F26" w:rsidRDefault="00B21D62" w:rsidP="00CC5BC4">
            <w:pPr>
              <w:spacing w:before="0"/>
              <w:jc w:val="right"/>
              <w:rPr>
                <w:rFonts w:ascii="Verdana" w:hAnsi="Verdana"/>
                <w:color w:val="FFFFFF"/>
                <w:sz w:val="26"/>
                <w:szCs w:val="26"/>
              </w:rPr>
            </w:pPr>
          </w:p>
        </w:tc>
      </w:tr>
      <w:tr w:rsidR="00B21D62" w:rsidRPr="00AB3F26" w14:paraId="1A73F673" w14:textId="77777777" w:rsidTr="00F4296B">
        <w:trPr>
          <w:cantSplit/>
          <w:trHeight w:val="782"/>
        </w:trPr>
        <w:tc>
          <w:tcPr>
            <w:tcW w:w="4678" w:type="dxa"/>
            <w:gridSpan w:val="2"/>
            <w:vAlign w:val="center"/>
          </w:tcPr>
          <w:p w14:paraId="5C619317" w14:textId="7607CC6D" w:rsidR="00B21D62" w:rsidRPr="00AB3F26" w:rsidRDefault="00B21D62">
            <w:pPr>
              <w:pStyle w:val="Tabletext0"/>
              <w:jc w:val="right"/>
            </w:pPr>
          </w:p>
        </w:tc>
        <w:tc>
          <w:tcPr>
            <w:tcW w:w="5103" w:type="dxa"/>
            <w:gridSpan w:val="2"/>
            <w:vAlign w:val="center"/>
          </w:tcPr>
          <w:p w14:paraId="2654B36C" w14:textId="77777777" w:rsidR="00B21D62" w:rsidRPr="00AB3F26" w:rsidRDefault="00B21D62" w:rsidP="009779A8">
            <w:pPr>
              <w:pStyle w:val="Tabletext0"/>
              <w:spacing w:before="120" w:after="120"/>
            </w:pPr>
            <w:r w:rsidRPr="00AB3F26">
              <w:t>Ginebra, 17 de mayo de 2023</w:t>
            </w:r>
          </w:p>
        </w:tc>
      </w:tr>
      <w:tr w:rsidR="00B21D62" w:rsidRPr="00222369" w14:paraId="0FD80B85" w14:textId="77777777" w:rsidTr="00F4296B">
        <w:trPr>
          <w:cantSplit/>
          <w:trHeight w:val="746"/>
        </w:trPr>
        <w:tc>
          <w:tcPr>
            <w:tcW w:w="1276" w:type="dxa"/>
          </w:tcPr>
          <w:p w14:paraId="6DC266CD" w14:textId="77777777" w:rsidR="00B21D62" w:rsidRPr="00222369" w:rsidRDefault="00B21D62" w:rsidP="008A58B3">
            <w:pPr>
              <w:pStyle w:val="Tabletext0"/>
              <w:rPr>
                <w:szCs w:val="22"/>
              </w:rPr>
            </w:pPr>
            <w:r w:rsidRPr="00222369">
              <w:rPr>
                <w:b/>
                <w:szCs w:val="22"/>
              </w:rPr>
              <w:t>Ref.:</w:t>
            </w:r>
          </w:p>
        </w:tc>
        <w:tc>
          <w:tcPr>
            <w:tcW w:w="3402" w:type="dxa"/>
          </w:tcPr>
          <w:p w14:paraId="55EEBC2F" w14:textId="77777777" w:rsidR="00B21D62" w:rsidRPr="00222369" w:rsidRDefault="00B21D62" w:rsidP="008A58B3">
            <w:pPr>
              <w:pStyle w:val="Tabletext0"/>
              <w:rPr>
                <w:b/>
                <w:bCs/>
                <w:szCs w:val="22"/>
              </w:rPr>
            </w:pPr>
            <w:r w:rsidRPr="00222369">
              <w:rPr>
                <w:b/>
                <w:bCs/>
                <w:szCs w:val="22"/>
              </w:rPr>
              <w:t>Circular TSB 100</w:t>
            </w:r>
          </w:p>
          <w:p w14:paraId="42B63EB3" w14:textId="05185398" w:rsidR="00B21D62" w:rsidRPr="00222369" w:rsidRDefault="00B21D62" w:rsidP="008A58B3">
            <w:pPr>
              <w:pStyle w:val="Tabletext0"/>
              <w:rPr>
                <w:szCs w:val="22"/>
              </w:rPr>
            </w:pPr>
            <w:r w:rsidRPr="00222369">
              <w:rPr>
                <w:szCs w:val="22"/>
              </w:rPr>
              <w:t>CE 15/HO</w:t>
            </w:r>
          </w:p>
        </w:tc>
        <w:tc>
          <w:tcPr>
            <w:tcW w:w="5103" w:type="dxa"/>
            <w:gridSpan w:val="2"/>
            <w:vMerge w:val="restart"/>
          </w:tcPr>
          <w:p w14:paraId="64903AE2" w14:textId="77777777" w:rsidR="00B21D62" w:rsidRPr="00222369" w:rsidRDefault="00B21D62" w:rsidP="008A58B3">
            <w:pPr>
              <w:pStyle w:val="Tabletext0"/>
              <w:rPr>
                <w:szCs w:val="22"/>
              </w:rPr>
            </w:pPr>
            <w:r w:rsidRPr="00222369">
              <w:rPr>
                <w:b/>
                <w:szCs w:val="22"/>
              </w:rPr>
              <w:t>A:</w:t>
            </w:r>
          </w:p>
          <w:p w14:paraId="0C2FD27C" w14:textId="77777777" w:rsidR="00B21D62" w:rsidRPr="00222369" w:rsidRDefault="00B21D62" w:rsidP="008A58B3">
            <w:pPr>
              <w:pStyle w:val="Tabletext0"/>
              <w:ind w:left="283" w:hanging="283"/>
              <w:rPr>
                <w:szCs w:val="22"/>
              </w:rPr>
            </w:pPr>
            <w:r w:rsidRPr="00222369">
              <w:rPr>
                <w:szCs w:val="22"/>
              </w:rPr>
              <w:t>-</w:t>
            </w:r>
            <w:r w:rsidRPr="00222369">
              <w:rPr>
                <w:szCs w:val="22"/>
              </w:rPr>
              <w:tab/>
              <w:t>las Administraciones de los Estados Miembros de la Unión;</w:t>
            </w:r>
          </w:p>
          <w:p w14:paraId="21AAA57B" w14:textId="77777777" w:rsidR="00B21D62" w:rsidRPr="00222369" w:rsidRDefault="00B21D62" w:rsidP="008A58B3">
            <w:pPr>
              <w:pStyle w:val="Tabletext0"/>
              <w:ind w:left="283" w:hanging="283"/>
              <w:rPr>
                <w:szCs w:val="22"/>
              </w:rPr>
            </w:pPr>
            <w:r w:rsidRPr="00222369">
              <w:rPr>
                <w:szCs w:val="22"/>
              </w:rPr>
              <w:t>-</w:t>
            </w:r>
            <w:r w:rsidRPr="00222369">
              <w:rPr>
                <w:szCs w:val="22"/>
              </w:rPr>
              <w:tab/>
              <w:t>los Miembros de Sector del UIT-T;</w:t>
            </w:r>
          </w:p>
          <w:p w14:paraId="2A9B2FA2" w14:textId="282A2163" w:rsidR="00B21D62" w:rsidRPr="00222369" w:rsidRDefault="00B21D62" w:rsidP="008A58B3">
            <w:pPr>
              <w:pStyle w:val="Tabletext0"/>
              <w:ind w:left="283" w:hanging="283"/>
              <w:rPr>
                <w:szCs w:val="22"/>
              </w:rPr>
            </w:pPr>
            <w:r w:rsidRPr="00222369">
              <w:rPr>
                <w:szCs w:val="22"/>
              </w:rPr>
              <w:t>-</w:t>
            </w:r>
            <w:r w:rsidRPr="00222369">
              <w:rPr>
                <w:szCs w:val="22"/>
              </w:rPr>
              <w:tab/>
              <w:t>los Asociados de la Comisión de Estudio 15 del UIT</w:t>
            </w:r>
            <w:r w:rsidRPr="00222369">
              <w:rPr>
                <w:szCs w:val="22"/>
              </w:rPr>
              <w:noBreakHyphen/>
              <w:t>T;</w:t>
            </w:r>
          </w:p>
          <w:p w14:paraId="1E7F2C6D" w14:textId="77777777" w:rsidR="00B21D62" w:rsidRPr="00222369" w:rsidRDefault="00B21D62" w:rsidP="008A58B3">
            <w:pPr>
              <w:pStyle w:val="Tabletext0"/>
              <w:ind w:left="283" w:hanging="283"/>
              <w:rPr>
                <w:szCs w:val="22"/>
              </w:rPr>
            </w:pPr>
            <w:r w:rsidRPr="00222369">
              <w:rPr>
                <w:szCs w:val="22"/>
              </w:rPr>
              <w:t>-</w:t>
            </w:r>
            <w:r w:rsidRPr="00222369">
              <w:rPr>
                <w:szCs w:val="22"/>
              </w:rPr>
              <w:tab/>
              <w:t>las Instituciones Académicas de la UIT</w:t>
            </w:r>
          </w:p>
        </w:tc>
      </w:tr>
      <w:tr w:rsidR="00B21D62" w:rsidRPr="00222369" w14:paraId="27A651E4" w14:textId="77777777" w:rsidTr="00F4296B">
        <w:trPr>
          <w:cantSplit/>
          <w:trHeight w:val="221"/>
        </w:trPr>
        <w:tc>
          <w:tcPr>
            <w:tcW w:w="1276" w:type="dxa"/>
          </w:tcPr>
          <w:p w14:paraId="6E3EB073" w14:textId="77777777" w:rsidR="00B21D62" w:rsidRPr="00222369" w:rsidRDefault="00B21D62" w:rsidP="008A58B3">
            <w:pPr>
              <w:pStyle w:val="Tabletext0"/>
              <w:rPr>
                <w:szCs w:val="22"/>
              </w:rPr>
            </w:pPr>
            <w:r w:rsidRPr="00222369">
              <w:rPr>
                <w:b/>
                <w:szCs w:val="22"/>
              </w:rPr>
              <w:t>Tel.:</w:t>
            </w:r>
          </w:p>
        </w:tc>
        <w:tc>
          <w:tcPr>
            <w:tcW w:w="3402" w:type="dxa"/>
          </w:tcPr>
          <w:p w14:paraId="76042263" w14:textId="77777777" w:rsidR="00B21D62" w:rsidRPr="00222369" w:rsidRDefault="00B21D62" w:rsidP="008A58B3">
            <w:pPr>
              <w:pStyle w:val="Tabletext0"/>
              <w:rPr>
                <w:b/>
                <w:szCs w:val="22"/>
              </w:rPr>
            </w:pPr>
            <w:r w:rsidRPr="00222369">
              <w:rPr>
                <w:szCs w:val="22"/>
              </w:rPr>
              <w:t>+41 22 730 6356</w:t>
            </w:r>
          </w:p>
        </w:tc>
        <w:tc>
          <w:tcPr>
            <w:tcW w:w="5103" w:type="dxa"/>
            <w:gridSpan w:val="2"/>
            <w:vMerge/>
          </w:tcPr>
          <w:p w14:paraId="17A81E7D" w14:textId="77777777" w:rsidR="00B21D62" w:rsidRPr="00222369" w:rsidRDefault="00B21D62" w:rsidP="008A58B3">
            <w:pPr>
              <w:pStyle w:val="Tabletext0"/>
              <w:ind w:left="142" w:hanging="142"/>
              <w:rPr>
                <w:szCs w:val="22"/>
              </w:rPr>
            </w:pPr>
          </w:p>
        </w:tc>
      </w:tr>
      <w:tr w:rsidR="00B21D62" w:rsidRPr="00222369" w14:paraId="38054A43" w14:textId="77777777" w:rsidTr="00F4296B">
        <w:trPr>
          <w:cantSplit/>
          <w:trHeight w:val="282"/>
        </w:trPr>
        <w:tc>
          <w:tcPr>
            <w:tcW w:w="1276" w:type="dxa"/>
          </w:tcPr>
          <w:p w14:paraId="32A05F50" w14:textId="77777777" w:rsidR="00B21D62" w:rsidRPr="00222369" w:rsidRDefault="00B21D62" w:rsidP="008A58B3">
            <w:pPr>
              <w:pStyle w:val="Tabletext0"/>
              <w:rPr>
                <w:szCs w:val="22"/>
              </w:rPr>
            </w:pPr>
            <w:r w:rsidRPr="00222369">
              <w:rPr>
                <w:b/>
                <w:szCs w:val="22"/>
              </w:rPr>
              <w:t>Fax:</w:t>
            </w:r>
          </w:p>
        </w:tc>
        <w:tc>
          <w:tcPr>
            <w:tcW w:w="3402" w:type="dxa"/>
          </w:tcPr>
          <w:p w14:paraId="4D753E7A" w14:textId="77777777" w:rsidR="00B21D62" w:rsidRPr="00222369" w:rsidRDefault="00B21D62" w:rsidP="008A58B3">
            <w:pPr>
              <w:pStyle w:val="Tabletext0"/>
              <w:rPr>
                <w:b/>
                <w:szCs w:val="22"/>
              </w:rPr>
            </w:pPr>
            <w:r w:rsidRPr="00222369">
              <w:rPr>
                <w:szCs w:val="22"/>
              </w:rPr>
              <w:t>+41 22 730 5853</w:t>
            </w:r>
          </w:p>
        </w:tc>
        <w:tc>
          <w:tcPr>
            <w:tcW w:w="5103" w:type="dxa"/>
            <w:gridSpan w:val="2"/>
            <w:vMerge/>
          </w:tcPr>
          <w:p w14:paraId="25EAB3ED" w14:textId="77777777" w:rsidR="00B21D62" w:rsidRPr="00222369" w:rsidRDefault="00B21D62" w:rsidP="008A58B3">
            <w:pPr>
              <w:pStyle w:val="Tabletext0"/>
              <w:ind w:left="142" w:hanging="142"/>
              <w:rPr>
                <w:szCs w:val="22"/>
              </w:rPr>
            </w:pPr>
          </w:p>
        </w:tc>
      </w:tr>
      <w:tr w:rsidR="00B21D62" w:rsidRPr="00222369" w14:paraId="2472D8AF" w14:textId="77777777" w:rsidTr="00F4296B">
        <w:trPr>
          <w:cantSplit/>
          <w:trHeight w:val="1982"/>
        </w:trPr>
        <w:tc>
          <w:tcPr>
            <w:tcW w:w="1276" w:type="dxa"/>
          </w:tcPr>
          <w:p w14:paraId="3DFECAE6" w14:textId="77777777" w:rsidR="00B21D62" w:rsidRPr="00222369" w:rsidRDefault="00B21D62" w:rsidP="008A58B3">
            <w:pPr>
              <w:pStyle w:val="Tabletext0"/>
              <w:rPr>
                <w:szCs w:val="22"/>
              </w:rPr>
            </w:pPr>
            <w:r w:rsidRPr="00222369">
              <w:rPr>
                <w:b/>
                <w:szCs w:val="22"/>
              </w:rPr>
              <w:t>Correo-e:</w:t>
            </w:r>
          </w:p>
        </w:tc>
        <w:tc>
          <w:tcPr>
            <w:tcW w:w="3402" w:type="dxa"/>
          </w:tcPr>
          <w:p w14:paraId="72BABC3C" w14:textId="72692477" w:rsidR="00B21D62" w:rsidRPr="00222369" w:rsidRDefault="00E80D01" w:rsidP="008A58B3">
            <w:pPr>
              <w:pStyle w:val="Tabletext0"/>
              <w:rPr>
                <w:szCs w:val="22"/>
              </w:rPr>
            </w:pPr>
            <w:hyperlink r:id="rId9" w:history="1">
              <w:r w:rsidR="00B21D62" w:rsidRPr="00222369">
                <w:rPr>
                  <w:rStyle w:val="Hyperlink"/>
                  <w:szCs w:val="22"/>
                </w:rPr>
                <w:t>tsbsg15@itu.int</w:t>
              </w:r>
            </w:hyperlink>
            <w:r w:rsidR="00B21D62" w:rsidRPr="00222369">
              <w:rPr>
                <w:szCs w:val="22"/>
              </w:rPr>
              <w:t xml:space="preserve"> </w:t>
            </w:r>
          </w:p>
        </w:tc>
        <w:tc>
          <w:tcPr>
            <w:tcW w:w="5103" w:type="dxa"/>
            <w:gridSpan w:val="2"/>
          </w:tcPr>
          <w:p w14:paraId="00D42C1B" w14:textId="77777777" w:rsidR="00B21D62" w:rsidRPr="00222369" w:rsidRDefault="00B21D62" w:rsidP="008A58B3">
            <w:pPr>
              <w:pStyle w:val="Tabletext0"/>
              <w:rPr>
                <w:szCs w:val="22"/>
              </w:rPr>
            </w:pPr>
            <w:r w:rsidRPr="00222369">
              <w:rPr>
                <w:b/>
                <w:szCs w:val="22"/>
              </w:rPr>
              <w:t>Copia a:</w:t>
            </w:r>
          </w:p>
          <w:p w14:paraId="66ACC745" w14:textId="77777777" w:rsidR="00B21D62" w:rsidRPr="00222369" w:rsidRDefault="00B21D62" w:rsidP="008A58B3">
            <w:pPr>
              <w:pStyle w:val="Tabletext0"/>
              <w:ind w:left="283" w:hanging="283"/>
              <w:rPr>
                <w:szCs w:val="22"/>
              </w:rPr>
            </w:pPr>
            <w:r w:rsidRPr="00222369">
              <w:rPr>
                <w:szCs w:val="22"/>
              </w:rPr>
              <w:t>-</w:t>
            </w:r>
            <w:r w:rsidRPr="00222369">
              <w:rPr>
                <w:szCs w:val="22"/>
              </w:rPr>
              <w:tab/>
              <w:t xml:space="preserve">el </w:t>
            </w:r>
            <w:proofErr w:type="gramStart"/>
            <w:r w:rsidRPr="00222369">
              <w:rPr>
                <w:szCs w:val="22"/>
              </w:rPr>
              <w:t>Presidente</w:t>
            </w:r>
            <w:proofErr w:type="gramEnd"/>
            <w:r w:rsidRPr="00222369">
              <w:rPr>
                <w:szCs w:val="22"/>
              </w:rPr>
              <w:t xml:space="preserve"> y los Vicepresidentes de la Comisión de Estudio 15 del UIT-T;</w:t>
            </w:r>
          </w:p>
          <w:p w14:paraId="0D659C81" w14:textId="77777777" w:rsidR="00B21D62" w:rsidRPr="00222369" w:rsidRDefault="00B21D62" w:rsidP="008A58B3">
            <w:pPr>
              <w:pStyle w:val="Tabletext0"/>
              <w:ind w:left="283" w:hanging="283"/>
              <w:rPr>
                <w:szCs w:val="22"/>
              </w:rPr>
            </w:pPr>
            <w:r w:rsidRPr="00222369">
              <w:rPr>
                <w:szCs w:val="22"/>
              </w:rPr>
              <w:t>-</w:t>
            </w:r>
            <w:r w:rsidRPr="00222369">
              <w:rPr>
                <w:szCs w:val="22"/>
              </w:rPr>
              <w:tab/>
              <w:t xml:space="preserve">el </w:t>
            </w:r>
            <w:proofErr w:type="gramStart"/>
            <w:r w:rsidRPr="00222369">
              <w:rPr>
                <w:szCs w:val="22"/>
              </w:rPr>
              <w:t>Director</w:t>
            </w:r>
            <w:proofErr w:type="gramEnd"/>
            <w:r w:rsidRPr="00222369">
              <w:rPr>
                <w:szCs w:val="22"/>
              </w:rPr>
              <w:t xml:space="preserve"> de la Oficina de Desarrollo de las Telecomunicaciones;</w:t>
            </w:r>
          </w:p>
          <w:p w14:paraId="0E31B82A" w14:textId="77777777" w:rsidR="00B21D62" w:rsidRPr="00222369" w:rsidRDefault="00B21D62" w:rsidP="008A58B3">
            <w:pPr>
              <w:pStyle w:val="Tabletext0"/>
              <w:ind w:left="283" w:hanging="283"/>
              <w:rPr>
                <w:szCs w:val="22"/>
              </w:rPr>
            </w:pPr>
            <w:r w:rsidRPr="00222369">
              <w:rPr>
                <w:szCs w:val="22"/>
              </w:rPr>
              <w:t>-</w:t>
            </w:r>
            <w:r w:rsidRPr="00222369">
              <w:rPr>
                <w:szCs w:val="22"/>
              </w:rPr>
              <w:tab/>
              <w:t xml:space="preserve">el </w:t>
            </w:r>
            <w:proofErr w:type="gramStart"/>
            <w:r w:rsidRPr="00222369">
              <w:rPr>
                <w:szCs w:val="22"/>
              </w:rPr>
              <w:t>Director</w:t>
            </w:r>
            <w:proofErr w:type="gramEnd"/>
            <w:r w:rsidRPr="00222369">
              <w:rPr>
                <w:szCs w:val="22"/>
              </w:rPr>
              <w:t xml:space="preserve"> de la Oficina de Radiocomunicaciones</w:t>
            </w:r>
          </w:p>
        </w:tc>
      </w:tr>
      <w:tr w:rsidR="00B21D62" w:rsidRPr="00222369" w14:paraId="66E2728B" w14:textId="77777777" w:rsidTr="00F4296B">
        <w:trPr>
          <w:cantSplit/>
          <w:trHeight w:val="618"/>
        </w:trPr>
        <w:tc>
          <w:tcPr>
            <w:tcW w:w="1276" w:type="dxa"/>
          </w:tcPr>
          <w:p w14:paraId="64EF789B" w14:textId="77777777" w:rsidR="00B21D62" w:rsidRPr="00222369" w:rsidRDefault="00B21D62">
            <w:pPr>
              <w:pStyle w:val="Tabletext0"/>
              <w:rPr>
                <w:szCs w:val="22"/>
              </w:rPr>
            </w:pPr>
            <w:r w:rsidRPr="00222369">
              <w:rPr>
                <w:b/>
                <w:szCs w:val="22"/>
              </w:rPr>
              <w:t>Asunto:</w:t>
            </w:r>
          </w:p>
        </w:tc>
        <w:tc>
          <w:tcPr>
            <w:tcW w:w="8505" w:type="dxa"/>
            <w:gridSpan w:val="3"/>
          </w:tcPr>
          <w:p w14:paraId="51F2B3A4" w14:textId="5FE1F22E" w:rsidR="00B21D62" w:rsidRPr="00222369" w:rsidRDefault="00B21D62" w:rsidP="00CC5BC4">
            <w:pPr>
              <w:pStyle w:val="Tabletext0"/>
              <w:rPr>
                <w:szCs w:val="22"/>
              </w:rPr>
            </w:pPr>
            <w:r w:rsidRPr="00222369">
              <w:rPr>
                <w:b/>
                <w:szCs w:val="22"/>
              </w:rPr>
              <w:t>Situación de la Recomendación UIT-T G.9901 (2017) – Enm.1, tras la reunión de la Comisión de Estudio 15 del UIT-T (Ginebra, 17-28 de abril de 2023)</w:t>
            </w:r>
          </w:p>
        </w:tc>
      </w:tr>
    </w:tbl>
    <w:p w14:paraId="185121C7" w14:textId="52B83C04" w:rsidR="00B21D62" w:rsidRPr="00222369" w:rsidRDefault="00B21D62">
      <w:pPr>
        <w:rPr>
          <w:sz w:val="22"/>
          <w:szCs w:val="22"/>
        </w:rPr>
      </w:pPr>
      <w:r w:rsidRPr="00222369">
        <w:rPr>
          <w:sz w:val="22"/>
          <w:szCs w:val="22"/>
        </w:rPr>
        <w:t>Muy Señora mía/Muy Señor mío</w:t>
      </w:r>
      <w:r w:rsidR="00222369">
        <w:rPr>
          <w:sz w:val="22"/>
          <w:szCs w:val="22"/>
        </w:rPr>
        <w:t>,</w:t>
      </w:r>
    </w:p>
    <w:p w14:paraId="7B899C9E" w14:textId="31DFB552" w:rsidR="00B21D62" w:rsidRPr="00222369" w:rsidRDefault="00B21D62" w:rsidP="008A58B3">
      <w:pPr>
        <w:spacing w:after="120"/>
        <w:rPr>
          <w:sz w:val="22"/>
          <w:szCs w:val="22"/>
        </w:rPr>
      </w:pPr>
      <w:r w:rsidRPr="00222369">
        <w:rPr>
          <w:bCs/>
          <w:sz w:val="22"/>
          <w:szCs w:val="22"/>
        </w:rPr>
        <w:t>1</w:t>
      </w:r>
      <w:r w:rsidRPr="00222369">
        <w:rPr>
          <w:sz w:val="22"/>
          <w:szCs w:val="22"/>
        </w:rPr>
        <w:tab/>
      </w:r>
      <w:proofErr w:type="gramStart"/>
      <w:r w:rsidRPr="00222369">
        <w:rPr>
          <w:sz w:val="22"/>
          <w:szCs w:val="22"/>
        </w:rPr>
        <w:t>En</w:t>
      </w:r>
      <w:proofErr w:type="gramEnd"/>
      <w:r w:rsidRPr="00222369">
        <w:rPr>
          <w:sz w:val="22"/>
          <w:szCs w:val="22"/>
        </w:rPr>
        <w:t xml:space="preserve"> relación con la Circular TSB 51, de 2 de noviembre de 2022, y con arreglo a lo dispuesto en el §</w:t>
      </w:r>
      <w:r w:rsidR="00222369">
        <w:rPr>
          <w:sz w:val="22"/>
          <w:szCs w:val="22"/>
        </w:rPr>
        <w:t> </w:t>
      </w:r>
      <w:r w:rsidRPr="00222369">
        <w:rPr>
          <w:sz w:val="22"/>
          <w:szCs w:val="22"/>
        </w:rPr>
        <w:t>9.5 de la Resolución 1 (Rev. Ginebra, 2022), por la presente le informo de que la Comisión de Estudio 15 adoptó la siguiente decisión en su sesión plenaria, celebrada el 28 de abril de 2023, respecto del proyecto de texto del UIT-T que figura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166"/>
        <w:gridCol w:w="1820"/>
      </w:tblGrid>
      <w:tr w:rsidR="00B21D62" w:rsidRPr="00AB3F26" w14:paraId="5F5DFCB9" w14:textId="77777777" w:rsidTr="004A217B">
        <w:trPr>
          <w:cantSplit/>
          <w:tblHeader/>
          <w:jc w:val="center"/>
        </w:trPr>
        <w:tc>
          <w:tcPr>
            <w:tcW w:w="1653" w:type="dxa"/>
            <w:vAlign w:val="center"/>
          </w:tcPr>
          <w:p w14:paraId="694A449E" w14:textId="77777777" w:rsidR="00B21D62" w:rsidRPr="00AB3F26" w:rsidRDefault="00B21D62" w:rsidP="00EF6912">
            <w:pPr>
              <w:pStyle w:val="Tablehead0"/>
            </w:pPr>
            <w:r w:rsidRPr="00AB3F26">
              <w:rPr>
                <w:szCs w:val="22"/>
              </w:rPr>
              <w:t>Número</w:t>
            </w:r>
          </w:p>
        </w:tc>
        <w:tc>
          <w:tcPr>
            <w:tcW w:w="6235" w:type="dxa"/>
            <w:vAlign w:val="center"/>
          </w:tcPr>
          <w:p w14:paraId="61375EE7" w14:textId="77777777" w:rsidR="00B21D62" w:rsidRPr="00AB3F26" w:rsidRDefault="00B21D62" w:rsidP="00EF6912">
            <w:pPr>
              <w:pStyle w:val="Tablehead0"/>
            </w:pPr>
            <w:r w:rsidRPr="00AB3F26">
              <w:rPr>
                <w:szCs w:val="22"/>
              </w:rPr>
              <w:t>Título</w:t>
            </w:r>
          </w:p>
        </w:tc>
        <w:tc>
          <w:tcPr>
            <w:tcW w:w="1831" w:type="dxa"/>
            <w:vAlign w:val="center"/>
          </w:tcPr>
          <w:p w14:paraId="2440A746" w14:textId="77777777" w:rsidR="00B21D62" w:rsidRPr="00AB3F26" w:rsidRDefault="00B21D62" w:rsidP="00EF6912">
            <w:pPr>
              <w:pStyle w:val="Tablehead0"/>
            </w:pPr>
            <w:r w:rsidRPr="00AB3F26">
              <w:rPr>
                <w:szCs w:val="22"/>
              </w:rPr>
              <w:t>Decisión</w:t>
            </w:r>
          </w:p>
        </w:tc>
      </w:tr>
      <w:tr w:rsidR="00B21D62" w:rsidRPr="00AB3F26" w14:paraId="479FAAB9" w14:textId="77777777" w:rsidTr="004A217B">
        <w:trPr>
          <w:cantSplit/>
          <w:jc w:val="center"/>
        </w:trPr>
        <w:tc>
          <w:tcPr>
            <w:tcW w:w="1653" w:type="dxa"/>
            <w:vAlign w:val="center"/>
          </w:tcPr>
          <w:p w14:paraId="33B52C4F" w14:textId="60318131" w:rsidR="00B21D62" w:rsidRPr="00AB3F26" w:rsidRDefault="00B21D62" w:rsidP="004A217B">
            <w:pPr>
              <w:pStyle w:val="Tabletext0"/>
              <w:jc w:val="center"/>
            </w:pPr>
            <w:r w:rsidRPr="00AB3F26">
              <w:t>UIT-T G.9901 (2017) Enm.1</w:t>
            </w:r>
          </w:p>
        </w:tc>
        <w:tc>
          <w:tcPr>
            <w:tcW w:w="6235" w:type="dxa"/>
            <w:vAlign w:val="center"/>
          </w:tcPr>
          <w:p w14:paraId="4871AA24" w14:textId="08D1747B" w:rsidR="00B21D62" w:rsidRPr="00AB3F26" w:rsidRDefault="00B21D62" w:rsidP="004A217B">
            <w:pPr>
              <w:pStyle w:val="Tabletext0"/>
            </w:pPr>
            <w:r w:rsidRPr="00AB3F26">
              <w:t>Transceptores de comunicación de banda estrecha por la red de suministro eléctrico con multiplexión por división de frecuencia ortogonal –</w:t>
            </w:r>
            <w:r w:rsidR="001B6F5A">
              <w:t xml:space="preserve"> </w:t>
            </w:r>
            <w:r w:rsidRPr="00AB3F26">
              <w:t>Especificación de la densidad espectral de potencia</w:t>
            </w:r>
            <w:r w:rsidR="001B6F5A">
              <w:t xml:space="preserve"> </w:t>
            </w:r>
            <w:r w:rsidR="00703997">
              <w:t>–</w:t>
            </w:r>
            <w:r w:rsidRPr="00AB3F26">
              <w:t xml:space="preserve"> Enmienda 1</w:t>
            </w:r>
          </w:p>
        </w:tc>
        <w:tc>
          <w:tcPr>
            <w:tcW w:w="1831" w:type="dxa"/>
            <w:vAlign w:val="center"/>
          </w:tcPr>
          <w:p w14:paraId="4B98FFF1" w14:textId="77777777" w:rsidR="00B21D62" w:rsidRPr="00AB3F26" w:rsidRDefault="00B21D62" w:rsidP="004A217B">
            <w:pPr>
              <w:pStyle w:val="Tabletext0"/>
              <w:jc w:val="center"/>
            </w:pPr>
            <w:r w:rsidRPr="00AB3F26">
              <w:t>Aprobada</w:t>
            </w:r>
          </w:p>
        </w:tc>
      </w:tr>
    </w:tbl>
    <w:p w14:paraId="73B2C58D" w14:textId="45E97EC3" w:rsidR="00B21D62" w:rsidRPr="00222369" w:rsidRDefault="00B21D62" w:rsidP="00925BA5">
      <w:pPr>
        <w:spacing w:before="240"/>
        <w:rPr>
          <w:sz w:val="22"/>
          <w:szCs w:val="18"/>
        </w:rPr>
      </w:pPr>
      <w:r w:rsidRPr="00222369">
        <w:rPr>
          <w:sz w:val="22"/>
          <w:szCs w:val="18"/>
        </w:rPr>
        <w:t>2</w:t>
      </w:r>
      <w:r w:rsidRPr="00222369">
        <w:rPr>
          <w:sz w:val="22"/>
          <w:szCs w:val="18"/>
        </w:rPr>
        <w:tab/>
      </w:r>
      <w:proofErr w:type="gramStart"/>
      <w:r w:rsidRPr="00222369">
        <w:rPr>
          <w:sz w:val="22"/>
          <w:szCs w:val="18"/>
        </w:rPr>
        <w:t>La</w:t>
      </w:r>
      <w:proofErr w:type="gramEnd"/>
      <w:r w:rsidRPr="00222369">
        <w:rPr>
          <w:sz w:val="22"/>
          <w:szCs w:val="18"/>
        </w:rPr>
        <w:t xml:space="preserve"> información disponible sobre patentes puede consultarse en línea en el </w:t>
      </w:r>
      <w:hyperlink r:id="rId10" w:history="1">
        <w:r w:rsidRPr="00222369">
          <w:rPr>
            <w:rStyle w:val="Hyperlink"/>
            <w:sz w:val="22"/>
            <w:szCs w:val="18"/>
          </w:rPr>
          <w:t>sitio web del UIT-T</w:t>
        </w:r>
      </w:hyperlink>
      <w:r w:rsidRPr="00222369">
        <w:rPr>
          <w:sz w:val="22"/>
          <w:szCs w:val="18"/>
        </w:rPr>
        <w:t>.</w:t>
      </w:r>
    </w:p>
    <w:p w14:paraId="2C51ABC2" w14:textId="0255BF24" w:rsidR="00B21D62" w:rsidRPr="00222369" w:rsidRDefault="00B21D62" w:rsidP="008A58B3">
      <w:pPr>
        <w:rPr>
          <w:sz w:val="22"/>
          <w:szCs w:val="18"/>
        </w:rPr>
      </w:pPr>
      <w:r w:rsidRPr="00222369">
        <w:rPr>
          <w:sz w:val="22"/>
          <w:szCs w:val="18"/>
        </w:rPr>
        <w:t>3</w:t>
      </w:r>
      <w:r w:rsidRPr="00222369">
        <w:rPr>
          <w:sz w:val="22"/>
          <w:szCs w:val="18"/>
        </w:rPr>
        <w:tab/>
      </w:r>
      <w:proofErr w:type="gramStart"/>
      <w:r w:rsidRPr="00222369">
        <w:rPr>
          <w:sz w:val="22"/>
          <w:szCs w:val="18"/>
        </w:rPr>
        <w:t>Los</w:t>
      </w:r>
      <w:proofErr w:type="gramEnd"/>
      <w:r w:rsidRPr="00222369">
        <w:rPr>
          <w:sz w:val="22"/>
          <w:szCs w:val="18"/>
        </w:rPr>
        <w:t xml:space="preserve"> textos de las Recomendaciones publicadas previamente figuran en el sitio web del</w:t>
      </w:r>
      <w:r w:rsidR="00925BA5" w:rsidRPr="00222369">
        <w:rPr>
          <w:sz w:val="22"/>
          <w:szCs w:val="18"/>
        </w:rPr>
        <w:t> </w:t>
      </w:r>
      <w:r w:rsidRPr="00222369">
        <w:rPr>
          <w:sz w:val="22"/>
          <w:szCs w:val="18"/>
        </w:rPr>
        <w:t xml:space="preserve">UIT-T en la dirección: </w:t>
      </w:r>
      <w:hyperlink r:id="rId11" w:history="1">
        <w:r w:rsidRPr="00222369">
          <w:rPr>
            <w:rStyle w:val="Hyperlink"/>
            <w:sz w:val="22"/>
            <w:szCs w:val="18"/>
          </w:rPr>
          <w:t>http://itu.int/itu-t/recommendations/</w:t>
        </w:r>
      </w:hyperlink>
      <w:r w:rsidRPr="00222369">
        <w:rPr>
          <w:sz w:val="22"/>
          <w:szCs w:val="18"/>
        </w:rPr>
        <w:t>.</w:t>
      </w:r>
    </w:p>
    <w:p w14:paraId="5436FCEE" w14:textId="73445713" w:rsidR="00B21D62" w:rsidRPr="00222369" w:rsidRDefault="00B21D62" w:rsidP="00857B2C">
      <w:pPr>
        <w:rPr>
          <w:sz w:val="22"/>
          <w:szCs w:val="18"/>
        </w:rPr>
      </w:pPr>
      <w:r w:rsidRPr="00222369">
        <w:rPr>
          <w:sz w:val="22"/>
          <w:szCs w:val="18"/>
        </w:rPr>
        <w:t>4</w:t>
      </w:r>
      <w:r w:rsidRPr="00222369">
        <w:rPr>
          <w:sz w:val="22"/>
          <w:szCs w:val="18"/>
        </w:rPr>
        <w:tab/>
      </w:r>
      <w:proofErr w:type="gramStart"/>
      <w:r w:rsidRPr="00222369">
        <w:rPr>
          <w:sz w:val="22"/>
          <w:szCs w:val="18"/>
        </w:rPr>
        <w:t>La</w:t>
      </w:r>
      <w:proofErr w:type="gramEnd"/>
      <w:r w:rsidRPr="00222369">
        <w:rPr>
          <w:sz w:val="22"/>
          <w:szCs w:val="18"/>
        </w:rPr>
        <w:t xml:space="preserve"> UIT publicará lo antes posible el texto de la Recomendación aprobada.</w:t>
      </w:r>
    </w:p>
    <w:p w14:paraId="5C920CED" w14:textId="4331BB84" w:rsidR="00B21D62" w:rsidRPr="00222369" w:rsidRDefault="00B21D62" w:rsidP="00EF6912">
      <w:pPr>
        <w:rPr>
          <w:sz w:val="22"/>
          <w:szCs w:val="18"/>
        </w:rPr>
      </w:pPr>
      <w:r w:rsidRPr="00222369">
        <w:rPr>
          <w:sz w:val="22"/>
          <w:szCs w:val="18"/>
        </w:rPr>
        <w:t>Atentamente,</w:t>
      </w:r>
    </w:p>
    <w:p w14:paraId="159DE4CE" w14:textId="576364AE" w:rsidR="00401C20" w:rsidRPr="00222369" w:rsidRDefault="00E80D01" w:rsidP="00222369">
      <w:pPr>
        <w:spacing w:before="960"/>
        <w:rPr>
          <w:sz w:val="22"/>
          <w:szCs w:val="18"/>
        </w:rPr>
      </w:pPr>
      <w:r>
        <w:rPr>
          <w:rFonts w:cstheme="minorHAnsi"/>
          <w:noProof/>
          <w:sz w:val="22"/>
          <w:lang w:val="es-ES"/>
        </w:rPr>
        <w:drawing>
          <wp:anchor distT="0" distB="0" distL="114300" distR="114300" simplePos="0" relativeHeight="251658240" behindDoc="1" locked="0" layoutInCell="1" allowOverlap="1" wp14:anchorId="1B1A5AAE" wp14:editId="40D701A9">
            <wp:simplePos x="0" y="0"/>
            <wp:positionH relativeFrom="column">
              <wp:posOffset>3810</wp:posOffset>
            </wp:positionH>
            <wp:positionV relativeFrom="paragraph">
              <wp:posOffset>127000</wp:posOffset>
            </wp:positionV>
            <wp:extent cx="655611" cy="295275"/>
            <wp:effectExtent l="0" t="0" r="0" b="0"/>
            <wp:wrapNone/>
            <wp:docPr id="3" name="Picture 3"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logo, graphics, wh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55611" cy="295275"/>
                    </a:xfrm>
                    <a:prstGeom prst="rect">
                      <a:avLst/>
                    </a:prstGeom>
                  </pic:spPr>
                </pic:pic>
              </a:graphicData>
            </a:graphic>
            <wp14:sizeRelH relativeFrom="margin">
              <wp14:pctWidth>0</wp14:pctWidth>
            </wp14:sizeRelH>
            <wp14:sizeRelV relativeFrom="margin">
              <wp14:pctHeight>0</wp14:pctHeight>
            </wp14:sizeRelV>
          </wp:anchor>
        </w:drawing>
      </w:r>
      <w:r w:rsidR="001350B9" w:rsidRPr="00222369">
        <w:rPr>
          <w:rFonts w:cstheme="minorHAnsi"/>
          <w:sz w:val="22"/>
          <w:lang w:val="es-ES"/>
        </w:rPr>
        <w:t>Seizo Onoe</w:t>
      </w:r>
      <w:r w:rsidR="007B6316" w:rsidRPr="00222369">
        <w:rPr>
          <w:sz w:val="22"/>
          <w:szCs w:val="18"/>
        </w:rPr>
        <w:br/>
      </w:r>
      <w:proofErr w:type="gramStart"/>
      <w:r w:rsidR="007B6316" w:rsidRPr="00222369">
        <w:rPr>
          <w:sz w:val="22"/>
          <w:szCs w:val="18"/>
        </w:rPr>
        <w:t>Director</w:t>
      </w:r>
      <w:proofErr w:type="gramEnd"/>
      <w:r w:rsidR="007B6316" w:rsidRPr="00222369">
        <w:rPr>
          <w:sz w:val="22"/>
          <w:szCs w:val="18"/>
        </w:rPr>
        <w:t xml:space="preserve"> de la Oficina de </w:t>
      </w:r>
      <w:r w:rsidR="007B6316" w:rsidRPr="00222369">
        <w:rPr>
          <w:sz w:val="22"/>
          <w:szCs w:val="18"/>
        </w:rPr>
        <w:br/>
        <w:t>Normalización de las Telecomunicaciones</w:t>
      </w:r>
    </w:p>
    <w:sectPr w:rsidR="00401C20" w:rsidRPr="00222369"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D054" w14:textId="77777777" w:rsidR="00B21D62" w:rsidRDefault="00B21D62">
      <w:r>
        <w:separator/>
      </w:r>
    </w:p>
  </w:endnote>
  <w:endnote w:type="continuationSeparator" w:id="0">
    <w:p w14:paraId="4E10780A" w14:textId="77777777" w:rsidR="00B21D62" w:rsidRDefault="00B2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2660" w14:textId="7E9267DD" w:rsidR="006969B4" w:rsidRPr="00E80D01" w:rsidRDefault="00F14380" w:rsidP="009A0BA0">
    <w:pPr>
      <w:pStyle w:val="Footer"/>
      <w:rPr>
        <w:sz w:val="16"/>
        <w:szCs w:val="16"/>
        <w:lang w:val="en-GB"/>
      </w:rPr>
    </w:pPr>
    <w:r>
      <w:fldChar w:fldCharType="begin"/>
    </w:r>
    <w:r w:rsidRPr="00E80D01">
      <w:rPr>
        <w:lang w:val="en-GB"/>
      </w:rPr>
      <w:instrText xml:space="preserve"> FILENAME \p  \* MERGEFORMAT </w:instrText>
    </w:r>
    <w:r>
      <w:fldChar w:fldCharType="separate"/>
    </w:r>
    <w:r w:rsidR="00E80D01" w:rsidRPr="00E80D01">
      <w:rPr>
        <w:noProof/>
        <w:sz w:val="16"/>
        <w:szCs w:val="16"/>
        <w:lang w:val="en-GB"/>
      </w:rPr>
      <w:t>M</w:t>
    </w:r>
    <w:r w:rsidR="00E80D01" w:rsidRPr="00E80D01">
      <w:rPr>
        <w:noProof/>
        <w:lang w:val="en-GB"/>
      </w:rPr>
      <w:t>:\OFFICE\Correspondence\Circular\Study Period 2022-2024\100 - Status of Recommendation ITU-T G.9901 (2017) Amd.1 after the ITU-T Study Group 15 meeting (Geneva, 17-28 April 2023)\100S.DOCX</w:t>
    </w:r>
    <w:r>
      <w:rPr>
        <w:noProof/>
        <w:sz w:val="16"/>
        <w:szCs w:val="16"/>
        <w:lang w:val="fr-CH"/>
      </w:rPr>
      <w:fldChar w:fldCharType="end"/>
    </w:r>
    <w:r w:rsidR="009A0BA0" w:rsidRPr="00E80D01">
      <w:rPr>
        <w:noProof/>
        <w:sz w:val="16"/>
        <w:szCs w:val="16"/>
        <w:lang w:val="en-GB"/>
      </w:rPr>
      <w:t xml:space="preserve"> (305381)</w:t>
    </w:r>
    <w:r w:rsidR="009A0BA0" w:rsidRPr="00E80D01">
      <w:rPr>
        <w:sz w:val="16"/>
        <w:szCs w:val="16"/>
        <w:lang w:val="en-GB"/>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E80D01">
      <w:rPr>
        <w:noProof/>
        <w:sz w:val="16"/>
        <w:szCs w:val="16"/>
      </w:rPr>
      <w:t>30.05.23</w:t>
    </w:r>
    <w:r w:rsidR="00B87E9E" w:rsidRPr="009A0BA0">
      <w:rPr>
        <w:sz w:val="16"/>
        <w:szCs w:val="16"/>
      </w:rPr>
      <w:fldChar w:fldCharType="end"/>
    </w:r>
    <w:r w:rsidR="009A0BA0" w:rsidRPr="00E80D01">
      <w:rPr>
        <w:sz w:val="16"/>
        <w:szCs w:val="16"/>
        <w:lang w:val="en-GB"/>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E80D01">
      <w:rPr>
        <w:noProof/>
        <w:sz w:val="16"/>
        <w:szCs w:val="16"/>
      </w:rPr>
      <w:t>30.05.23</w:t>
    </w:r>
    <w:r w:rsidR="00B87E9E" w:rsidRPr="009A0BA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D4F" w14:textId="42415140" w:rsidR="00D21088" w:rsidRPr="00222369" w:rsidRDefault="0014464D" w:rsidP="00222369">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F4296B">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E7C1" w14:textId="77777777" w:rsidR="00B21D62" w:rsidRDefault="00B21D62">
      <w:r>
        <w:t>____________________</w:t>
      </w:r>
    </w:p>
  </w:footnote>
  <w:footnote w:type="continuationSeparator" w:id="0">
    <w:p w14:paraId="008626C0" w14:textId="77777777" w:rsidR="00B21D62" w:rsidRDefault="00B2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141F"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62"/>
    <w:rsid w:val="00002529"/>
    <w:rsid w:val="00085662"/>
    <w:rsid w:val="000C382F"/>
    <w:rsid w:val="001173CC"/>
    <w:rsid w:val="001350B9"/>
    <w:rsid w:val="0014464D"/>
    <w:rsid w:val="001A54CC"/>
    <w:rsid w:val="001B6F5A"/>
    <w:rsid w:val="00222369"/>
    <w:rsid w:val="00257FB4"/>
    <w:rsid w:val="002E496E"/>
    <w:rsid w:val="00303D62"/>
    <w:rsid w:val="00335367"/>
    <w:rsid w:val="00336EBE"/>
    <w:rsid w:val="00370C2D"/>
    <w:rsid w:val="003D1E8D"/>
    <w:rsid w:val="003D673B"/>
    <w:rsid w:val="003F2855"/>
    <w:rsid w:val="00401C20"/>
    <w:rsid w:val="004A7957"/>
    <w:rsid w:val="004C4144"/>
    <w:rsid w:val="0055719E"/>
    <w:rsid w:val="006969B4"/>
    <w:rsid w:val="006E4F7B"/>
    <w:rsid w:val="00703997"/>
    <w:rsid w:val="00781E2A"/>
    <w:rsid w:val="007933A2"/>
    <w:rsid w:val="007B6316"/>
    <w:rsid w:val="00814503"/>
    <w:rsid w:val="008258C2"/>
    <w:rsid w:val="008505BD"/>
    <w:rsid w:val="00850C78"/>
    <w:rsid w:val="00876165"/>
    <w:rsid w:val="00884D12"/>
    <w:rsid w:val="008C17AD"/>
    <w:rsid w:val="008D02CD"/>
    <w:rsid w:val="0091370C"/>
    <w:rsid w:val="00925BA5"/>
    <w:rsid w:val="0095172A"/>
    <w:rsid w:val="009A0BA0"/>
    <w:rsid w:val="00A54E47"/>
    <w:rsid w:val="00AB6E3A"/>
    <w:rsid w:val="00AE7093"/>
    <w:rsid w:val="00B21D62"/>
    <w:rsid w:val="00B422BC"/>
    <w:rsid w:val="00B43F77"/>
    <w:rsid w:val="00B55A3E"/>
    <w:rsid w:val="00B87E9E"/>
    <w:rsid w:val="00B95F0A"/>
    <w:rsid w:val="00B96180"/>
    <w:rsid w:val="00C116FE"/>
    <w:rsid w:val="00C17AC0"/>
    <w:rsid w:val="00C34772"/>
    <w:rsid w:val="00C5465A"/>
    <w:rsid w:val="00D21088"/>
    <w:rsid w:val="00D54642"/>
    <w:rsid w:val="00D834E7"/>
    <w:rsid w:val="00DD77C9"/>
    <w:rsid w:val="00DF3538"/>
    <w:rsid w:val="00E80D01"/>
    <w:rsid w:val="00E839B0"/>
    <w:rsid w:val="00E92C09"/>
    <w:rsid w:val="00F14380"/>
    <w:rsid w:val="00F4296B"/>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F3D91"/>
  <w15:docId w15:val="{17C07682-9EC5-4C02-BC32-5BE1E45A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recommend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net4/ipr/search.aspx?sector=ITU&amp;class=PS"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35</TotalTime>
  <Pages>1</Pages>
  <Words>301</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dc:creator>
  <cp:lastModifiedBy>Braud, Olivia</cp:lastModifiedBy>
  <cp:revision>7</cp:revision>
  <cp:lastPrinted>2023-05-30T07:19:00Z</cp:lastPrinted>
  <dcterms:created xsi:type="dcterms:W3CDTF">2023-05-24T13:34:00Z</dcterms:created>
  <dcterms:modified xsi:type="dcterms:W3CDTF">2023-05-30T07:21:00Z</dcterms:modified>
</cp:coreProperties>
</file>