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000" w:firstRow="0" w:lastRow="0" w:firstColumn="0" w:lastColumn="0" w:noHBand="0" w:noVBand="0"/>
      </w:tblPr>
      <w:tblGrid>
        <w:gridCol w:w="1279"/>
        <w:gridCol w:w="2832"/>
        <w:gridCol w:w="5618"/>
      </w:tblGrid>
      <w:tr w:rsidR="00EF6A23" w:rsidRPr="00170D27" w14:paraId="0ACB33BD" w14:textId="77777777" w:rsidTr="004717A8">
        <w:trPr>
          <w:cantSplit/>
          <w:jc w:val="center"/>
        </w:trPr>
        <w:tc>
          <w:tcPr>
            <w:tcW w:w="0" w:type="auto"/>
            <w:vAlign w:val="center"/>
          </w:tcPr>
          <w:p w14:paraId="7089F315" w14:textId="77777777" w:rsidR="00EF6A23" w:rsidRPr="00170D27" w:rsidRDefault="00EF6A23" w:rsidP="00D14F31">
            <w:pPr>
              <w:tabs>
                <w:tab w:val="right" w:pos="8732"/>
              </w:tabs>
              <w:spacing w:before="0"/>
              <w:rPr>
                <w:b/>
                <w:bCs/>
                <w:iCs/>
                <w:color w:val="FFFFFF"/>
                <w:sz w:val="30"/>
                <w:szCs w:val="30"/>
                <w:lang w:val="fr-CH"/>
              </w:rPr>
            </w:pPr>
            <w:r w:rsidRPr="00F1238A">
              <w:rPr>
                <w:noProof/>
                <w:lang w:val="en-US"/>
              </w:rPr>
              <w:drawing>
                <wp:inline distT="0" distB="0" distL="0" distR="0" wp14:anchorId="2C37D197" wp14:editId="7470500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73F5A8C" w14:textId="77777777" w:rsidR="00EF6A23" w:rsidRPr="00170D27" w:rsidRDefault="00EF6A23" w:rsidP="00EF6A23">
            <w:pPr>
              <w:spacing w:before="0"/>
              <w:rPr>
                <w:rFonts w:cs="Times New Roman Bold"/>
                <w:b/>
                <w:bCs/>
                <w:iCs/>
                <w:smallCaps/>
                <w:sz w:val="34"/>
                <w:szCs w:val="34"/>
                <w:lang w:val="fr-CH"/>
              </w:rPr>
            </w:pPr>
            <w:r w:rsidRPr="00170D27">
              <w:rPr>
                <w:rFonts w:cs="Times New Roman Bold"/>
                <w:b/>
                <w:bCs/>
                <w:iCs/>
                <w:smallCaps/>
                <w:sz w:val="34"/>
                <w:szCs w:val="34"/>
                <w:lang w:val="fr-CH"/>
              </w:rPr>
              <w:t>Union internationale des télécommunications</w:t>
            </w:r>
          </w:p>
          <w:p w14:paraId="548198AE" w14:textId="77777777" w:rsidR="00EF6A23" w:rsidRPr="00170D27" w:rsidRDefault="00EF6A23" w:rsidP="00EF6A23">
            <w:pPr>
              <w:spacing w:before="0"/>
              <w:rPr>
                <w:color w:val="FFFFFF"/>
                <w:sz w:val="26"/>
                <w:szCs w:val="26"/>
                <w:lang w:val="fr-CH"/>
              </w:rPr>
            </w:pPr>
            <w:r w:rsidRPr="00170D27">
              <w:rPr>
                <w:rFonts w:cs="Times New Roman Bold"/>
                <w:b/>
                <w:bCs/>
                <w:iCs/>
                <w:smallCaps/>
                <w:sz w:val="28"/>
                <w:szCs w:val="28"/>
                <w:lang w:val="fr-CH"/>
              </w:rPr>
              <w:t>B</w:t>
            </w:r>
            <w:r w:rsidRPr="00170D27">
              <w:rPr>
                <w:b/>
                <w:bCs/>
                <w:iCs/>
                <w:smallCaps/>
                <w:sz w:val="28"/>
                <w:szCs w:val="28"/>
                <w:lang w:val="fr-CH"/>
              </w:rPr>
              <w:t>ureau de la Normalisation des Télécommunications</w:t>
            </w:r>
          </w:p>
        </w:tc>
      </w:tr>
      <w:tr w:rsidR="00036F4F" w:rsidRPr="00E23993" w14:paraId="1F5AADA3" w14:textId="77777777" w:rsidTr="004717A8">
        <w:trPr>
          <w:cantSplit/>
          <w:jc w:val="center"/>
        </w:trPr>
        <w:tc>
          <w:tcPr>
            <w:tcW w:w="0" w:type="auto"/>
          </w:tcPr>
          <w:p w14:paraId="308C9C0C" w14:textId="77777777" w:rsidR="00036F4F" w:rsidRPr="00E23993" w:rsidRDefault="00036F4F" w:rsidP="00A5280F">
            <w:pPr>
              <w:tabs>
                <w:tab w:val="left" w:pos="4111"/>
              </w:tabs>
              <w:spacing w:before="10"/>
              <w:ind w:left="57"/>
              <w:rPr>
                <w:rFonts w:cstheme="minorHAnsi"/>
                <w:sz w:val="22"/>
                <w:szCs w:val="22"/>
              </w:rPr>
            </w:pPr>
          </w:p>
        </w:tc>
        <w:tc>
          <w:tcPr>
            <w:tcW w:w="2832" w:type="dxa"/>
          </w:tcPr>
          <w:p w14:paraId="1D4B4FA7" w14:textId="77777777" w:rsidR="00036F4F" w:rsidRPr="00E23993" w:rsidRDefault="00036F4F" w:rsidP="00A5280F">
            <w:pPr>
              <w:tabs>
                <w:tab w:val="left" w:pos="4111"/>
              </w:tabs>
              <w:spacing w:before="10"/>
              <w:ind w:left="57"/>
              <w:rPr>
                <w:rFonts w:cstheme="minorHAnsi"/>
                <w:b/>
                <w:sz w:val="22"/>
                <w:szCs w:val="22"/>
              </w:rPr>
            </w:pPr>
          </w:p>
        </w:tc>
        <w:tc>
          <w:tcPr>
            <w:tcW w:w="5618" w:type="dxa"/>
          </w:tcPr>
          <w:p w14:paraId="6D3B8498" w14:textId="19CC1BCC" w:rsidR="00036F4F" w:rsidRPr="00E23993" w:rsidRDefault="00036F4F" w:rsidP="00A5645A">
            <w:pPr>
              <w:tabs>
                <w:tab w:val="clear" w:pos="794"/>
                <w:tab w:val="clear" w:pos="1191"/>
                <w:tab w:val="clear" w:pos="1588"/>
                <w:tab w:val="clear" w:pos="1985"/>
                <w:tab w:val="left" w:pos="284"/>
              </w:tabs>
              <w:spacing w:after="120"/>
              <w:ind w:left="284" w:hanging="227"/>
              <w:rPr>
                <w:rFonts w:cstheme="minorHAnsi"/>
                <w:sz w:val="22"/>
                <w:szCs w:val="22"/>
              </w:rPr>
            </w:pPr>
            <w:r w:rsidRPr="00E23993">
              <w:rPr>
                <w:rFonts w:cstheme="minorHAnsi"/>
                <w:sz w:val="22"/>
                <w:szCs w:val="22"/>
              </w:rPr>
              <w:t>Genève, le</w:t>
            </w:r>
            <w:r w:rsidR="002D35C6" w:rsidRPr="00E23993">
              <w:rPr>
                <w:rFonts w:cstheme="minorHAnsi"/>
                <w:sz w:val="22"/>
                <w:szCs w:val="22"/>
              </w:rPr>
              <w:t xml:space="preserve"> 17 juillet 2023</w:t>
            </w:r>
          </w:p>
        </w:tc>
      </w:tr>
      <w:tr w:rsidR="00445B68" w:rsidRPr="00E23993" w14:paraId="5F5AA773" w14:textId="77777777" w:rsidTr="004717A8">
        <w:trPr>
          <w:cantSplit/>
          <w:trHeight w:val="340"/>
          <w:jc w:val="center"/>
        </w:trPr>
        <w:tc>
          <w:tcPr>
            <w:tcW w:w="0" w:type="auto"/>
          </w:tcPr>
          <w:p w14:paraId="1F6B34A9" w14:textId="5C619CB1" w:rsidR="00445B68" w:rsidRPr="00E23993" w:rsidRDefault="00445B68" w:rsidP="00C13ABF">
            <w:pPr>
              <w:tabs>
                <w:tab w:val="left" w:pos="4111"/>
              </w:tabs>
              <w:ind w:left="57"/>
              <w:rPr>
                <w:rFonts w:cstheme="minorHAnsi"/>
                <w:b/>
                <w:bCs/>
                <w:sz w:val="22"/>
                <w:szCs w:val="22"/>
              </w:rPr>
            </w:pPr>
            <w:proofErr w:type="gramStart"/>
            <w:r w:rsidRPr="00E23993">
              <w:rPr>
                <w:rFonts w:cstheme="minorHAnsi"/>
                <w:b/>
                <w:bCs/>
                <w:sz w:val="22"/>
                <w:szCs w:val="22"/>
              </w:rPr>
              <w:t>Réf.:</w:t>
            </w:r>
            <w:proofErr w:type="gramEnd"/>
          </w:p>
        </w:tc>
        <w:tc>
          <w:tcPr>
            <w:tcW w:w="2832" w:type="dxa"/>
          </w:tcPr>
          <w:p w14:paraId="6ED00970" w14:textId="79491EB8" w:rsidR="00445B68" w:rsidRPr="00E23993" w:rsidRDefault="00445B68" w:rsidP="00C13ABF">
            <w:pPr>
              <w:tabs>
                <w:tab w:val="left" w:pos="4111"/>
              </w:tabs>
              <w:ind w:left="57"/>
              <w:rPr>
                <w:rFonts w:cstheme="minorHAnsi"/>
                <w:b/>
                <w:sz w:val="22"/>
                <w:szCs w:val="22"/>
              </w:rPr>
            </w:pPr>
            <w:r w:rsidRPr="00E23993">
              <w:rPr>
                <w:rFonts w:cstheme="minorHAnsi"/>
                <w:b/>
                <w:sz w:val="22"/>
                <w:szCs w:val="22"/>
              </w:rPr>
              <w:t>Circulaire TSB</w:t>
            </w:r>
            <w:r w:rsidR="002D35C6" w:rsidRPr="00E23993">
              <w:rPr>
                <w:rFonts w:cstheme="minorHAnsi"/>
                <w:b/>
                <w:sz w:val="22"/>
                <w:szCs w:val="22"/>
              </w:rPr>
              <w:t xml:space="preserve"> 122</w:t>
            </w:r>
          </w:p>
          <w:p w14:paraId="3E0709EB" w14:textId="65006CFA" w:rsidR="00445B68" w:rsidRPr="00E23993" w:rsidRDefault="002D35C6" w:rsidP="00C13ABF">
            <w:pPr>
              <w:tabs>
                <w:tab w:val="left" w:pos="4111"/>
              </w:tabs>
              <w:spacing w:before="10"/>
              <w:ind w:left="57"/>
              <w:rPr>
                <w:rFonts w:cstheme="minorHAnsi"/>
                <w:bCs/>
                <w:sz w:val="22"/>
                <w:szCs w:val="22"/>
              </w:rPr>
            </w:pPr>
            <w:r w:rsidRPr="00E23993">
              <w:rPr>
                <w:rFonts w:cstheme="minorHAnsi"/>
                <w:bCs/>
                <w:sz w:val="22"/>
                <w:szCs w:val="22"/>
              </w:rPr>
              <w:t>Manifestations TSB/GM</w:t>
            </w:r>
          </w:p>
        </w:tc>
        <w:tc>
          <w:tcPr>
            <w:tcW w:w="5618" w:type="dxa"/>
            <w:vMerge w:val="restart"/>
          </w:tcPr>
          <w:p w14:paraId="2F145C81" w14:textId="3DBCF8A4" w:rsidR="00445B68" w:rsidRPr="00E23993" w:rsidRDefault="002442CD" w:rsidP="00C13ABF">
            <w:pPr>
              <w:tabs>
                <w:tab w:val="clear" w:pos="794"/>
                <w:tab w:val="clear" w:pos="1191"/>
                <w:tab w:val="clear" w:pos="1588"/>
                <w:tab w:val="clear" w:pos="1985"/>
              </w:tabs>
              <w:ind w:left="284" w:hanging="280"/>
              <w:rPr>
                <w:rFonts w:cstheme="minorHAnsi"/>
                <w:sz w:val="22"/>
                <w:szCs w:val="22"/>
              </w:rPr>
            </w:pPr>
            <w:bookmarkStart w:id="0" w:name="Addressee_F"/>
            <w:bookmarkEnd w:id="0"/>
            <w:r w:rsidRPr="00E23993">
              <w:rPr>
                <w:rFonts w:cstheme="minorHAnsi"/>
                <w:sz w:val="22"/>
                <w:szCs w:val="22"/>
              </w:rPr>
              <w:t>–</w:t>
            </w:r>
            <w:r w:rsidRPr="00E23993">
              <w:rPr>
                <w:rFonts w:cstheme="minorHAnsi"/>
                <w:sz w:val="22"/>
                <w:szCs w:val="22"/>
              </w:rPr>
              <w:tab/>
            </w:r>
            <w:r w:rsidR="004717A8" w:rsidRPr="00E23993">
              <w:rPr>
                <w:rFonts w:cstheme="minorHAnsi"/>
                <w:sz w:val="22"/>
                <w:szCs w:val="22"/>
              </w:rPr>
              <w:t>Aux A</w:t>
            </w:r>
            <w:r w:rsidR="00445B68" w:rsidRPr="00E23993">
              <w:rPr>
                <w:rFonts w:cstheme="minorHAnsi"/>
                <w:sz w:val="22"/>
                <w:szCs w:val="22"/>
              </w:rPr>
              <w:t xml:space="preserve">dministrations des </w:t>
            </w:r>
            <w:r w:rsidR="002D35C6" w:rsidRPr="00E23993">
              <w:rPr>
                <w:rFonts w:cstheme="minorHAnsi"/>
                <w:sz w:val="22"/>
                <w:szCs w:val="22"/>
              </w:rPr>
              <w:t>États</w:t>
            </w:r>
            <w:r w:rsidR="00445B68" w:rsidRPr="00E23993">
              <w:rPr>
                <w:rFonts w:cstheme="minorHAnsi"/>
                <w:sz w:val="22"/>
                <w:szCs w:val="22"/>
              </w:rPr>
              <w:t xml:space="preserve"> Membres de </w:t>
            </w:r>
            <w:proofErr w:type="gramStart"/>
            <w:r w:rsidR="00445B68" w:rsidRPr="00E23993">
              <w:rPr>
                <w:rFonts w:cstheme="minorHAnsi"/>
                <w:sz w:val="22"/>
                <w:szCs w:val="22"/>
              </w:rPr>
              <w:t>l'Union</w:t>
            </w:r>
            <w:r w:rsidR="002D35C6" w:rsidRPr="00E23993">
              <w:rPr>
                <w:rFonts w:cstheme="minorHAnsi"/>
                <w:sz w:val="22"/>
                <w:szCs w:val="22"/>
              </w:rPr>
              <w:t>;</w:t>
            </w:r>
            <w:proofErr w:type="gramEnd"/>
          </w:p>
          <w:p w14:paraId="3B2D9C6D" w14:textId="084E48EA" w:rsidR="00445B68" w:rsidRPr="00E23993" w:rsidRDefault="002D35C6" w:rsidP="00A5280F">
            <w:pPr>
              <w:tabs>
                <w:tab w:val="clear" w:pos="794"/>
                <w:tab w:val="left" w:pos="226"/>
                <w:tab w:val="left" w:pos="4111"/>
              </w:tabs>
              <w:spacing w:before="0"/>
              <w:rPr>
                <w:rFonts w:cstheme="minorHAnsi"/>
                <w:sz w:val="22"/>
                <w:szCs w:val="22"/>
              </w:rPr>
            </w:pPr>
            <w:r w:rsidRPr="00E23993">
              <w:rPr>
                <w:rFonts w:cstheme="minorHAnsi"/>
                <w:sz w:val="22"/>
                <w:szCs w:val="22"/>
              </w:rPr>
              <w:t>–</w:t>
            </w:r>
            <w:r w:rsidR="00445B68" w:rsidRPr="00E23993">
              <w:rPr>
                <w:rFonts w:cstheme="minorHAnsi"/>
                <w:sz w:val="22"/>
                <w:szCs w:val="22"/>
              </w:rPr>
              <w:tab/>
              <w:t>Aux Membres du Secteur UIT-</w:t>
            </w:r>
            <w:proofErr w:type="gramStart"/>
            <w:r w:rsidR="00445B68" w:rsidRPr="00E23993">
              <w:rPr>
                <w:rFonts w:cstheme="minorHAnsi"/>
                <w:sz w:val="22"/>
                <w:szCs w:val="22"/>
              </w:rPr>
              <w:t>T;</w:t>
            </w:r>
            <w:proofErr w:type="gramEnd"/>
          </w:p>
          <w:p w14:paraId="5FD6DA16" w14:textId="198F5579" w:rsidR="00445B68" w:rsidRPr="00E23993" w:rsidRDefault="002D35C6" w:rsidP="00A5280F">
            <w:pPr>
              <w:tabs>
                <w:tab w:val="clear" w:pos="794"/>
                <w:tab w:val="left" w:pos="226"/>
                <w:tab w:val="left" w:pos="4111"/>
              </w:tabs>
              <w:spacing w:before="0"/>
              <w:rPr>
                <w:rFonts w:cstheme="minorHAnsi"/>
                <w:sz w:val="22"/>
                <w:szCs w:val="22"/>
              </w:rPr>
            </w:pPr>
            <w:r w:rsidRPr="00E23993">
              <w:rPr>
                <w:rFonts w:cstheme="minorHAnsi"/>
                <w:sz w:val="22"/>
                <w:szCs w:val="22"/>
              </w:rPr>
              <w:t>–</w:t>
            </w:r>
            <w:r w:rsidR="00445B68" w:rsidRPr="00E23993">
              <w:rPr>
                <w:rFonts w:cstheme="minorHAnsi"/>
                <w:sz w:val="22"/>
                <w:szCs w:val="22"/>
              </w:rPr>
              <w:tab/>
              <w:t>Aux Associés de l'UIT-</w:t>
            </w:r>
            <w:proofErr w:type="gramStart"/>
            <w:r w:rsidR="00445B68" w:rsidRPr="00E23993">
              <w:rPr>
                <w:rFonts w:cstheme="minorHAnsi"/>
                <w:sz w:val="22"/>
                <w:szCs w:val="22"/>
              </w:rPr>
              <w:t>T;</w:t>
            </w:r>
            <w:proofErr w:type="gramEnd"/>
          </w:p>
          <w:p w14:paraId="50796BB0" w14:textId="17A42CA3" w:rsidR="00445B68" w:rsidRPr="00E23993" w:rsidRDefault="002D35C6" w:rsidP="00A5280F">
            <w:pPr>
              <w:tabs>
                <w:tab w:val="clear" w:pos="794"/>
                <w:tab w:val="left" w:pos="226"/>
                <w:tab w:val="left" w:pos="4111"/>
              </w:tabs>
              <w:spacing w:before="0"/>
              <w:ind w:left="226" w:hanging="226"/>
              <w:rPr>
                <w:rFonts w:cstheme="minorHAnsi"/>
                <w:sz w:val="22"/>
                <w:szCs w:val="22"/>
              </w:rPr>
            </w:pPr>
            <w:r w:rsidRPr="00E23993">
              <w:rPr>
                <w:rFonts w:cstheme="minorHAnsi"/>
                <w:sz w:val="22"/>
                <w:szCs w:val="22"/>
              </w:rPr>
              <w:t>–</w:t>
            </w:r>
            <w:r w:rsidR="00445B68" w:rsidRPr="00E23993">
              <w:rPr>
                <w:rFonts w:cstheme="minorHAnsi"/>
                <w:sz w:val="22"/>
                <w:szCs w:val="22"/>
              </w:rPr>
              <w:tab/>
              <w:t>Aux établissements universitaires participant aux travaux de l'UIT-T</w:t>
            </w:r>
          </w:p>
          <w:p w14:paraId="16CB95AD" w14:textId="61DDF965" w:rsidR="002D35C6" w:rsidRPr="00E23993" w:rsidRDefault="002D35C6" w:rsidP="00A5280F">
            <w:pPr>
              <w:tabs>
                <w:tab w:val="clear" w:pos="794"/>
                <w:tab w:val="left" w:pos="226"/>
                <w:tab w:val="left" w:pos="4111"/>
              </w:tabs>
              <w:spacing w:before="0"/>
              <w:ind w:left="226" w:hanging="226"/>
              <w:rPr>
                <w:rFonts w:cstheme="minorHAnsi"/>
                <w:b/>
                <w:bCs/>
                <w:sz w:val="22"/>
                <w:szCs w:val="22"/>
              </w:rPr>
            </w:pPr>
            <w:proofErr w:type="gramStart"/>
            <w:r w:rsidRPr="00E23993">
              <w:rPr>
                <w:rFonts w:cstheme="minorHAnsi"/>
                <w:b/>
                <w:bCs/>
                <w:sz w:val="22"/>
                <w:szCs w:val="22"/>
              </w:rPr>
              <w:t>Copie:</w:t>
            </w:r>
            <w:proofErr w:type="gramEnd"/>
          </w:p>
          <w:p w14:paraId="5D2515C7" w14:textId="7AA1F1F4" w:rsidR="00445B68" w:rsidRPr="00E23993" w:rsidRDefault="002D35C6" w:rsidP="00A5280F">
            <w:pPr>
              <w:tabs>
                <w:tab w:val="clear" w:pos="794"/>
                <w:tab w:val="left" w:pos="226"/>
                <w:tab w:val="left" w:pos="4111"/>
              </w:tabs>
              <w:spacing w:before="0"/>
              <w:ind w:left="226" w:hanging="226"/>
              <w:rPr>
                <w:rFonts w:cstheme="minorHAnsi"/>
                <w:sz w:val="22"/>
                <w:szCs w:val="22"/>
              </w:rPr>
            </w:pPr>
            <w:r w:rsidRPr="00E23993">
              <w:rPr>
                <w:rFonts w:cstheme="minorHAnsi"/>
                <w:sz w:val="22"/>
                <w:szCs w:val="22"/>
              </w:rPr>
              <w:t>–</w:t>
            </w:r>
            <w:r w:rsidR="00445B68" w:rsidRPr="00E23993">
              <w:rPr>
                <w:rFonts w:cstheme="minorHAnsi"/>
                <w:sz w:val="22"/>
                <w:szCs w:val="22"/>
              </w:rPr>
              <w:tab/>
              <w:t>Aux Président</w:t>
            </w:r>
            <w:r w:rsidR="004717A8" w:rsidRPr="00E23993">
              <w:rPr>
                <w:rFonts w:cstheme="minorHAnsi"/>
                <w:sz w:val="22"/>
                <w:szCs w:val="22"/>
              </w:rPr>
              <w:t>s</w:t>
            </w:r>
            <w:r w:rsidR="00445B68" w:rsidRPr="00E23993">
              <w:rPr>
                <w:rFonts w:cstheme="minorHAnsi"/>
                <w:sz w:val="22"/>
                <w:szCs w:val="22"/>
              </w:rPr>
              <w:t xml:space="preserve"> et Vice-Présidents de</w:t>
            </w:r>
            <w:r w:rsidRPr="00E23993">
              <w:rPr>
                <w:rFonts w:cstheme="minorHAnsi"/>
                <w:sz w:val="22"/>
                <w:szCs w:val="22"/>
              </w:rPr>
              <w:t>s</w:t>
            </w:r>
            <w:r w:rsidR="00445B68" w:rsidRPr="00E23993">
              <w:rPr>
                <w:rFonts w:cstheme="minorHAnsi"/>
                <w:sz w:val="22"/>
                <w:szCs w:val="22"/>
              </w:rPr>
              <w:t xml:space="preserve"> commission</w:t>
            </w:r>
            <w:r w:rsidRPr="00E23993">
              <w:rPr>
                <w:rFonts w:cstheme="minorHAnsi"/>
                <w:sz w:val="22"/>
                <w:szCs w:val="22"/>
              </w:rPr>
              <w:t>s</w:t>
            </w:r>
            <w:r w:rsidR="00445B68" w:rsidRPr="00E23993">
              <w:rPr>
                <w:rFonts w:cstheme="minorHAnsi"/>
                <w:sz w:val="22"/>
                <w:szCs w:val="22"/>
              </w:rPr>
              <w:t xml:space="preserve"> </w:t>
            </w:r>
            <w:proofErr w:type="gramStart"/>
            <w:r w:rsidR="00445B68" w:rsidRPr="00E23993">
              <w:rPr>
                <w:rFonts w:cstheme="minorHAnsi"/>
                <w:sz w:val="22"/>
                <w:szCs w:val="22"/>
              </w:rPr>
              <w:t>d'étude</w:t>
            </w:r>
            <w:r w:rsidRPr="00E23993">
              <w:rPr>
                <w:rFonts w:cstheme="minorHAnsi"/>
                <w:sz w:val="22"/>
                <w:szCs w:val="22"/>
              </w:rPr>
              <w:t>s</w:t>
            </w:r>
            <w:r w:rsidR="00445B68" w:rsidRPr="00E23993">
              <w:rPr>
                <w:rFonts w:cstheme="minorHAnsi"/>
                <w:sz w:val="22"/>
                <w:szCs w:val="22"/>
              </w:rPr>
              <w:t>;</w:t>
            </w:r>
            <w:proofErr w:type="gramEnd"/>
          </w:p>
          <w:p w14:paraId="72C16123" w14:textId="3697E5BB" w:rsidR="00445B68" w:rsidRPr="00E23993" w:rsidRDefault="002D35C6" w:rsidP="00A5280F">
            <w:pPr>
              <w:tabs>
                <w:tab w:val="clear" w:pos="794"/>
                <w:tab w:val="left" w:pos="226"/>
                <w:tab w:val="left" w:pos="4111"/>
              </w:tabs>
              <w:spacing w:before="0"/>
              <w:ind w:left="226" w:hanging="226"/>
              <w:rPr>
                <w:rFonts w:cstheme="minorHAnsi"/>
                <w:sz w:val="22"/>
                <w:szCs w:val="22"/>
              </w:rPr>
            </w:pPr>
            <w:r w:rsidRPr="00E23993">
              <w:rPr>
                <w:rFonts w:cstheme="minorHAnsi"/>
                <w:sz w:val="22"/>
                <w:szCs w:val="22"/>
              </w:rPr>
              <w:t>–</w:t>
            </w:r>
            <w:r w:rsidR="00445B68" w:rsidRPr="00E23993">
              <w:rPr>
                <w:rFonts w:cstheme="minorHAnsi"/>
                <w:sz w:val="22"/>
                <w:szCs w:val="22"/>
              </w:rPr>
              <w:tab/>
            </w:r>
            <w:r w:rsidR="0023667A" w:rsidRPr="00E23993">
              <w:rPr>
                <w:rFonts w:cstheme="minorHAnsi"/>
                <w:sz w:val="22"/>
                <w:szCs w:val="22"/>
              </w:rPr>
              <w:t>Au</w:t>
            </w:r>
            <w:r w:rsidR="00445B68" w:rsidRPr="00E23993">
              <w:rPr>
                <w:rFonts w:cstheme="minorHAnsi"/>
                <w:sz w:val="22"/>
                <w:szCs w:val="22"/>
                <w:lang w:val="fr-CH"/>
              </w:rPr>
              <w:t xml:space="preserve"> Directeur </w:t>
            </w:r>
            <w:r w:rsidR="00445B68" w:rsidRPr="00E23993">
              <w:rPr>
                <w:rFonts w:cstheme="minorHAnsi"/>
                <w:sz w:val="22"/>
                <w:szCs w:val="22"/>
              </w:rPr>
              <w:t xml:space="preserve">du Bureau de développement des </w:t>
            </w:r>
            <w:proofErr w:type="gramStart"/>
            <w:r w:rsidR="00445B68" w:rsidRPr="00E23993">
              <w:rPr>
                <w:rFonts w:cstheme="minorHAnsi"/>
                <w:sz w:val="22"/>
                <w:szCs w:val="22"/>
              </w:rPr>
              <w:t>télécommunications;</w:t>
            </w:r>
            <w:proofErr w:type="gramEnd"/>
          </w:p>
          <w:p w14:paraId="25B1CBB2" w14:textId="77777777" w:rsidR="00445B68" w:rsidRPr="00E23993" w:rsidRDefault="002D35C6" w:rsidP="00A5280F">
            <w:pPr>
              <w:tabs>
                <w:tab w:val="left" w:pos="226"/>
                <w:tab w:val="left" w:pos="4111"/>
              </w:tabs>
              <w:spacing w:before="0"/>
              <w:ind w:left="226" w:hanging="226"/>
              <w:rPr>
                <w:rFonts w:cstheme="minorHAnsi"/>
                <w:sz w:val="22"/>
                <w:szCs w:val="22"/>
              </w:rPr>
            </w:pPr>
            <w:r w:rsidRPr="00E23993">
              <w:rPr>
                <w:rFonts w:cstheme="minorHAnsi"/>
                <w:sz w:val="22"/>
                <w:szCs w:val="22"/>
              </w:rPr>
              <w:t>–</w:t>
            </w:r>
            <w:r w:rsidR="00445B68" w:rsidRPr="00E23993">
              <w:rPr>
                <w:rFonts w:cstheme="minorHAnsi"/>
                <w:sz w:val="22"/>
                <w:szCs w:val="22"/>
              </w:rPr>
              <w:tab/>
              <w:t>Au Directeur du Bureau des</w:t>
            </w:r>
            <w:r w:rsidRPr="00E23993">
              <w:rPr>
                <w:rFonts w:cstheme="minorHAnsi"/>
                <w:sz w:val="22"/>
                <w:szCs w:val="22"/>
              </w:rPr>
              <w:t xml:space="preserve"> </w:t>
            </w:r>
            <w:proofErr w:type="gramStart"/>
            <w:r w:rsidR="00445B68" w:rsidRPr="00E23993">
              <w:rPr>
                <w:rFonts w:cstheme="minorHAnsi"/>
                <w:sz w:val="22"/>
                <w:szCs w:val="22"/>
              </w:rPr>
              <w:t>radiocommunications</w:t>
            </w:r>
            <w:r w:rsidRPr="00E23993">
              <w:rPr>
                <w:rFonts w:cstheme="minorHAnsi"/>
                <w:sz w:val="22"/>
                <w:szCs w:val="22"/>
              </w:rPr>
              <w:t>;</w:t>
            </w:r>
            <w:proofErr w:type="gramEnd"/>
          </w:p>
          <w:p w14:paraId="7FB8607D" w14:textId="5CBE0DE4" w:rsidR="002D35C6" w:rsidRPr="00E23993" w:rsidRDefault="002D35C6" w:rsidP="00A5280F">
            <w:pPr>
              <w:tabs>
                <w:tab w:val="left" w:pos="226"/>
                <w:tab w:val="left" w:pos="4111"/>
              </w:tabs>
              <w:spacing w:before="0"/>
              <w:ind w:left="226" w:hanging="226"/>
              <w:rPr>
                <w:rFonts w:cstheme="minorHAnsi"/>
                <w:sz w:val="22"/>
                <w:szCs w:val="22"/>
              </w:rPr>
            </w:pPr>
            <w:r w:rsidRPr="00E23993">
              <w:rPr>
                <w:rFonts w:cstheme="minorHAnsi"/>
                <w:sz w:val="22"/>
                <w:szCs w:val="22"/>
              </w:rPr>
              <w:t>–</w:t>
            </w:r>
            <w:r w:rsidRPr="00E23993">
              <w:rPr>
                <w:rFonts w:cstheme="minorHAnsi"/>
                <w:sz w:val="22"/>
                <w:szCs w:val="22"/>
              </w:rPr>
              <w:tab/>
              <w:t>Au Directeur du Bureau régional de l'UIT pour l'Afrique</w:t>
            </w:r>
          </w:p>
        </w:tc>
      </w:tr>
      <w:tr w:rsidR="002D35C6" w:rsidRPr="00E23993" w14:paraId="26018AB2" w14:textId="77777777" w:rsidTr="004717A8">
        <w:trPr>
          <w:cantSplit/>
          <w:trHeight w:val="340"/>
          <w:jc w:val="center"/>
        </w:trPr>
        <w:tc>
          <w:tcPr>
            <w:tcW w:w="0" w:type="auto"/>
          </w:tcPr>
          <w:p w14:paraId="7CCD810F" w14:textId="225E334C" w:rsidR="002D35C6" w:rsidRPr="00E23993" w:rsidRDefault="002D35C6" w:rsidP="00036F4F">
            <w:pPr>
              <w:tabs>
                <w:tab w:val="left" w:pos="4111"/>
              </w:tabs>
              <w:spacing w:before="10"/>
              <w:ind w:left="57"/>
              <w:rPr>
                <w:rFonts w:cstheme="minorHAnsi"/>
                <w:b/>
                <w:bCs/>
                <w:sz w:val="22"/>
                <w:szCs w:val="22"/>
              </w:rPr>
            </w:pPr>
            <w:proofErr w:type="gramStart"/>
            <w:r w:rsidRPr="00E23993">
              <w:rPr>
                <w:rFonts w:cstheme="minorHAnsi"/>
                <w:b/>
                <w:bCs/>
                <w:sz w:val="22"/>
                <w:szCs w:val="22"/>
              </w:rPr>
              <w:t>Contact:</w:t>
            </w:r>
            <w:proofErr w:type="gramEnd"/>
          </w:p>
        </w:tc>
        <w:tc>
          <w:tcPr>
            <w:tcW w:w="2832" w:type="dxa"/>
          </w:tcPr>
          <w:p w14:paraId="72DD250A" w14:textId="72657B17" w:rsidR="002D35C6" w:rsidRPr="00E23993" w:rsidRDefault="002D35C6" w:rsidP="00A5280F">
            <w:pPr>
              <w:tabs>
                <w:tab w:val="left" w:pos="4111"/>
              </w:tabs>
              <w:spacing w:before="10"/>
              <w:ind w:left="57"/>
              <w:rPr>
                <w:rFonts w:cstheme="minorHAnsi"/>
                <w:b/>
                <w:sz w:val="22"/>
                <w:szCs w:val="22"/>
              </w:rPr>
            </w:pPr>
            <w:r w:rsidRPr="00E23993">
              <w:rPr>
                <w:rFonts w:cstheme="minorHAnsi"/>
                <w:b/>
                <w:sz w:val="22"/>
                <w:szCs w:val="22"/>
              </w:rPr>
              <w:t>Gillian Makamara</w:t>
            </w:r>
          </w:p>
        </w:tc>
        <w:tc>
          <w:tcPr>
            <w:tcW w:w="5618" w:type="dxa"/>
            <w:vMerge/>
          </w:tcPr>
          <w:p w14:paraId="28E2F5EF" w14:textId="77777777" w:rsidR="002D35C6" w:rsidRPr="00E23993" w:rsidRDefault="002D35C6" w:rsidP="00A5280F">
            <w:pPr>
              <w:tabs>
                <w:tab w:val="clear" w:pos="794"/>
                <w:tab w:val="clear" w:pos="1191"/>
                <w:tab w:val="clear" w:pos="1588"/>
                <w:tab w:val="clear" w:pos="1985"/>
                <w:tab w:val="left" w:pos="284"/>
              </w:tabs>
              <w:spacing w:before="0"/>
              <w:ind w:left="284" w:hanging="227"/>
              <w:rPr>
                <w:rFonts w:cstheme="minorHAnsi"/>
                <w:sz w:val="22"/>
                <w:szCs w:val="22"/>
              </w:rPr>
            </w:pPr>
          </w:p>
        </w:tc>
      </w:tr>
      <w:tr w:rsidR="00445B68" w:rsidRPr="00E23993" w14:paraId="029AC162" w14:textId="77777777" w:rsidTr="004717A8">
        <w:trPr>
          <w:cantSplit/>
          <w:jc w:val="center"/>
        </w:trPr>
        <w:tc>
          <w:tcPr>
            <w:tcW w:w="0" w:type="auto"/>
          </w:tcPr>
          <w:p w14:paraId="33D6D359" w14:textId="77777777" w:rsidR="00445B68" w:rsidRPr="00E23993" w:rsidRDefault="00445B68" w:rsidP="00A5280F">
            <w:pPr>
              <w:tabs>
                <w:tab w:val="left" w:pos="4111"/>
              </w:tabs>
              <w:spacing w:before="10"/>
              <w:ind w:left="57"/>
              <w:rPr>
                <w:rFonts w:cstheme="minorHAnsi"/>
                <w:b/>
                <w:bCs/>
                <w:sz w:val="22"/>
                <w:szCs w:val="22"/>
              </w:rPr>
            </w:pPr>
            <w:proofErr w:type="gramStart"/>
            <w:r w:rsidRPr="00E23993">
              <w:rPr>
                <w:rFonts w:cstheme="minorHAnsi"/>
                <w:b/>
                <w:bCs/>
                <w:sz w:val="22"/>
                <w:szCs w:val="22"/>
              </w:rPr>
              <w:t>Tél.:</w:t>
            </w:r>
            <w:proofErr w:type="gramEnd"/>
          </w:p>
        </w:tc>
        <w:tc>
          <w:tcPr>
            <w:tcW w:w="2832" w:type="dxa"/>
          </w:tcPr>
          <w:p w14:paraId="5376DEBD" w14:textId="2614F757" w:rsidR="00445B68" w:rsidRPr="00E23993" w:rsidRDefault="00445B68" w:rsidP="00A5280F">
            <w:pPr>
              <w:tabs>
                <w:tab w:val="left" w:pos="4111"/>
              </w:tabs>
              <w:spacing w:before="0"/>
              <w:ind w:left="57"/>
              <w:rPr>
                <w:rFonts w:cstheme="minorHAnsi"/>
                <w:sz w:val="22"/>
                <w:szCs w:val="22"/>
              </w:rPr>
            </w:pPr>
            <w:r w:rsidRPr="00E23993">
              <w:rPr>
                <w:rFonts w:cstheme="minorHAnsi"/>
                <w:sz w:val="22"/>
                <w:szCs w:val="22"/>
              </w:rPr>
              <w:t>+41 22 730</w:t>
            </w:r>
            <w:r w:rsidR="002D35C6" w:rsidRPr="00E23993">
              <w:rPr>
                <w:rFonts w:cstheme="minorHAnsi"/>
                <w:sz w:val="22"/>
                <w:szCs w:val="22"/>
              </w:rPr>
              <w:t xml:space="preserve"> 5893</w:t>
            </w:r>
          </w:p>
        </w:tc>
        <w:tc>
          <w:tcPr>
            <w:tcW w:w="5618" w:type="dxa"/>
            <w:vMerge/>
          </w:tcPr>
          <w:p w14:paraId="124BD799" w14:textId="77777777" w:rsidR="00445B68" w:rsidRPr="00E23993" w:rsidRDefault="00445B68" w:rsidP="00A5280F">
            <w:pPr>
              <w:tabs>
                <w:tab w:val="left" w:pos="226"/>
                <w:tab w:val="left" w:pos="4111"/>
              </w:tabs>
              <w:spacing w:before="0"/>
              <w:ind w:left="226" w:hanging="226"/>
              <w:rPr>
                <w:rFonts w:cstheme="minorHAnsi"/>
                <w:b/>
                <w:sz w:val="22"/>
                <w:szCs w:val="22"/>
              </w:rPr>
            </w:pPr>
          </w:p>
        </w:tc>
      </w:tr>
      <w:tr w:rsidR="00445B68" w:rsidRPr="00E23993" w14:paraId="4DBFB76D" w14:textId="77777777" w:rsidTr="004717A8">
        <w:trPr>
          <w:cantSplit/>
          <w:jc w:val="center"/>
        </w:trPr>
        <w:tc>
          <w:tcPr>
            <w:tcW w:w="0" w:type="auto"/>
          </w:tcPr>
          <w:p w14:paraId="05F973F1" w14:textId="77777777" w:rsidR="00445B68" w:rsidRPr="00E23993" w:rsidRDefault="00445B68" w:rsidP="00A5280F">
            <w:pPr>
              <w:tabs>
                <w:tab w:val="left" w:pos="4111"/>
              </w:tabs>
              <w:spacing w:before="10"/>
              <w:ind w:left="57"/>
              <w:rPr>
                <w:rFonts w:cstheme="minorHAnsi"/>
                <w:b/>
                <w:bCs/>
                <w:sz w:val="22"/>
                <w:szCs w:val="22"/>
              </w:rPr>
            </w:pPr>
            <w:proofErr w:type="gramStart"/>
            <w:r w:rsidRPr="00E23993">
              <w:rPr>
                <w:rFonts w:cstheme="minorHAnsi"/>
                <w:b/>
                <w:bCs/>
                <w:sz w:val="22"/>
                <w:szCs w:val="22"/>
              </w:rPr>
              <w:t>Télécopie:</w:t>
            </w:r>
            <w:proofErr w:type="gramEnd"/>
          </w:p>
        </w:tc>
        <w:tc>
          <w:tcPr>
            <w:tcW w:w="2832" w:type="dxa"/>
          </w:tcPr>
          <w:p w14:paraId="4DE1A5E4" w14:textId="77777777" w:rsidR="00445B68" w:rsidRPr="00E23993" w:rsidRDefault="00445B68" w:rsidP="00A5280F">
            <w:pPr>
              <w:tabs>
                <w:tab w:val="left" w:pos="4111"/>
              </w:tabs>
              <w:spacing w:before="0"/>
              <w:ind w:left="57"/>
              <w:rPr>
                <w:rFonts w:cstheme="minorHAnsi"/>
                <w:sz w:val="22"/>
                <w:szCs w:val="22"/>
              </w:rPr>
            </w:pPr>
            <w:r w:rsidRPr="00E23993">
              <w:rPr>
                <w:rFonts w:cstheme="minorHAnsi"/>
                <w:sz w:val="22"/>
                <w:szCs w:val="22"/>
              </w:rPr>
              <w:t>+41 22 730 5853</w:t>
            </w:r>
          </w:p>
        </w:tc>
        <w:tc>
          <w:tcPr>
            <w:tcW w:w="5618" w:type="dxa"/>
            <w:vMerge/>
          </w:tcPr>
          <w:p w14:paraId="64A5F548" w14:textId="77777777" w:rsidR="00445B68" w:rsidRPr="00E23993" w:rsidRDefault="00445B68" w:rsidP="00A5280F">
            <w:pPr>
              <w:tabs>
                <w:tab w:val="left" w:pos="226"/>
                <w:tab w:val="left" w:pos="4111"/>
              </w:tabs>
              <w:spacing w:before="0"/>
              <w:ind w:left="226" w:hanging="226"/>
              <w:rPr>
                <w:rFonts w:cstheme="minorHAnsi"/>
                <w:b/>
                <w:sz w:val="22"/>
                <w:szCs w:val="22"/>
              </w:rPr>
            </w:pPr>
          </w:p>
        </w:tc>
      </w:tr>
      <w:tr w:rsidR="00445B68" w:rsidRPr="00E23993" w14:paraId="1B1B90CF" w14:textId="77777777" w:rsidTr="004717A8">
        <w:trPr>
          <w:cantSplit/>
          <w:jc w:val="center"/>
        </w:trPr>
        <w:tc>
          <w:tcPr>
            <w:tcW w:w="0" w:type="auto"/>
          </w:tcPr>
          <w:p w14:paraId="4EECBC7E" w14:textId="77777777" w:rsidR="00445B68" w:rsidRPr="00E23993" w:rsidRDefault="00445B68" w:rsidP="00A5280F">
            <w:pPr>
              <w:tabs>
                <w:tab w:val="left" w:pos="4111"/>
              </w:tabs>
              <w:spacing w:before="10"/>
              <w:ind w:left="57"/>
              <w:rPr>
                <w:rFonts w:cstheme="minorHAnsi"/>
                <w:b/>
                <w:bCs/>
                <w:sz w:val="22"/>
                <w:szCs w:val="22"/>
              </w:rPr>
            </w:pPr>
            <w:proofErr w:type="gramStart"/>
            <w:r w:rsidRPr="00E23993">
              <w:rPr>
                <w:rFonts w:cstheme="minorHAnsi"/>
                <w:b/>
                <w:bCs/>
                <w:sz w:val="22"/>
                <w:szCs w:val="22"/>
              </w:rPr>
              <w:t>Courriel:</w:t>
            </w:r>
            <w:proofErr w:type="gramEnd"/>
          </w:p>
        </w:tc>
        <w:tc>
          <w:tcPr>
            <w:tcW w:w="2832" w:type="dxa"/>
          </w:tcPr>
          <w:p w14:paraId="4A24ED08" w14:textId="77777777" w:rsidR="00445B68" w:rsidRPr="00E23993" w:rsidRDefault="00100D31" w:rsidP="00A5280F">
            <w:pPr>
              <w:tabs>
                <w:tab w:val="left" w:pos="4111"/>
              </w:tabs>
              <w:spacing w:before="0"/>
              <w:ind w:left="57"/>
              <w:rPr>
                <w:rFonts w:cstheme="minorHAnsi"/>
                <w:sz w:val="22"/>
                <w:szCs w:val="22"/>
              </w:rPr>
            </w:pPr>
            <w:hyperlink r:id="rId9" w:history="1">
              <w:r w:rsidR="002D35C6" w:rsidRPr="00E23993">
                <w:rPr>
                  <w:rStyle w:val="Hyperlink"/>
                  <w:rFonts w:cstheme="minorHAnsi"/>
                  <w:sz w:val="22"/>
                  <w:szCs w:val="22"/>
                </w:rPr>
                <w:t>tsbsg17@itu.int</w:t>
              </w:r>
            </w:hyperlink>
          </w:p>
          <w:p w14:paraId="6B081D31" w14:textId="78B609C6" w:rsidR="002D35C6" w:rsidRPr="00E23993" w:rsidRDefault="00100D31" w:rsidP="00A5280F">
            <w:pPr>
              <w:tabs>
                <w:tab w:val="left" w:pos="4111"/>
              </w:tabs>
              <w:spacing w:before="0"/>
              <w:ind w:left="57"/>
              <w:rPr>
                <w:rStyle w:val="Hyperlink"/>
                <w:rFonts w:cstheme="minorHAnsi"/>
                <w:sz w:val="22"/>
                <w:szCs w:val="22"/>
              </w:rPr>
            </w:pPr>
            <w:hyperlink r:id="rId10" w:history="1">
              <w:r w:rsidR="002D35C6" w:rsidRPr="00E23993">
                <w:rPr>
                  <w:rStyle w:val="Hyperlink"/>
                  <w:rFonts w:cstheme="minorHAnsi"/>
                  <w:sz w:val="22"/>
                  <w:szCs w:val="22"/>
                </w:rPr>
                <w:t>tsbevents@itu.int</w:t>
              </w:r>
            </w:hyperlink>
          </w:p>
        </w:tc>
        <w:tc>
          <w:tcPr>
            <w:tcW w:w="5618" w:type="dxa"/>
            <w:vMerge/>
          </w:tcPr>
          <w:p w14:paraId="3154BE76" w14:textId="77777777" w:rsidR="00445B68" w:rsidRPr="00E23993" w:rsidRDefault="00445B68" w:rsidP="00A5280F">
            <w:pPr>
              <w:tabs>
                <w:tab w:val="clear" w:pos="794"/>
                <w:tab w:val="left" w:pos="226"/>
                <w:tab w:val="left" w:pos="4111"/>
              </w:tabs>
              <w:spacing w:before="0"/>
              <w:ind w:left="226" w:hanging="226"/>
              <w:rPr>
                <w:rFonts w:cstheme="minorHAnsi"/>
                <w:sz w:val="22"/>
                <w:szCs w:val="22"/>
              </w:rPr>
            </w:pPr>
          </w:p>
        </w:tc>
      </w:tr>
      <w:tr w:rsidR="00517A03" w:rsidRPr="00E23993" w14:paraId="0BC50C40" w14:textId="77777777" w:rsidTr="004717A8">
        <w:trPr>
          <w:cantSplit/>
          <w:trHeight w:val="397"/>
          <w:jc w:val="center"/>
        </w:trPr>
        <w:tc>
          <w:tcPr>
            <w:tcW w:w="0" w:type="auto"/>
          </w:tcPr>
          <w:p w14:paraId="3AF631CD" w14:textId="77777777" w:rsidR="00517A03" w:rsidRPr="00E23993" w:rsidRDefault="00517A03" w:rsidP="00C13ABF">
            <w:pPr>
              <w:tabs>
                <w:tab w:val="left" w:pos="4111"/>
              </w:tabs>
              <w:ind w:left="57"/>
              <w:rPr>
                <w:rFonts w:cstheme="minorHAnsi"/>
                <w:b/>
                <w:bCs/>
                <w:sz w:val="22"/>
                <w:szCs w:val="22"/>
              </w:rPr>
            </w:pPr>
            <w:proofErr w:type="gramStart"/>
            <w:r w:rsidRPr="00E23993">
              <w:rPr>
                <w:rFonts w:cstheme="minorHAnsi"/>
                <w:b/>
                <w:bCs/>
                <w:sz w:val="22"/>
                <w:szCs w:val="22"/>
              </w:rPr>
              <w:t>Objet:</w:t>
            </w:r>
            <w:proofErr w:type="gramEnd"/>
          </w:p>
        </w:tc>
        <w:tc>
          <w:tcPr>
            <w:tcW w:w="0" w:type="auto"/>
            <w:gridSpan w:val="2"/>
          </w:tcPr>
          <w:p w14:paraId="11E14FF4" w14:textId="2F36AE2B" w:rsidR="00517A03" w:rsidRPr="00E23993" w:rsidRDefault="002D35C6" w:rsidP="00C13ABF">
            <w:pPr>
              <w:tabs>
                <w:tab w:val="left" w:pos="4111"/>
              </w:tabs>
              <w:ind w:left="57"/>
              <w:rPr>
                <w:rFonts w:cstheme="minorHAnsi"/>
                <w:b/>
                <w:bCs/>
                <w:sz w:val="22"/>
                <w:szCs w:val="22"/>
              </w:rPr>
            </w:pPr>
            <w:r w:rsidRPr="00E23993">
              <w:rPr>
                <w:rFonts w:cstheme="minorHAnsi"/>
                <w:b/>
                <w:bCs/>
                <w:sz w:val="22"/>
                <w:szCs w:val="22"/>
              </w:rPr>
              <w:t>Sommet régional africain sur la cybersécurité</w:t>
            </w:r>
            <w:r w:rsidRPr="00E23993">
              <w:rPr>
                <w:rFonts w:cstheme="minorHAnsi"/>
                <w:b/>
                <w:bCs/>
                <w:sz w:val="22"/>
                <w:szCs w:val="22"/>
              </w:rPr>
              <w:br/>
              <w:t>(Kampala, Ouganda, 20-23 novembre 2023)</w:t>
            </w:r>
          </w:p>
        </w:tc>
      </w:tr>
    </w:tbl>
    <w:p w14:paraId="2173A71A" w14:textId="77777777" w:rsidR="00517A03" w:rsidRPr="00E23993" w:rsidRDefault="00517A03" w:rsidP="00C13ABF">
      <w:pPr>
        <w:spacing w:before="240"/>
        <w:rPr>
          <w:rFonts w:cstheme="minorHAnsi"/>
          <w:sz w:val="22"/>
          <w:szCs w:val="22"/>
        </w:rPr>
      </w:pPr>
      <w:bookmarkStart w:id="1" w:name="StartTyping_F"/>
      <w:bookmarkEnd w:id="1"/>
      <w:r w:rsidRPr="00E23993">
        <w:rPr>
          <w:rFonts w:cstheme="minorHAnsi"/>
          <w:sz w:val="22"/>
          <w:szCs w:val="22"/>
        </w:rPr>
        <w:t>Madame, Monsieur,</w:t>
      </w:r>
    </w:p>
    <w:p w14:paraId="1A868E12" w14:textId="77777777" w:rsidR="002D35C6" w:rsidRPr="00E23993" w:rsidRDefault="002D35C6" w:rsidP="002D35C6">
      <w:pPr>
        <w:rPr>
          <w:rFonts w:cstheme="minorHAnsi"/>
          <w:sz w:val="22"/>
          <w:szCs w:val="22"/>
          <w:lang w:val="fr-CH"/>
        </w:rPr>
      </w:pPr>
      <w:r w:rsidRPr="00E23993">
        <w:rPr>
          <w:rFonts w:cstheme="minorHAnsi"/>
          <w:sz w:val="22"/>
          <w:szCs w:val="22"/>
          <w:lang w:val="fr-CH"/>
        </w:rPr>
        <w:t>1</w:t>
      </w:r>
      <w:r w:rsidRPr="00E23993">
        <w:rPr>
          <w:rFonts w:cstheme="minorHAnsi"/>
          <w:sz w:val="22"/>
          <w:szCs w:val="22"/>
          <w:lang w:val="fr-CH"/>
        </w:rPr>
        <w:tab/>
        <w:t>J'ai l'honneur de vous informer qu'à l'aimable invitation de la Commission des communications de l'Ouganda (UCC), en collaboration avec l'Équipe d'intervention en cas d'urgence informatique de l'Ouganda (UG-CERT) et avec le concours d'</w:t>
      </w:r>
      <w:proofErr w:type="spellStart"/>
      <w:r w:rsidRPr="00E23993">
        <w:rPr>
          <w:rFonts w:cstheme="minorHAnsi"/>
          <w:sz w:val="22"/>
          <w:szCs w:val="22"/>
          <w:lang w:val="fr-CH"/>
        </w:rPr>
        <w:t>AfricaCERT</w:t>
      </w:r>
      <w:proofErr w:type="spellEnd"/>
      <w:r w:rsidRPr="00E23993">
        <w:rPr>
          <w:rFonts w:cstheme="minorHAnsi"/>
          <w:sz w:val="22"/>
          <w:szCs w:val="22"/>
          <w:lang w:val="fr-CH"/>
        </w:rPr>
        <w:t>, l'Union internationale des télécommunications (UIT) organise un "</w:t>
      </w:r>
      <w:r w:rsidRPr="00E23993">
        <w:rPr>
          <w:rFonts w:cstheme="minorHAnsi"/>
          <w:b/>
          <w:sz w:val="22"/>
          <w:szCs w:val="22"/>
          <w:lang w:val="fr-CH"/>
        </w:rPr>
        <w:t>Sommet régional africain sur la cybersécurité</w:t>
      </w:r>
      <w:r w:rsidRPr="00E23993">
        <w:rPr>
          <w:rFonts w:cstheme="minorHAnsi"/>
          <w:sz w:val="22"/>
          <w:szCs w:val="22"/>
          <w:lang w:val="fr-CH"/>
        </w:rPr>
        <w:t>" à Kampala (Ouganda), du 20 au 23 novembre 2023.</w:t>
      </w:r>
    </w:p>
    <w:p w14:paraId="3705048F" w14:textId="184FF4D8" w:rsidR="002D35C6" w:rsidRPr="00E23993" w:rsidRDefault="002D35C6" w:rsidP="002D35C6">
      <w:pPr>
        <w:rPr>
          <w:rFonts w:cstheme="minorHAnsi"/>
          <w:sz w:val="22"/>
          <w:szCs w:val="22"/>
          <w:lang w:val="fr-CH"/>
        </w:rPr>
      </w:pPr>
      <w:r w:rsidRPr="00E23993">
        <w:rPr>
          <w:rFonts w:cstheme="minorHAnsi"/>
          <w:sz w:val="22"/>
          <w:szCs w:val="22"/>
          <w:lang w:val="fr-CH"/>
        </w:rPr>
        <w:t>2</w:t>
      </w:r>
      <w:r w:rsidRPr="00E23993">
        <w:rPr>
          <w:rFonts w:cstheme="minorHAnsi"/>
          <w:sz w:val="22"/>
          <w:szCs w:val="22"/>
          <w:lang w:val="fr-CH"/>
        </w:rPr>
        <w:tab/>
        <w:t>Dans notre monde de plus en plus interconnecté, la cybersécurité devient primordiale pour ce qui est de protéger les données sensibles, renforcer les infrastructures essentielles et accroître la confiance dans nos transactions numériques. La Résolution 130 de la Conférence de plénipotentiaires de l'UIT, qui souligne la nécessité de renforcer le rôle de l'UIT dans l'instauration de la confiance et de la sécurité dans l'utilisation des TIC, énonce des principes centraux et directeurs prévalant pour ce sommet régional sur la cybersécurité.</w:t>
      </w:r>
    </w:p>
    <w:p w14:paraId="568CA861" w14:textId="664C37E0" w:rsidR="002D35C6" w:rsidRPr="00E23993" w:rsidRDefault="002D35C6" w:rsidP="002D35C6">
      <w:pPr>
        <w:rPr>
          <w:rFonts w:cstheme="minorHAnsi"/>
          <w:sz w:val="22"/>
          <w:szCs w:val="22"/>
          <w:lang w:val="fr-CH"/>
        </w:rPr>
      </w:pPr>
      <w:r w:rsidRPr="00E23993">
        <w:rPr>
          <w:rFonts w:cstheme="minorHAnsi"/>
          <w:sz w:val="22"/>
          <w:szCs w:val="22"/>
          <w:lang w:val="fr-CH"/>
        </w:rPr>
        <w:t xml:space="preserve">En outre, la tenue de ce sommet est conforme à de nombreuses autres Résolutions de premier plan, dont </w:t>
      </w:r>
      <w:r w:rsidRPr="00E23993">
        <w:rPr>
          <w:rFonts w:cstheme="minorHAnsi"/>
          <w:sz w:val="22"/>
          <w:szCs w:val="22"/>
        </w:rPr>
        <w:t xml:space="preserve">la </w:t>
      </w:r>
      <w:hyperlink r:id="rId11" w:history="1">
        <w:r w:rsidRPr="00E23993">
          <w:rPr>
            <w:rStyle w:val="Hyperlink"/>
            <w:rFonts w:cstheme="minorHAnsi"/>
            <w:sz w:val="22"/>
            <w:szCs w:val="22"/>
          </w:rPr>
          <w:t>Résolution 50 de l'AMNT</w:t>
        </w:r>
      </w:hyperlink>
      <w:r w:rsidRPr="00E23993">
        <w:rPr>
          <w:rFonts w:cstheme="minorHAnsi"/>
          <w:sz w:val="22"/>
          <w:szCs w:val="22"/>
        </w:rPr>
        <w:t xml:space="preserve"> sur la cybersécurité, la </w:t>
      </w:r>
      <w:hyperlink r:id="rId12" w:history="1">
        <w:r w:rsidRPr="00E23993">
          <w:rPr>
            <w:rStyle w:val="Hyperlink"/>
            <w:rFonts w:cstheme="minorHAnsi"/>
            <w:sz w:val="22"/>
            <w:szCs w:val="22"/>
          </w:rPr>
          <w:t>Résolution 58 de l'AMNT</w:t>
        </w:r>
      </w:hyperlink>
      <w:r w:rsidRPr="00E23993">
        <w:rPr>
          <w:rFonts w:cstheme="minorHAnsi"/>
          <w:sz w:val="22"/>
          <w:szCs w:val="22"/>
          <w:lang w:val="fr-CH"/>
        </w:rPr>
        <w:t xml:space="preserve"> visant à encourager la création d'équipes nationales d'intervention en cas d'incident informatique, en particulier dans les pays en développement, et la Résolution 69 de la CMDT, qui vise à appuyer la création d'équipes d'intervention en cas d'incident informatique (CIRT), notamment dans les pays en développement, et à favoriser la collaboration entre ces équipes. De plus, les organisateurs de ce sommet reconnaissent et respectent la Résolution 45 de la CMDT, qui appelle à améliorer les stratégies de coopération dans le domaine de la cybersécurité, notamment pour lutter contre les spams et les limiter.</w:t>
      </w:r>
    </w:p>
    <w:p w14:paraId="6D24878C" w14:textId="5BBADFF1" w:rsidR="002D35C6" w:rsidRPr="00E23993" w:rsidRDefault="002D35C6" w:rsidP="002D35C6">
      <w:pPr>
        <w:rPr>
          <w:rFonts w:cstheme="minorHAnsi"/>
          <w:sz w:val="22"/>
          <w:szCs w:val="22"/>
          <w:lang w:val="fr-CH"/>
        </w:rPr>
      </w:pPr>
      <w:r w:rsidRPr="00E23993">
        <w:rPr>
          <w:rFonts w:cstheme="minorHAnsi"/>
          <w:sz w:val="22"/>
          <w:szCs w:val="22"/>
          <w:lang w:val="fr-CH"/>
        </w:rPr>
        <w:t>En outre, les objectifs du sommet s</w:t>
      </w:r>
      <w:r w:rsidR="002442CD" w:rsidRPr="00E23993">
        <w:rPr>
          <w:rFonts w:cstheme="minorHAnsi"/>
          <w:sz w:val="22"/>
          <w:szCs w:val="22"/>
          <w:lang w:val="fr-CH"/>
        </w:rPr>
        <w:t>'</w:t>
      </w:r>
      <w:r w:rsidRPr="00E23993">
        <w:rPr>
          <w:rFonts w:cstheme="minorHAnsi"/>
          <w:sz w:val="22"/>
          <w:szCs w:val="22"/>
          <w:lang w:val="fr-CH"/>
        </w:rPr>
        <w:t xml:space="preserve">inscrivent dans les priorités de la troisième initiative régionale pour l'Afrique, qui met l'accent sur la fiabilité, la sûreté et la sécurité du déploiement des télécommunications/TIC et sur la protection des informations personnelles, et avec la </w:t>
      </w:r>
      <w:hyperlink r:id="rId13" w:history="1">
        <w:r w:rsidRPr="00E23993">
          <w:rPr>
            <w:rStyle w:val="Hyperlink"/>
            <w:rFonts w:cstheme="minorHAnsi"/>
            <w:sz w:val="22"/>
            <w:szCs w:val="22"/>
            <w:lang w:val="fr-CH"/>
          </w:rPr>
          <w:t>Résolution</w:t>
        </w:r>
        <w:r w:rsidR="007A0CD6" w:rsidRPr="00E23993">
          <w:rPr>
            <w:rStyle w:val="Hyperlink"/>
            <w:rFonts w:cstheme="minorHAnsi"/>
            <w:sz w:val="22"/>
            <w:szCs w:val="22"/>
            <w:lang w:val="fr-CH"/>
          </w:rPr>
          <w:t> </w:t>
        </w:r>
        <w:r w:rsidRPr="00E23993">
          <w:rPr>
            <w:rStyle w:val="Hyperlink"/>
            <w:rFonts w:cstheme="minorHAnsi"/>
            <w:sz w:val="22"/>
            <w:szCs w:val="22"/>
            <w:lang w:val="fr-CH"/>
          </w:rPr>
          <w:t>89 de la CMDT</w:t>
        </w:r>
      </w:hyperlink>
      <w:r w:rsidRPr="00E23993">
        <w:rPr>
          <w:rFonts w:cstheme="minorHAnsi"/>
          <w:sz w:val="22"/>
          <w:szCs w:val="22"/>
          <w:lang w:val="fr-CH"/>
        </w:rPr>
        <w:t>, dans laquelle il est proposé d'utiliser les TIC pour réduire les disparités en matière d'inclusion financière.</w:t>
      </w:r>
    </w:p>
    <w:p w14:paraId="2D70FECC" w14:textId="77777777" w:rsidR="002D35C6" w:rsidRPr="00E23993" w:rsidRDefault="002D35C6" w:rsidP="007A0CD6">
      <w:pPr>
        <w:keepNext/>
        <w:rPr>
          <w:rFonts w:cstheme="minorHAnsi"/>
          <w:sz w:val="22"/>
          <w:szCs w:val="22"/>
          <w:lang w:val="fr-CH"/>
        </w:rPr>
      </w:pPr>
      <w:r w:rsidRPr="00E23993">
        <w:rPr>
          <w:rFonts w:cstheme="minorHAnsi"/>
          <w:sz w:val="22"/>
          <w:szCs w:val="22"/>
          <w:lang w:val="fr-CH"/>
        </w:rPr>
        <w:t xml:space="preserve">Les objectifs de ce sommet sont notamment, mais pas exclusivement, les </w:t>
      </w:r>
      <w:proofErr w:type="gramStart"/>
      <w:r w:rsidRPr="00E23993">
        <w:rPr>
          <w:rFonts w:cstheme="minorHAnsi"/>
          <w:sz w:val="22"/>
          <w:szCs w:val="22"/>
          <w:lang w:val="fr-CH"/>
        </w:rPr>
        <w:t>suivants:</w:t>
      </w:r>
      <w:proofErr w:type="gramEnd"/>
    </w:p>
    <w:p w14:paraId="62EB922D" w14:textId="42C63C3C" w:rsidR="002D35C6" w:rsidRPr="00E23993" w:rsidRDefault="007A0CD6" w:rsidP="007A0CD6">
      <w:pPr>
        <w:pStyle w:val="enumlev1"/>
        <w:rPr>
          <w:rFonts w:cstheme="minorHAnsi"/>
          <w:sz w:val="22"/>
          <w:szCs w:val="22"/>
          <w:lang w:val="fr-CH"/>
        </w:rPr>
      </w:pPr>
      <w:r w:rsidRPr="00E23993">
        <w:rPr>
          <w:rFonts w:cstheme="minorHAnsi"/>
          <w:sz w:val="22"/>
          <w:szCs w:val="22"/>
          <w:lang w:val="fr-CH"/>
        </w:rPr>
        <w:t>–</w:t>
      </w:r>
      <w:r w:rsidRPr="00E23993">
        <w:rPr>
          <w:rFonts w:cstheme="minorHAnsi"/>
          <w:sz w:val="22"/>
          <w:szCs w:val="22"/>
          <w:lang w:val="fr-CH"/>
        </w:rPr>
        <w:tab/>
      </w:r>
      <w:r w:rsidR="002D35C6" w:rsidRPr="00E23993">
        <w:rPr>
          <w:rFonts w:cstheme="minorHAnsi"/>
          <w:sz w:val="22"/>
          <w:szCs w:val="22"/>
          <w:lang w:val="fr-CH"/>
        </w:rPr>
        <w:t xml:space="preserve">présenter les travaux de la Commission d'études 17 de l'UIT-T et les principales normes de sécurité, en mettant l'accent sur la </w:t>
      </w:r>
      <w:hyperlink r:id="rId14" w:history="1">
        <w:r w:rsidR="002D35C6" w:rsidRPr="00E23993">
          <w:rPr>
            <w:rStyle w:val="Hyperlink"/>
            <w:rFonts w:cstheme="minorHAnsi"/>
            <w:sz w:val="22"/>
            <w:szCs w:val="22"/>
            <w:lang w:val="fr-CH"/>
          </w:rPr>
          <w:t>Recommandation UIT-T X.1060</w:t>
        </w:r>
      </w:hyperlink>
      <w:r w:rsidR="002D35C6" w:rsidRPr="00E23993">
        <w:rPr>
          <w:rFonts w:cstheme="minorHAnsi"/>
          <w:sz w:val="22"/>
          <w:szCs w:val="22"/>
          <w:lang w:val="fr-CH"/>
        </w:rPr>
        <w:t xml:space="preserve"> intitulée "Cadre relatif à la création et à l'exploitation d'un centre de cyberdéfense</w:t>
      </w:r>
      <w:proofErr w:type="gramStart"/>
      <w:r w:rsidR="002D35C6" w:rsidRPr="00E23993">
        <w:rPr>
          <w:rFonts w:cstheme="minorHAnsi"/>
          <w:sz w:val="22"/>
          <w:szCs w:val="22"/>
          <w:lang w:val="fr-CH"/>
        </w:rPr>
        <w:t>";</w:t>
      </w:r>
      <w:proofErr w:type="gramEnd"/>
    </w:p>
    <w:p w14:paraId="0253BFCA" w14:textId="4EF5BA36" w:rsidR="002D35C6" w:rsidRPr="00E23993" w:rsidRDefault="007A0CD6" w:rsidP="007A0CD6">
      <w:pPr>
        <w:pStyle w:val="enumlev1"/>
        <w:rPr>
          <w:rFonts w:cstheme="minorHAnsi"/>
          <w:sz w:val="22"/>
          <w:szCs w:val="22"/>
          <w:lang w:val="fr-CH"/>
        </w:rPr>
      </w:pPr>
      <w:r w:rsidRPr="00E23993">
        <w:rPr>
          <w:rFonts w:cstheme="minorHAnsi"/>
          <w:sz w:val="22"/>
          <w:szCs w:val="22"/>
          <w:lang w:val="fr-CH"/>
        </w:rPr>
        <w:lastRenderedPageBreak/>
        <w:t>–</w:t>
      </w:r>
      <w:r w:rsidRPr="00E23993">
        <w:rPr>
          <w:rFonts w:cstheme="minorHAnsi"/>
          <w:sz w:val="22"/>
          <w:szCs w:val="22"/>
          <w:lang w:val="fr-CH"/>
        </w:rPr>
        <w:tab/>
      </w:r>
      <w:r w:rsidR="002D35C6" w:rsidRPr="00E23993">
        <w:rPr>
          <w:rFonts w:cstheme="minorHAnsi"/>
          <w:sz w:val="22"/>
          <w:szCs w:val="22"/>
          <w:lang w:val="fr-CH"/>
        </w:rPr>
        <w:t xml:space="preserve">faciliter l'échange de bonnes pratiques, de données d'expérience et d'enseignements tirés en ce qui concerne les fondements de sécurité pour les opérateurs de télécommunication et la sécurité des technologies </w:t>
      </w:r>
      <w:proofErr w:type="gramStart"/>
      <w:r w:rsidR="002D35C6" w:rsidRPr="00E23993">
        <w:rPr>
          <w:rFonts w:cstheme="minorHAnsi"/>
          <w:sz w:val="22"/>
          <w:szCs w:val="22"/>
          <w:lang w:val="fr-CH"/>
        </w:rPr>
        <w:t>émergentes;</w:t>
      </w:r>
      <w:proofErr w:type="gramEnd"/>
    </w:p>
    <w:p w14:paraId="61F14A06" w14:textId="5CCBE281" w:rsidR="002D35C6" w:rsidRPr="00E23993" w:rsidRDefault="007A0CD6" w:rsidP="007A0CD6">
      <w:pPr>
        <w:pStyle w:val="enumlev1"/>
        <w:rPr>
          <w:rFonts w:cstheme="minorHAnsi"/>
          <w:sz w:val="22"/>
          <w:szCs w:val="22"/>
          <w:lang w:val="fr-CH"/>
        </w:rPr>
      </w:pPr>
      <w:r w:rsidRPr="00E23993">
        <w:rPr>
          <w:rFonts w:cstheme="minorHAnsi"/>
          <w:sz w:val="22"/>
          <w:szCs w:val="22"/>
          <w:lang w:val="fr-CH"/>
        </w:rPr>
        <w:t>–</w:t>
      </w:r>
      <w:r w:rsidRPr="00E23993">
        <w:rPr>
          <w:rFonts w:cstheme="minorHAnsi"/>
          <w:sz w:val="22"/>
          <w:szCs w:val="22"/>
          <w:lang w:val="fr-CH"/>
        </w:rPr>
        <w:tab/>
      </w:r>
      <w:r w:rsidR="002D35C6" w:rsidRPr="00E23993">
        <w:rPr>
          <w:rFonts w:cstheme="minorHAnsi"/>
          <w:sz w:val="22"/>
          <w:szCs w:val="22"/>
          <w:lang w:val="fr-CH"/>
        </w:rPr>
        <w:t xml:space="preserve">présenter le </w:t>
      </w:r>
      <w:hyperlink r:id="rId15" w:history="1">
        <w:r w:rsidR="002D35C6" w:rsidRPr="00E23993">
          <w:rPr>
            <w:rStyle w:val="Hyperlink"/>
            <w:rFonts w:cstheme="minorHAnsi"/>
            <w:sz w:val="22"/>
            <w:szCs w:val="22"/>
            <w:lang w:val="fr-CH"/>
          </w:rPr>
          <w:t>Laboratoire de sécurité des services financiers numériques (DFS) de l'UIT</w:t>
        </w:r>
      </w:hyperlink>
      <w:r w:rsidR="002D35C6" w:rsidRPr="00E23993">
        <w:rPr>
          <w:rFonts w:cstheme="minorHAnsi"/>
          <w:sz w:val="22"/>
          <w:szCs w:val="22"/>
          <w:lang w:val="fr-CH"/>
        </w:rPr>
        <w:t xml:space="preserve"> et les orientations pratiques fournies aux pays en développement pour leur permettre de mettre en œuvre des cadres robustes sur la garantie de la sécurité des services financiers </w:t>
      </w:r>
      <w:proofErr w:type="gramStart"/>
      <w:r w:rsidR="002D35C6" w:rsidRPr="00E23993">
        <w:rPr>
          <w:rFonts w:cstheme="minorHAnsi"/>
          <w:sz w:val="22"/>
          <w:szCs w:val="22"/>
          <w:lang w:val="fr-CH"/>
        </w:rPr>
        <w:t>numériques;</w:t>
      </w:r>
      <w:proofErr w:type="gramEnd"/>
    </w:p>
    <w:p w14:paraId="00B1B761" w14:textId="40976527" w:rsidR="002D35C6" w:rsidRPr="00E23993" w:rsidRDefault="007A0CD6" w:rsidP="007A0CD6">
      <w:pPr>
        <w:pStyle w:val="enumlev1"/>
        <w:rPr>
          <w:rFonts w:cstheme="minorHAnsi"/>
          <w:b/>
          <w:sz w:val="22"/>
          <w:szCs w:val="22"/>
          <w:lang w:val="fr-CH"/>
        </w:rPr>
      </w:pPr>
      <w:r w:rsidRPr="00E23993">
        <w:rPr>
          <w:rFonts w:cstheme="minorHAnsi"/>
          <w:sz w:val="22"/>
          <w:szCs w:val="22"/>
          <w:lang w:val="fr-CH"/>
        </w:rPr>
        <w:t>–</w:t>
      </w:r>
      <w:r w:rsidRPr="00E23993">
        <w:rPr>
          <w:rFonts w:cstheme="minorHAnsi"/>
          <w:sz w:val="22"/>
          <w:szCs w:val="22"/>
          <w:lang w:val="fr-CH"/>
        </w:rPr>
        <w:tab/>
      </w:r>
      <w:r w:rsidR="002D35C6" w:rsidRPr="00E23993">
        <w:rPr>
          <w:rFonts w:cstheme="minorHAnsi"/>
          <w:sz w:val="22"/>
          <w:szCs w:val="22"/>
          <w:lang w:val="fr-CH"/>
        </w:rPr>
        <w:t xml:space="preserve">étudier des méthodes permettant d'évaluer la </w:t>
      </w:r>
      <w:proofErr w:type="spellStart"/>
      <w:r w:rsidR="002D35C6" w:rsidRPr="00E23993">
        <w:rPr>
          <w:rFonts w:cstheme="minorHAnsi"/>
          <w:sz w:val="22"/>
          <w:szCs w:val="22"/>
          <w:lang w:val="fr-CH"/>
        </w:rPr>
        <w:t>cyberrésilience</w:t>
      </w:r>
      <w:proofErr w:type="spellEnd"/>
      <w:r w:rsidR="002D35C6" w:rsidRPr="00E23993">
        <w:rPr>
          <w:rFonts w:cstheme="minorHAnsi"/>
          <w:sz w:val="22"/>
          <w:szCs w:val="22"/>
          <w:lang w:val="fr-CH"/>
        </w:rPr>
        <w:t xml:space="preserve"> des infrastructures essentielles des réseaux de télécommunication, en mettant l'accent sur la sécurité des infrastructures et des applications utilisées pour les services financiers </w:t>
      </w:r>
      <w:proofErr w:type="gramStart"/>
      <w:r w:rsidR="002D35C6" w:rsidRPr="00E23993">
        <w:rPr>
          <w:rFonts w:cstheme="minorHAnsi"/>
          <w:sz w:val="22"/>
          <w:szCs w:val="22"/>
          <w:lang w:val="fr-CH"/>
        </w:rPr>
        <w:t>numériques;</w:t>
      </w:r>
      <w:proofErr w:type="gramEnd"/>
      <w:r w:rsidR="002D35C6" w:rsidRPr="00E23993">
        <w:rPr>
          <w:rFonts w:cstheme="minorHAnsi"/>
          <w:sz w:val="22"/>
          <w:szCs w:val="22"/>
          <w:lang w:val="fr-CH"/>
        </w:rPr>
        <w:t xml:space="preserve"> et</w:t>
      </w:r>
    </w:p>
    <w:p w14:paraId="3CD4BDA2" w14:textId="0DDB7F1A" w:rsidR="002D35C6" w:rsidRPr="00E23993" w:rsidRDefault="007A0CD6" w:rsidP="007A0CD6">
      <w:pPr>
        <w:pStyle w:val="enumlev1"/>
        <w:rPr>
          <w:rFonts w:cstheme="minorHAnsi"/>
          <w:sz w:val="22"/>
          <w:szCs w:val="22"/>
          <w:lang w:val="fr-CH"/>
        </w:rPr>
      </w:pPr>
      <w:r w:rsidRPr="00E23993">
        <w:rPr>
          <w:rFonts w:cstheme="minorHAnsi"/>
          <w:sz w:val="22"/>
          <w:szCs w:val="22"/>
          <w:lang w:val="fr-CH"/>
        </w:rPr>
        <w:t>–</w:t>
      </w:r>
      <w:r w:rsidRPr="00E23993">
        <w:rPr>
          <w:rFonts w:cstheme="minorHAnsi"/>
          <w:sz w:val="22"/>
          <w:szCs w:val="22"/>
          <w:lang w:val="fr-CH"/>
        </w:rPr>
        <w:tab/>
      </w:r>
      <w:r w:rsidR="002D35C6" w:rsidRPr="00E23993">
        <w:rPr>
          <w:rFonts w:cstheme="minorHAnsi"/>
          <w:sz w:val="22"/>
          <w:szCs w:val="22"/>
          <w:lang w:val="fr-CH"/>
        </w:rPr>
        <w:t>offrir une tribune aux experts en cybersécurité de la région Afrique pour leur permettre d'améliorer leur état de préparation et de renforcer leur résilience ainsi que leurs efforts de coordination, en vue de protéger les infrastructures essentielles et de faire face aux menaces émergentes dans le domaine de la cybersécurité.</w:t>
      </w:r>
    </w:p>
    <w:p w14:paraId="487BCEF0" w14:textId="62820078" w:rsidR="002D35C6" w:rsidRPr="00E23993" w:rsidRDefault="002D35C6" w:rsidP="002D35C6">
      <w:pPr>
        <w:tabs>
          <w:tab w:val="left" w:pos="900"/>
        </w:tabs>
        <w:rPr>
          <w:rFonts w:cstheme="minorHAnsi"/>
          <w:sz w:val="22"/>
          <w:szCs w:val="22"/>
          <w:lang w:val="fr-CH"/>
        </w:rPr>
      </w:pPr>
      <w:r w:rsidRPr="00E23993">
        <w:rPr>
          <w:rFonts w:cstheme="minorHAnsi"/>
          <w:sz w:val="22"/>
          <w:szCs w:val="22"/>
          <w:lang w:val="fr-CH"/>
        </w:rPr>
        <w:t>3</w:t>
      </w:r>
      <w:r w:rsidRPr="00E23993">
        <w:rPr>
          <w:rFonts w:cstheme="minorHAnsi"/>
          <w:sz w:val="22"/>
          <w:szCs w:val="22"/>
          <w:lang w:val="fr-CH"/>
        </w:rPr>
        <w:tab/>
        <w:t xml:space="preserve">Les manifestations ci-après auront lieu dans le cadre du </w:t>
      </w:r>
      <w:proofErr w:type="gramStart"/>
      <w:r w:rsidRPr="00E23993">
        <w:rPr>
          <w:rFonts w:cstheme="minorHAnsi"/>
          <w:sz w:val="22"/>
          <w:szCs w:val="22"/>
          <w:lang w:val="fr-CH"/>
        </w:rPr>
        <w:t>Sommet:</w:t>
      </w:r>
      <w:proofErr w:type="gramEnd"/>
    </w:p>
    <w:p w14:paraId="50BE9F62" w14:textId="2DCCB84D" w:rsidR="002D35C6" w:rsidRPr="00E23993" w:rsidRDefault="007A0CD6" w:rsidP="007A0CD6">
      <w:pPr>
        <w:pStyle w:val="enumlev1"/>
        <w:rPr>
          <w:rFonts w:cstheme="minorHAnsi"/>
          <w:sz w:val="22"/>
          <w:szCs w:val="22"/>
          <w:lang w:val="fr-CH"/>
        </w:rPr>
      </w:pPr>
      <w:r w:rsidRPr="00E23993">
        <w:rPr>
          <w:rFonts w:cstheme="minorHAnsi"/>
          <w:sz w:val="22"/>
          <w:szCs w:val="22"/>
          <w:lang w:val="fr-CH"/>
        </w:rPr>
        <w:t>–</w:t>
      </w:r>
      <w:r w:rsidRPr="00E23993">
        <w:rPr>
          <w:rFonts w:cstheme="minorHAnsi"/>
          <w:b/>
          <w:bCs/>
          <w:sz w:val="22"/>
          <w:szCs w:val="22"/>
          <w:lang w:val="fr-CH"/>
        </w:rPr>
        <w:tab/>
      </w:r>
      <w:r w:rsidR="002D35C6" w:rsidRPr="00E23993">
        <w:rPr>
          <w:rFonts w:cstheme="minorHAnsi"/>
          <w:b/>
          <w:bCs/>
          <w:sz w:val="22"/>
          <w:szCs w:val="22"/>
          <w:lang w:val="fr-CH"/>
        </w:rPr>
        <w:t xml:space="preserve">20 novembre </w:t>
      </w:r>
      <w:proofErr w:type="gramStart"/>
      <w:r w:rsidR="002D35C6" w:rsidRPr="00E23993">
        <w:rPr>
          <w:rFonts w:cstheme="minorHAnsi"/>
          <w:b/>
          <w:bCs/>
          <w:sz w:val="22"/>
          <w:szCs w:val="22"/>
          <w:lang w:val="fr-CH"/>
        </w:rPr>
        <w:t>2023</w:t>
      </w:r>
      <w:r w:rsidR="002D35C6" w:rsidRPr="00E23993">
        <w:rPr>
          <w:rFonts w:cstheme="minorHAnsi"/>
          <w:bCs/>
          <w:sz w:val="22"/>
          <w:szCs w:val="22"/>
          <w:lang w:val="fr-CH"/>
        </w:rPr>
        <w:t>:</w:t>
      </w:r>
      <w:proofErr w:type="gramEnd"/>
      <w:r w:rsidR="002D35C6" w:rsidRPr="00E23993">
        <w:rPr>
          <w:rFonts w:cstheme="minorHAnsi"/>
          <w:sz w:val="22"/>
          <w:szCs w:val="22"/>
          <w:lang w:val="fr-CH"/>
        </w:rPr>
        <w:t xml:space="preserve"> </w:t>
      </w:r>
      <w:r w:rsidR="004717A8" w:rsidRPr="00E23993">
        <w:rPr>
          <w:rFonts w:cstheme="minorHAnsi"/>
          <w:sz w:val="22"/>
          <w:szCs w:val="22"/>
          <w:lang w:val="fr-CH"/>
        </w:rPr>
        <w:t>A</w:t>
      </w:r>
      <w:r w:rsidR="002D35C6" w:rsidRPr="00E23993">
        <w:rPr>
          <w:rFonts w:cstheme="minorHAnsi"/>
          <w:sz w:val="22"/>
          <w:szCs w:val="22"/>
          <w:lang w:val="fr-CH"/>
        </w:rPr>
        <w:t xml:space="preserve">telier de l'UIT sur le thème </w:t>
      </w:r>
      <w:r w:rsidRPr="00E23993">
        <w:rPr>
          <w:rFonts w:cstheme="minorHAnsi"/>
          <w:sz w:val="22"/>
          <w:szCs w:val="22"/>
          <w:lang w:val="fr-CH"/>
        </w:rPr>
        <w:t>"</w:t>
      </w:r>
      <w:r w:rsidR="002D35C6" w:rsidRPr="00E23993">
        <w:rPr>
          <w:rFonts w:cstheme="minorHAnsi"/>
          <w:i/>
          <w:iCs/>
          <w:sz w:val="22"/>
          <w:szCs w:val="22"/>
          <w:lang w:val="fr-CH"/>
        </w:rPr>
        <w:t>Renforcer la sécurité dans l'économie numérique</w:t>
      </w:r>
      <w:r w:rsidRPr="00E23993">
        <w:rPr>
          <w:rFonts w:cstheme="minorHAnsi"/>
          <w:sz w:val="22"/>
          <w:szCs w:val="22"/>
          <w:lang w:val="fr-CH"/>
        </w:rPr>
        <w:t>"</w:t>
      </w:r>
    </w:p>
    <w:p w14:paraId="3BF55668" w14:textId="2F905935" w:rsidR="002D35C6" w:rsidRPr="00E23993" w:rsidRDefault="007A0CD6" w:rsidP="007A0CD6">
      <w:pPr>
        <w:pStyle w:val="enumlev1"/>
        <w:rPr>
          <w:rFonts w:cstheme="minorHAnsi"/>
          <w:b/>
          <w:bCs/>
          <w:sz w:val="22"/>
          <w:szCs w:val="22"/>
          <w:lang w:val="fr-CH"/>
        </w:rPr>
      </w:pPr>
      <w:r w:rsidRPr="00E23993">
        <w:rPr>
          <w:rFonts w:cstheme="minorHAnsi"/>
          <w:sz w:val="22"/>
          <w:szCs w:val="22"/>
          <w:lang w:val="fr-CH"/>
        </w:rPr>
        <w:t>–</w:t>
      </w:r>
      <w:r w:rsidRPr="00E23993">
        <w:rPr>
          <w:rFonts w:cstheme="minorHAnsi"/>
          <w:b/>
          <w:bCs/>
          <w:sz w:val="22"/>
          <w:szCs w:val="22"/>
          <w:lang w:val="fr-CH"/>
        </w:rPr>
        <w:tab/>
      </w:r>
      <w:r w:rsidR="002D35C6" w:rsidRPr="00E23993">
        <w:rPr>
          <w:rFonts w:cstheme="minorHAnsi"/>
          <w:b/>
          <w:bCs/>
          <w:sz w:val="22"/>
          <w:szCs w:val="22"/>
          <w:lang w:val="fr-CH"/>
        </w:rPr>
        <w:t xml:space="preserve">21 novembre </w:t>
      </w:r>
      <w:proofErr w:type="gramStart"/>
      <w:r w:rsidR="002D35C6" w:rsidRPr="00E23993">
        <w:rPr>
          <w:rFonts w:cstheme="minorHAnsi"/>
          <w:b/>
          <w:bCs/>
          <w:sz w:val="22"/>
          <w:szCs w:val="22"/>
          <w:lang w:val="fr-CH"/>
        </w:rPr>
        <w:t>2023</w:t>
      </w:r>
      <w:r w:rsidR="002D35C6" w:rsidRPr="00E23993">
        <w:rPr>
          <w:rFonts w:cstheme="minorHAnsi"/>
          <w:bCs/>
          <w:sz w:val="22"/>
          <w:szCs w:val="22"/>
          <w:lang w:val="fr-CH"/>
        </w:rPr>
        <w:t>:</w:t>
      </w:r>
      <w:proofErr w:type="gramEnd"/>
      <w:r w:rsidR="002D35C6" w:rsidRPr="00E23993">
        <w:rPr>
          <w:rFonts w:cstheme="minorHAnsi"/>
          <w:b/>
          <w:bCs/>
          <w:sz w:val="22"/>
          <w:szCs w:val="22"/>
          <w:lang w:val="fr-CH"/>
        </w:rPr>
        <w:t xml:space="preserve"> </w:t>
      </w:r>
      <w:r w:rsidR="004717A8" w:rsidRPr="00E23993">
        <w:rPr>
          <w:rFonts w:cstheme="minorHAnsi"/>
          <w:sz w:val="22"/>
          <w:szCs w:val="22"/>
          <w:lang w:val="fr-CH"/>
        </w:rPr>
        <w:t>L</w:t>
      </w:r>
      <w:r w:rsidR="002D35C6" w:rsidRPr="00E23993">
        <w:rPr>
          <w:rFonts w:cstheme="minorHAnsi"/>
          <w:sz w:val="22"/>
          <w:szCs w:val="22"/>
          <w:lang w:val="fr-CH"/>
        </w:rPr>
        <w:t xml:space="preserve">aboratoire d'apprentissage sur la sécurité, intitulé </w:t>
      </w:r>
      <w:r w:rsidRPr="00E23993">
        <w:rPr>
          <w:rFonts w:cstheme="minorHAnsi"/>
          <w:sz w:val="22"/>
          <w:szCs w:val="22"/>
          <w:lang w:val="fr-CH"/>
        </w:rPr>
        <w:t>"</w:t>
      </w:r>
      <w:r w:rsidR="002D35C6" w:rsidRPr="00E23993">
        <w:rPr>
          <w:rFonts w:cstheme="minorHAnsi"/>
          <w:i/>
          <w:iCs/>
          <w:sz w:val="22"/>
          <w:szCs w:val="22"/>
          <w:lang w:val="fr-CH"/>
        </w:rPr>
        <w:t>Services financiers numériques</w:t>
      </w:r>
      <w:r w:rsidRPr="00E23993">
        <w:rPr>
          <w:rFonts w:cstheme="minorHAnsi"/>
          <w:sz w:val="22"/>
          <w:szCs w:val="22"/>
          <w:lang w:val="fr-CH"/>
        </w:rPr>
        <w:t>"</w:t>
      </w:r>
    </w:p>
    <w:p w14:paraId="4E00AB86" w14:textId="4FE21252" w:rsidR="002D35C6" w:rsidRPr="00E23993" w:rsidRDefault="007A0CD6" w:rsidP="007A0CD6">
      <w:pPr>
        <w:pStyle w:val="enumlev1"/>
        <w:rPr>
          <w:rFonts w:cstheme="minorHAnsi"/>
          <w:sz w:val="22"/>
          <w:szCs w:val="22"/>
          <w:lang w:val="fr-CH"/>
        </w:rPr>
      </w:pPr>
      <w:r w:rsidRPr="00E23993">
        <w:rPr>
          <w:rFonts w:cstheme="minorHAnsi"/>
          <w:sz w:val="22"/>
          <w:szCs w:val="22"/>
          <w:lang w:val="fr-CH"/>
        </w:rPr>
        <w:t>–</w:t>
      </w:r>
      <w:r w:rsidRPr="00E23993">
        <w:rPr>
          <w:rFonts w:cstheme="minorHAnsi"/>
          <w:b/>
          <w:bCs/>
          <w:sz w:val="22"/>
          <w:szCs w:val="22"/>
          <w:lang w:val="fr-CH"/>
        </w:rPr>
        <w:tab/>
      </w:r>
      <w:r w:rsidR="002D35C6" w:rsidRPr="00E23993">
        <w:rPr>
          <w:rFonts w:cstheme="minorHAnsi"/>
          <w:b/>
          <w:bCs/>
          <w:sz w:val="22"/>
          <w:szCs w:val="22"/>
          <w:lang w:val="fr-CH"/>
        </w:rPr>
        <w:t xml:space="preserve">22 novembre </w:t>
      </w:r>
      <w:proofErr w:type="gramStart"/>
      <w:r w:rsidR="002D35C6" w:rsidRPr="00E23993">
        <w:rPr>
          <w:rFonts w:cstheme="minorHAnsi"/>
          <w:b/>
          <w:bCs/>
          <w:sz w:val="22"/>
          <w:szCs w:val="22"/>
          <w:lang w:val="fr-CH"/>
        </w:rPr>
        <w:t>2023</w:t>
      </w:r>
      <w:r w:rsidR="002D35C6" w:rsidRPr="00E23993">
        <w:rPr>
          <w:rFonts w:cstheme="minorHAnsi"/>
          <w:bCs/>
          <w:sz w:val="22"/>
          <w:szCs w:val="22"/>
          <w:lang w:val="fr-CH"/>
        </w:rPr>
        <w:t>:</w:t>
      </w:r>
      <w:proofErr w:type="gramEnd"/>
      <w:r w:rsidR="002D35C6" w:rsidRPr="00E23993">
        <w:rPr>
          <w:rFonts w:cstheme="minorHAnsi"/>
          <w:sz w:val="22"/>
          <w:szCs w:val="22"/>
          <w:lang w:val="fr-CH"/>
        </w:rPr>
        <w:t xml:space="preserve"> </w:t>
      </w:r>
      <w:proofErr w:type="spellStart"/>
      <w:r w:rsidR="004717A8" w:rsidRPr="00E23993">
        <w:rPr>
          <w:rFonts w:cstheme="minorHAnsi"/>
          <w:sz w:val="22"/>
          <w:szCs w:val="22"/>
          <w:lang w:val="fr-CH"/>
        </w:rPr>
        <w:t>C</w:t>
      </w:r>
      <w:r w:rsidR="002D35C6" w:rsidRPr="00E23993">
        <w:rPr>
          <w:rFonts w:cstheme="minorHAnsi"/>
          <w:sz w:val="22"/>
          <w:szCs w:val="22"/>
          <w:lang w:val="fr-CH"/>
        </w:rPr>
        <w:t>yberexercice</w:t>
      </w:r>
      <w:proofErr w:type="spellEnd"/>
    </w:p>
    <w:p w14:paraId="0AC1020F" w14:textId="5F93F75D" w:rsidR="002D35C6" w:rsidRPr="00E23993" w:rsidRDefault="007A0CD6" w:rsidP="007A0CD6">
      <w:pPr>
        <w:pStyle w:val="enumlev1"/>
        <w:rPr>
          <w:rFonts w:cstheme="minorHAnsi"/>
          <w:sz w:val="22"/>
          <w:szCs w:val="22"/>
        </w:rPr>
      </w:pPr>
      <w:r w:rsidRPr="00E23993">
        <w:rPr>
          <w:rFonts w:cstheme="minorHAnsi"/>
          <w:sz w:val="22"/>
          <w:szCs w:val="22"/>
          <w:lang w:val="fr-CH"/>
        </w:rPr>
        <w:t>–</w:t>
      </w:r>
      <w:r w:rsidRPr="00E23993">
        <w:rPr>
          <w:rFonts w:cstheme="minorHAnsi"/>
          <w:b/>
          <w:bCs/>
          <w:sz w:val="22"/>
          <w:szCs w:val="22"/>
          <w:lang w:val="fr-CH"/>
        </w:rPr>
        <w:tab/>
      </w:r>
      <w:r w:rsidR="002D35C6" w:rsidRPr="00E23993">
        <w:rPr>
          <w:rFonts w:cstheme="minorHAnsi"/>
          <w:b/>
          <w:bCs/>
          <w:sz w:val="22"/>
          <w:szCs w:val="22"/>
          <w:lang w:val="fr-CH"/>
        </w:rPr>
        <w:t xml:space="preserve">23 novembre </w:t>
      </w:r>
      <w:proofErr w:type="gramStart"/>
      <w:r w:rsidR="002D35C6" w:rsidRPr="00E23993">
        <w:rPr>
          <w:rFonts w:cstheme="minorHAnsi"/>
          <w:b/>
          <w:bCs/>
          <w:sz w:val="22"/>
          <w:szCs w:val="22"/>
          <w:lang w:val="fr-CH"/>
        </w:rPr>
        <w:t>2023</w:t>
      </w:r>
      <w:r w:rsidR="002D35C6" w:rsidRPr="00E23993">
        <w:rPr>
          <w:rFonts w:cstheme="minorHAnsi"/>
          <w:bCs/>
          <w:sz w:val="22"/>
          <w:szCs w:val="22"/>
          <w:lang w:val="fr-CH"/>
        </w:rPr>
        <w:t>:</w:t>
      </w:r>
      <w:proofErr w:type="gramEnd"/>
      <w:r w:rsidR="002D35C6" w:rsidRPr="00E23993">
        <w:rPr>
          <w:rFonts w:cstheme="minorHAnsi"/>
          <w:sz w:val="22"/>
          <w:szCs w:val="22"/>
          <w:lang w:val="fr-CH"/>
        </w:rPr>
        <w:t xml:space="preserve"> </w:t>
      </w:r>
      <w:r w:rsidR="004717A8" w:rsidRPr="00E23993">
        <w:rPr>
          <w:rFonts w:cstheme="minorHAnsi"/>
          <w:sz w:val="22"/>
          <w:szCs w:val="22"/>
        </w:rPr>
        <w:t>R</w:t>
      </w:r>
      <w:r w:rsidR="002D35C6" w:rsidRPr="00E23993">
        <w:rPr>
          <w:rFonts w:cstheme="minorHAnsi"/>
          <w:sz w:val="22"/>
          <w:szCs w:val="22"/>
        </w:rPr>
        <w:t>éunion du Groupe régional de la Commission d'études 17 de l'UIT</w:t>
      </w:r>
      <w:r w:rsidRPr="00E23993">
        <w:rPr>
          <w:rFonts w:cstheme="minorHAnsi"/>
          <w:sz w:val="22"/>
          <w:szCs w:val="22"/>
        </w:rPr>
        <w:noBreakHyphen/>
      </w:r>
      <w:r w:rsidR="002D35C6" w:rsidRPr="00E23993">
        <w:rPr>
          <w:rFonts w:cstheme="minorHAnsi"/>
          <w:sz w:val="22"/>
          <w:szCs w:val="22"/>
        </w:rPr>
        <w:t>T pour l'Afrique (SG17RG-AFR)</w:t>
      </w:r>
    </w:p>
    <w:p w14:paraId="2978ACC7" w14:textId="221BCFC3" w:rsidR="002D35C6" w:rsidRPr="00E23993" w:rsidRDefault="002D35C6" w:rsidP="007A0CD6">
      <w:pPr>
        <w:rPr>
          <w:rFonts w:cstheme="minorHAnsi"/>
          <w:sz w:val="22"/>
          <w:szCs w:val="22"/>
          <w:lang w:val="fr-CH"/>
        </w:rPr>
      </w:pPr>
      <w:r w:rsidRPr="00E23993">
        <w:rPr>
          <w:rFonts w:cstheme="minorHAnsi"/>
          <w:sz w:val="22"/>
          <w:szCs w:val="22"/>
          <w:lang w:val="fr-CH"/>
        </w:rPr>
        <w:t xml:space="preserve">Ce Sommet comportera également des séances de formation sur la </w:t>
      </w:r>
      <w:hyperlink r:id="rId16" w:history="1">
        <w:r w:rsidRPr="00E23993">
          <w:rPr>
            <w:rStyle w:val="Hyperlink"/>
            <w:rFonts w:cstheme="minorHAnsi"/>
            <w:sz w:val="22"/>
            <w:szCs w:val="22"/>
            <w:lang w:val="fr-CH"/>
          </w:rPr>
          <w:t>réduction de l'écart en matière de normalisation (BSG)</w:t>
        </w:r>
      </w:hyperlink>
      <w:r w:rsidRPr="00E23993">
        <w:rPr>
          <w:rFonts w:cstheme="minorHAnsi"/>
          <w:sz w:val="22"/>
          <w:szCs w:val="22"/>
          <w:lang w:val="fr-CH"/>
        </w:rPr>
        <w:t>, qui seront axées sur la mise en œuvre pratique des Recommandations de l'UIT</w:t>
      </w:r>
      <w:r w:rsidR="002442CD" w:rsidRPr="00E23993">
        <w:rPr>
          <w:rFonts w:cstheme="minorHAnsi"/>
          <w:sz w:val="22"/>
          <w:szCs w:val="22"/>
          <w:lang w:val="fr-CH"/>
        </w:rPr>
        <w:noBreakHyphen/>
      </w:r>
      <w:r w:rsidRPr="00E23993">
        <w:rPr>
          <w:rFonts w:cstheme="minorHAnsi"/>
          <w:sz w:val="22"/>
          <w:szCs w:val="22"/>
          <w:lang w:val="fr-CH"/>
        </w:rPr>
        <w:t>R relatives à la sécurité dans les cadres nationaux.</w:t>
      </w:r>
    </w:p>
    <w:p w14:paraId="15891208" w14:textId="0CEED6F5" w:rsidR="002D35C6" w:rsidRPr="00E23993" w:rsidRDefault="002D35C6" w:rsidP="007A0CD6">
      <w:pPr>
        <w:rPr>
          <w:rFonts w:cstheme="minorHAnsi"/>
          <w:sz w:val="22"/>
          <w:szCs w:val="22"/>
          <w:lang w:val="fr-CH"/>
        </w:rPr>
      </w:pPr>
      <w:r w:rsidRPr="00E23993">
        <w:rPr>
          <w:rFonts w:cstheme="minorHAnsi"/>
          <w:sz w:val="22"/>
          <w:szCs w:val="22"/>
          <w:lang w:val="fr-CH"/>
        </w:rPr>
        <w:t>4</w:t>
      </w:r>
      <w:r w:rsidRPr="00E23993">
        <w:rPr>
          <w:rFonts w:cstheme="minorHAnsi"/>
          <w:sz w:val="22"/>
          <w:szCs w:val="22"/>
          <w:lang w:val="fr-CH"/>
        </w:rPr>
        <w:tab/>
        <w:t>Ce sommet s'adresse aux représentants des régulateurs des télécommunications, des agences nationales de la cybersécurité, des ministères, des fournisseurs et des prestataires de services et de solutions, des établissements universitaires, des organismes de recherche</w:t>
      </w:r>
      <w:r w:rsidR="007A0CD6" w:rsidRPr="00E23993">
        <w:rPr>
          <w:rFonts w:cstheme="minorHAnsi"/>
          <w:sz w:val="22"/>
          <w:szCs w:val="22"/>
          <w:lang w:val="fr-CH"/>
        </w:rPr>
        <w:noBreakHyphen/>
      </w:r>
      <w:r w:rsidRPr="00E23993">
        <w:rPr>
          <w:rFonts w:cstheme="minorHAnsi"/>
          <w:sz w:val="22"/>
          <w:szCs w:val="22"/>
          <w:lang w:val="fr-CH"/>
        </w:rPr>
        <w:t>développement et d'autres organisations s'occupant de questions liées à la sécurité. La participation est gratuite et ouverte (du 20 au 22 novembre 2023) à toutes les parties prenantes intéressées, notamment les États Membres, les Membres de Secteur, les Associés de l'UIT et les établissements universitaires participant aux travaux de l'UIT, ainsi qu'à toute personne issue d'un pays membre de l'UIT qui souhaite contribuer aux travaux.</w:t>
      </w:r>
    </w:p>
    <w:p w14:paraId="4685782D" w14:textId="60655592" w:rsidR="002D35C6" w:rsidRPr="00E23993" w:rsidRDefault="002D35C6" w:rsidP="007A0CD6">
      <w:pPr>
        <w:rPr>
          <w:rFonts w:cstheme="minorHAnsi"/>
          <w:b/>
          <w:bCs/>
          <w:sz w:val="22"/>
          <w:szCs w:val="22"/>
          <w:lang w:val="fr-CH"/>
        </w:rPr>
      </w:pPr>
      <w:bookmarkStart w:id="2" w:name="_Hlk140479599"/>
      <w:r w:rsidRPr="00E23993">
        <w:rPr>
          <w:rFonts w:cstheme="minorHAnsi"/>
          <w:b/>
          <w:bCs/>
          <w:sz w:val="22"/>
          <w:szCs w:val="22"/>
          <w:lang w:val="fr-CH"/>
        </w:rPr>
        <w:t>Les représentants des États Membres, des Membres de Secteur, des établissements universitaires de la région Afrique et des Associés participant aux travaux de la Commission d'études</w:t>
      </w:r>
      <w:r w:rsidR="007A0CD6" w:rsidRPr="00E23993">
        <w:rPr>
          <w:rFonts w:cstheme="minorHAnsi"/>
          <w:b/>
          <w:bCs/>
          <w:sz w:val="22"/>
          <w:szCs w:val="22"/>
          <w:lang w:val="fr-CH"/>
        </w:rPr>
        <w:t> </w:t>
      </w:r>
      <w:r w:rsidRPr="00E23993">
        <w:rPr>
          <w:rFonts w:cstheme="minorHAnsi"/>
          <w:b/>
          <w:bCs/>
          <w:sz w:val="22"/>
          <w:szCs w:val="22"/>
          <w:lang w:val="fr-CH"/>
        </w:rPr>
        <w:t>17 et de la région Afrique, ainsi que les personnes invitées par le groupe régional, peuvent participer à la réunion du Groupe SG17RG-AFR qui se tiendra le 23</w:t>
      </w:r>
      <w:r w:rsidR="007A0CD6" w:rsidRPr="00E23993">
        <w:rPr>
          <w:rFonts w:cstheme="minorHAnsi"/>
          <w:b/>
          <w:bCs/>
          <w:sz w:val="22"/>
          <w:szCs w:val="22"/>
          <w:lang w:val="fr-CH"/>
        </w:rPr>
        <w:t> </w:t>
      </w:r>
      <w:r w:rsidRPr="00E23993">
        <w:rPr>
          <w:rFonts w:cstheme="minorHAnsi"/>
          <w:b/>
          <w:bCs/>
          <w:sz w:val="22"/>
          <w:szCs w:val="22"/>
          <w:lang w:val="fr-CH"/>
        </w:rPr>
        <w:t>novembre</w:t>
      </w:r>
      <w:r w:rsidR="007A0CD6" w:rsidRPr="00E23993">
        <w:rPr>
          <w:rFonts w:cstheme="minorHAnsi"/>
          <w:b/>
          <w:bCs/>
          <w:sz w:val="22"/>
          <w:szCs w:val="22"/>
          <w:lang w:val="fr-CH"/>
        </w:rPr>
        <w:t> </w:t>
      </w:r>
      <w:r w:rsidRPr="00E23993">
        <w:rPr>
          <w:rFonts w:cstheme="minorHAnsi"/>
          <w:b/>
          <w:bCs/>
          <w:sz w:val="22"/>
          <w:szCs w:val="22"/>
          <w:lang w:val="fr-CH"/>
        </w:rPr>
        <w:t xml:space="preserve">2023, conformément à la </w:t>
      </w:r>
      <w:hyperlink r:id="rId17" w:history="1">
        <w:r w:rsidRPr="00E23993">
          <w:rPr>
            <w:rStyle w:val="Hyperlink"/>
            <w:rFonts w:cstheme="minorHAnsi"/>
            <w:b/>
            <w:bCs/>
            <w:sz w:val="22"/>
            <w:szCs w:val="22"/>
            <w:lang w:val="fr-CH"/>
          </w:rPr>
          <w:t>Résolution 54 (Rév. Genève, 2022) de l'AMNT</w:t>
        </w:r>
      </w:hyperlink>
      <w:r w:rsidRPr="00E23993">
        <w:rPr>
          <w:rFonts w:cstheme="minorHAnsi"/>
          <w:b/>
          <w:bCs/>
          <w:sz w:val="22"/>
          <w:szCs w:val="22"/>
          <w:lang w:val="fr-CH"/>
        </w:rPr>
        <w:t xml:space="preserve"> (points 4 à 6 du </w:t>
      </w:r>
      <w:r w:rsidRPr="00E23993">
        <w:rPr>
          <w:rFonts w:cstheme="minorHAnsi"/>
          <w:b/>
          <w:bCs/>
          <w:i/>
          <w:sz w:val="22"/>
          <w:szCs w:val="22"/>
          <w:lang w:val="fr-CH"/>
        </w:rPr>
        <w:t>décide</w:t>
      </w:r>
      <w:r w:rsidRPr="00E23993">
        <w:rPr>
          <w:rFonts w:cstheme="minorHAnsi"/>
          <w:b/>
          <w:bCs/>
          <w:sz w:val="22"/>
          <w:szCs w:val="22"/>
          <w:lang w:val="fr-CH"/>
        </w:rPr>
        <w:t>).</w:t>
      </w:r>
    </w:p>
    <w:bookmarkEnd w:id="2"/>
    <w:p w14:paraId="096023D4" w14:textId="26821F76" w:rsidR="002D35C6" w:rsidRPr="00E23993" w:rsidRDefault="002D35C6" w:rsidP="007A0CD6">
      <w:pPr>
        <w:rPr>
          <w:rFonts w:cstheme="minorHAnsi"/>
          <w:sz w:val="22"/>
          <w:szCs w:val="22"/>
          <w:lang w:val="fr-CH"/>
        </w:rPr>
      </w:pPr>
      <w:r w:rsidRPr="00E23993">
        <w:rPr>
          <w:rFonts w:cstheme="minorHAnsi"/>
          <w:sz w:val="22"/>
          <w:szCs w:val="22"/>
          <w:lang w:val="fr-CH"/>
        </w:rPr>
        <w:t>5</w:t>
      </w:r>
      <w:r w:rsidRPr="00E23993">
        <w:rPr>
          <w:rFonts w:cstheme="minorHAnsi"/>
          <w:sz w:val="22"/>
          <w:szCs w:val="22"/>
          <w:lang w:val="fr-CH"/>
        </w:rPr>
        <w:tab/>
        <w:t xml:space="preserve">Toutes les informations utiles concernant ces manifestations (projet de programme, intervenants, lien pour l'inscription) seront publiées sur la page web </w:t>
      </w:r>
      <w:proofErr w:type="gramStart"/>
      <w:r w:rsidRPr="00E23993">
        <w:rPr>
          <w:rFonts w:cstheme="minorHAnsi"/>
          <w:sz w:val="22"/>
          <w:szCs w:val="22"/>
          <w:lang w:val="fr-CH"/>
        </w:rPr>
        <w:t>suivante:</w:t>
      </w:r>
      <w:proofErr w:type="gramEnd"/>
      <w:r w:rsidRPr="00E23993">
        <w:rPr>
          <w:rFonts w:cstheme="minorHAnsi"/>
          <w:sz w:val="22"/>
          <w:szCs w:val="22"/>
          <w:lang w:val="fr-CH"/>
        </w:rPr>
        <w:t xml:space="preserve"> </w:t>
      </w:r>
      <w:hyperlink r:id="rId18" w:history="1">
        <w:r w:rsidRPr="00E23993">
          <w:rPr>
            <w:rStyle w:val="Hyperlink"/>
            <w:rFonts w:cstheme="minorHAnsi"/>
            <w:sz w:val="22"/>
            <w:szCs w:val="22"/>
            <w:lang w:val="fr-CH"/>
          </w:rPr>
          <w:t>https://www.itu.int/en/ITU-T/Workshops-and-Seminars/2023/1120/Pages/default.aspx</w:t>
        </w:r>
      </w:hyperlink>
      <w:r w:rsidRPr="00E23993">
        <w:rPr>
          <w:rFonts w:cstheme="minorHAnsi"/>
          <w:sz w:val="22"/>
          <w:szCs w:val="22"/>
          <w:lang w:val="fr-CH"/>
        </w:rPr>
        <w:t>.</w:t>
      </w:r>
    </w:p>
    <w:p w14:paraId="484B2873" w14:textId="77777777" w:rsidR="002D35C6" w:rsidRPr="00E23993" w:rsidRDefault="002D35C6" w:rsidP="007A0CD6">
      <w:pPr>
        <w:rPr>
          <w:rFonts w:cstheme="minorHAnsi"/>
          <w:sz w:val="22"/>
          <w:szCs w:val="22"/>
          <w:lang w:val="fr-CH"/>
        </w:rPr>
      </w:pPr>
      <w:r w:rsidRPr="00E23993">
        <w:rPr>
          <w:rFonts w:cstheme="minorHAnsi"/>
          <w:sz w:val="22"/>
          <w:szCs w:val="22"/>
          <w:lang w:val="fr-CH"/>
        </w:rPr>
        <w:t>La page web sera mise à jour périodiquement, à mesure que parviendront des informations nouvelles. Il est recommandé aux participants de consulter régulièrement la page web pour prendre connaissance des dernières informations.</w:t>
      </w:r>
    </w:p>
    <w:p w14:paraId="065B929B" w14:textId="6BC01F36" w:rsidR="002D35C6" w:rsidRPr="00E23993" w:rsidRDefault="002D35C6" w:rsidP="007A0CD6">
      <w:pPr>
        <w:rPr>
          <w:rFonts w:cstheme="minorHAnsi"/>
          <w:sz w:val="22"/>
          <w:szCs w:val="22"/>
          <w:lang w:val="fr-CH"/>
        </w:rPr>
      </w:pPr>
      <w:r w:rsidRPr="00E23993">
        <w:rPr>
          <w:rFonts w:cstheme="minorHAnsi"/>
          <w:sz w:val="22"/>
          <w:szCs w:val="22"/>
          <w:lang w:val="fr-CH"/>
        </w:rPr>
        <w:t>6</w:t>
      </w:r>
      <w:r w:rsidRPr="00E23993">
        <w:rPr>
          <w:rFonts w:cstheme="minorHAnsi"/>
          <w:sz w:val="22"/>
          <w:szCs w:val="22"/>
          <w:lang w:val="fr-CH"/>
        </w:rPr>
        <w:tab/>
        <w:t>Des informations générales à l'intention des participants concernant les hôtels, les transports et les formalités de visa sont disponibles sur le site web de l'UIT susmentionné.</w:t>
      </w:r>
    </w:p>
    <w:p w14:paraId="0213FB16" w14:textId="77777777" w:rsidR="002D35C6" w:rsidRPr="00E23993" w:rsidRDefault="002D35C6" w:rsidP="007A0CD6">
      <w:pPr>
        <w:rPr>
          <w:rFonts w:cstheme="minorHAnsi"/>
          <w:sz w:val="22"/>
          <w:szCs w:val="22"/>
          <w:lang w:val="fr-CH"/>
        </w:rPr>
      </w:pPr>
      <w:r w:rsidRPr="00E23993">
        <w:rPr>
          <w:rFonts w:cstheme="minorHAnsi"/>
          <w:sz w:val="22"/>
          <w:szCs w:val="22"/>
          <w:lang w:val="fr-CH"/>
        </w:rPr>
        <w:t xml:space="preserve">L'inscription est obligatoire pour toutes les personnes qui souhaitent participer à l'atelier. Pour vous inscrire, vous êtes invités à remplir dès que possible le formulaire en ligne disponible à </w:t>
      </w:r>
      <w:proofErr w:type="gramStart"/>
      <w:r w:rsidRPr="00E23993">
        <w:rPr>
          <w:rFonts w:cstheme="minorHAnsi"/>
          <w:sz w:val="22"/>
          <w:szCs w:val="22"/>
          <w:lang w:val="fr-CH"/>
        </w:rPr>
        <w:t>l'adresse:</w:t>
      </w:r>
      <w:proofErr w:type="gramEnd"/>
      <w:r w:rsidRPr="00E23993">
        <w:rPr>
          <w:rFonts w:cstheme="minorHAnsi"/>
          <w:sz w:val="22"/>
          <w:szCs w:val="22"/>
          <w:lang w:val="fr-CH"/>
        </w:rPr>
        <w:t xml:space="preserve"> </w:t>
      </w:r>
      <w:hyperlink r:id="rId19" w:history="1">
        <w:r w:rsidRPr="00E23993">
          <w:rPr>
            <w:rStyle w:val="Hyperlink"/>
            <w:rFonts w:cstheme="minorHAnsi"/>
            <w:sz w:val="22"/>
            <w:szCs w:val="22"/>
            <w:lang w:val="fr-CH"/>
          </w:rPr>
          <w:t>https://www.itu.int/net4/CRM/xreg/web/registration.aspx?Event=C-00012871</w:t>
        </w:r>
      </w:hyperlink>
      <w:r w:rsidRPr="00E23993">
        <w:rPr>
          <w:rFonts w:cstheme="minorHAnsi"/>
          <w:sz w:val="22"/>
          <w:szCs w:val="22"/>
          <w:lang w:val="fr-CH"/>
        </w:rPr>
        <w:t>.</w:t>
      </w:r>
    </w:p>
    <w:p w14:paraId="53942600" w14:textId="77777777" w:rsidR="002D35C6" w:rsidRPr="00E23993" w:rsidRDefault="002D35C6" w:rsidP="007A0CD6">
      <w:pPr>
        <w:rPr>
          <w:rFonts w:cstheme="minorHAnsi"/>
          <w:sz w:val="22"/>
          <w:szCs w:val="22"/>
          <w:lang w:val="fr-CH"/>
        </w:rPr>
      </w:pPr>
      <w:r w:rsidRPr="00E23993">
        <w:rPr>
          <w:rFonts w:cstheme="minorHAnsi"/>
          <w:b/>
          <w:sz w:val="22"/>
          <w:szCs w:val="22"/>
          <w:lang w:val="fr-CH"/>
        </w:rPr>
        <w:t>Il est conseillé de s'inscrire à l'avance pour participer en présentiel</w:t>
      </w:r>
      <w:r w:rsidRPr="00E23993">
        <w:rPr>
          <w:rFonts w:cstheme="minorHAnsi"/>
          <w:sz w:val="22"/>
          <w:szCs w:val="22"/>
          <w:lang w:val="fr-CH"/>
        </w:rPr>
        <w:t xml:space="preserve"> et, afin de permettre à l'hôte de prévoir la logistique nécessaire, </w:t>
      </w:r>
      <w:r w:rsidRPr="00E23993">
        <w:rPr>
          <w:rFonts w:cstheme="minorHAnsi"/>
          <w:b/>
          <w:sz w:val="22"/>
          <w:szCs w:val="22"/>
          <w:lang w:val="fr-CH"/>
        </w:rPr>
        <w:t>l'inscription pour la participation en présentiel</w:t>
      </w:r>
      <w:r w:rsidRPr="00E23993">
        <w:rPr>
          <w:rFonts w:cstheme="minorHAnsi"/>
          <w:sz w:val="22"/>
          <w:szCs w:val="22"/>
          <w:lang w:val="fr-CH"/>
        </w:rPr>
        <w:t xml:space="preserve"> doit être effectuée </w:t>
      </w:r>
      <w:r w:rsidRPr="00E23993">
        <w:rPr>
          <w:rFonts w:cstheme="minorHAnsi"/>
          <w:b/>
          <w:bCs/>
          <w:sz w:val="22"/>
          <w:szCs w:val="22"/>
          <w:lang w:val="fr-CH"/>
        </w:rPr>
        <w:t xml:space="preserve">au plus tard le </w:t>
      </w:r>
      <w:r w:rsidRPr="00E23993">
        <w:rPr>
          <w:rFonts w:cstheme="minorHAnsi"/>
          <w:b/>
          <w:bCs/>
          <w:sz w:val="22"/>
          <w:szCs w:val="22"/>
          <w:lang w:val="fr-CH"/>
        </w:rPr>
        <w:lastRenderedPageBreak/>
        <w:t>1er</w:t>
      </w:r>
      <w:r w:rsidRPr="00E23993">
        <w:rPr>
          <w:rFonts w:cstheme="minorHAnsi"/>
          <w:b/>
          <w:sz w:val="22"/>
          <w:szCs w:val="22"/>
          <w:lang w:val="fr-CH"/>
        </w:rPr>
        <w:t xml:space="preserve"> novembre 2023</w:t>
      </w:r>
      <w:r w:rsidRPr="00E23993">
        <w:rPr>
          <w:rFonts w:cstheme="minorHAnsi"/>
          <w:sz w:val="22"/>
          <w:szCs w:val="22"/>
          <w:lang w:val="fr-CH"/>
        </w:rPr>
        <w:t>. Veuillez noter que l'inscription préalable des participants à nos manifestations se fait exclusivement en ligne.</w:t>
      </w:r>
    </w:p>
    <w:p w14:paraId="7582B1E1" w14:textId="127EB2E6" w:rsidR="002D35C6" w:rsidRPr="00E23993" w:rsidRDefault="002D35C6" w:rsidP="007A0CD6">
      <w:pPr>
        <w:rPr>
          <w:rFonts w:cstheme="minorHAnsi"/>
          <w:sz w:val="22"/>
          <w:szCs w:val="22"/>
        </w:rPr>
      </w:pPr>
      <w:r w:rsidRPr="00E23993">
        <w:rPr>
          <w:rFonts w:cstheme="minorHAnsi"/>
          <w:b/>
          <w:bCs/>
          <w:sz w:val="22"/>
          <w:szCs w:val="22"/>
        </w:rPr>
        <w:t>Veuillez noter que l'inscription à la réunion du Groupe régional de la Commission d'études</w:t>
      </w:r>
      <w:r w:rsidR="002442CD" w:rsidRPr="00E23993">
        <w:rPr>
          <w:rFonts w:cstheme="minorHAnsi"/>
          <w:b/>
          <w:bCs/>
          <w:sz w:val="22"/>
          <w:szCs w:val="22"/>
        </w:rPr>
        <w:t> </w:t>
      </w:r>
      <w:r w:rsidRPr="00E23993">
        <w:rPr>
          <w:rFonts w:cstheme="minorHAnsi"/>
          <w:b/>
          <w:bCs/>
          <w:sz w:val="22"/>
          <w:szCs w:val="22"/>
        </w:rPr>
        <w:t>17 de l'UIT</w:t>
      </w:r>
      <w:r w:rsidR="007A0CD6" w:rsidRPr="00E23993">
        <w:rPr>
          <w:rFonts w:cstheme="minorHAnsi"/>
          <w:b/>
          <w:bCs/>
          <w:sz w:val="22"/>
          <w:szCs w:val="22"/>
        </w:rPr>
        <w:noBreakHyphen/>
      </w:r>
      <w:r w:rsidRPr="00E23993">
        <w:rPr>
          <w:rFonts w:cstheme="minorHAnsi"/>
          <w:b/>
          <w:bCs/>
          <w:sz w:val="22"/>
          <w:szCs w:val="22"/>
        </w:rPr>
        <w:t>T pour l'Afrique (SG17RG-AFR) s'effectuera séparément</w:t>
      </w:r>
      <w:r w:rsidRPr="00E23993">
        <w:rPr>
          <w:rFonts w:cstheme="minorHAnsi"/>
          <w:sz w:val="22"/>
          <w:szCs w:val="22"/>
        </w:rPr>
        <w:t xml:space="preserve">. Des informations additionnelles sur la réunion du groupe régional sont disponibles sur la page web du Groupe SG17RG-AFR, à l'adresse </w:t>
      </w:r>
      <w:proofErr w:type="gramStart"/>
      <w:r w:rsidRPr="00E23993">
        <w:rPr>
          <w:rFonts w:cstheme="minorHAnsi"/>
          <w:sz w:val="22"/>
          <w:szCs w:val="22"/>
        </w:rPr>
        <w:t>suivante:</w:t>
      </w:r>
      <w:proofErr w:type="gramEnd"/>
      <w:r w:rsidRPr="00E23993">
        <w:rPr>
          <w:rFonts w:cstheme="minorHAnsi"/>
          <w:sz w:val="22"/>
          <w:szCs w:val="22"/>
        </w:rPr>
        <w:t xml:space="preserve"> </w:t>
      </w:r>
      <w:hyperlink r:id="rId20" w:history="1">
        <w:r w:rsidRPr="00E23993">
          <w:rPr>
            <w:rStyle w:val="Hyperlink"/>
            <w:rFonts w:cstheme="minorHAnsi"/>
            <w:sz w:val="22"/>
            <w:szCs w:val="22"/>
          </w:rPr>
          <w:t>http://itu.int/go/tsg17rgafr</w:t>
        </w:r>
      </w:hyperlink>
      <w:r w:rsidRPr="00E23993">
        <w:rPr>
          <w:rFonts w:cstheme="minorHAnsi"/>
          <w:sz w:val="22"/>
          <w:szCs w:val="22"/>
        </w:rPr>
        <w:t>.</w:t>
      </w:r>
    </w:p>
    <w:p w14:paraId="29DFD85E" w14:textId="7E17267B" w:rsidR="00036F4F" w:rsidRPr="00E23993" w:rsidRDefault="002D35C6" w:rsidP="007A0CD6">
      <w:pPr>
        <w:rPr>
          <w:rFonts w:cstheme="minorHAnsi"/>
          <w:sz w:val="22"/>
          <w:szCs w:val="22"/>
          <w:lang w:val="fr-CH"/>
        </w:rPr>
      </w:pPr>
      <w:r w:rsidRPr="00E23993">
        <w:rPr>
          <w:rFonts w:cstheme="minorHAnsi"/>
          <w:sz w:val="22"/>
          <w:szCs w:val="22"/>
          <w:lang w:val="fr-CH"/>
        </w:rPr>
        <w:t>7</w:t>
      </w:r>
      <w:r w:rsidRPr="00E23993">
        <w:rPr>
          <w:rFonts w:cstheme="minorHAnsi"/>
          <w:sz w:val="22"/>
          <w:szCs w:val="22"/>
          <w:lang w:val="fr-CH"/>
        </w:rPr>
        <w:tab/>
        <w:t>Je vous rappelle que, pour les ressortissants de certains pays, l'entrée et le séjour, quelle qu'en soit la durée, sur le territoire de l'Ouganda sont soumis à l'obtention d'un visa. Ce visa doit être obtenu auprès de la représentation de l'Ouganda (ambassade ou consulat) dans votre pays ou, à défaut, dans le pays le plus proche de votre pays de départ. Des renseignements complémentaires concernant les demandes de visa sont disponibles sur le site web de la manifestation, sous la rubrique "</w:t>
      </w:r>
      <w:r w:rsidRPr="00E23993">
        <w:rPr>
          <w:rFonts w:cstheme="minorHAnsi"/>
          <w:b/>
          <w:sz w:val="22"/>
          <w:szCs w:val="22"/>
          <w:lang w:val="fr-CH"/>
        </w:rPr>
        <w:t>Informations pratiques</w:t>
      </w:r>
      <w:r w:rsidRPr="00E23993">
        <w:rPr>
          <w:rFonts w:cstheme="minorHAnsi"/>
          <w:sz w:val="22"/>
          <w:szCs w:val="22"/>
          <w:lang w:val="fr-CH"/>
        </w:rPr>
        <w:t>".</w:t>
      </w:r>
    </w:p>
    <w:p w14:paraId="0B7C5E66" w14:textId="77777777" w:rsidR="00BD6ECF" w:rsidRPr="00E23993" w:rsidRDefault="00517A03" w:rsidP="00BD6ECF">
      <w:pPr>
        <w:rPr>
          <w:rFonts w:cstheme="minorHAnsi"/>
          <w:sz w:val="22"/>
          <w:szCs w:val="22"/>
        </w:rPr>
      </w:pPr>
      <w:r w:rsidRPr="00E23993">
        <w:rPr>
          <w:rFonts w:cstheme="minorHAnsi"/>
          <w:sz w:val="22"/>
          <w:szCs w:val="22"/>
        </w:rPr>
        <w:t>Veuillez agréer, Madame, Monsieur, l</w:t>
      </w:r>
      <w:r w:rsidR="00167472" w:rsidRPr="00E23993">
        <w:rPr>
          <w:rFonts w:cstheme="minorHAnsi"/>
          <w:sz w:val="22"/>
          <w:szCs w:val="22"/>
        </w:rPr>
        <w:t>'</w:t>
      </w:r>
      <w:r w:rsidRPr="00E23993">
        <w:rPr>
          <w:rFonts w:cstheme="minorHAnsi"/>
          <w:sz w:val="22"/>
          <w:szCs w:val="22"/>
        </w:rPr>
        <w:t>assurance de ma haute considération.</w:t>
      </w:r>
    </w:p>
    <w:p w14:paraId="16D60984" w14:textId="52C5842C" w:rsidR="00517A03" w:rsidRPr="00E23993" w:rsidRDefault="00100D31" w:rsidP="001C29BC">
      <w:pPr>
        <w:keepNext/>
        <w:keepLines/>
        <w:spacing w:before="960"/>
        <w:ind w:right="-284"/>
        <w:rPr>
          <w:rFonts w:cstheme="minorHAnsi"/>
          <w:sz w:val="22"/>
          <w:szCs w:val="22"/>
          <w:lang w:val="fr-CH"/>
        </w:rPr>
      </w:pPr>
      <w:r>
        <w:rPr>
          <w:rFonts w:cstheme="minorHAnsi"/>
          <w:noProof/>
          <w:sz w:val="22"/>
          <w:szCs w:val="22"/>
          <w:lang w:val="fr-CH"/>
        </w:rPr>
        <w:drawing>
          <wp:anchor distT="0" distB="0" distL="114300" distR="114300" simplePos="0" relativeHeight="251658240" behindDoc="1" locked="0" layoutInCell="1" allowOverlap="1" wp14:anchorId="7E6C7E8C" wp14:editId="42AE88DC">
            <wp:simplePos x="0" y="0"/>
            <wp:positionH relativeFrom="column">
              <wp:posOffset>635</wp:posOffset>
            </wp:positionH>
            <wp:positionV relativeFrom="paragraph">
              <wp:posOffset>116205</wp:posOffset>
            </wp:positionV>
            <wp:extent cx="503766" cy="377825"/>
            <wp:effectExtent l="0" t="0" r="0" b="3175"/>
            <wp:wrapNone/>
            <wp:docPr id="3" name="Picture 3"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tex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03766" cy="377825"/>
                    </a:xfrm>
                    <a:prstGeom prst="rect">
                      <a:avLst/>
                    </a:prstGeom>
                  </pic:spPr>
                </pic:pic>
              </a:graphicData>
            </a:graphic>
            <wp14:sizeRelH relativeFrom="margin">
              <wp14:pctWidth>0</wp14:pctWidth>
            </wp14:sizeRelH>
            <wp14:sizeRelV relativeFrom="margin">
              <wp14:pctHeight>0</wp14:pctHeight>
            </wp14:sizeRelV>
          </wp:anchor>
        </w:drawing>
      </w:r>
      <w:r w:rsidR="00CB4E80" w:rsidRPr="00E23993">
        <w:rPr>
          <w:rFonts w:cstheme="minorHAnsi"/>
          <w:sz w:val="22"/>
          <w:szCs w:val="22"/>
          <w:lang w:val="fr-CH"/>
        </w:rPr>
        <w:t>Seizo Onoe</w:t>
      </w:r>
      <w:r w:rsidR="00036F4F" w:rsidRPr="00E23993">
        <w:rPr>
          <w:rFonts w:cstheme="minorHAnsi"/>
          <w:sz w:val="22"/>
          <w:szCs w:val="22"/>
          <w:lang w:val="fr-CH"/>
        </w:rPr>
        <w:br/>
        <w:t xml:space="preserve">Directeur du Bureau de la normalisation </w:t>
      </w:r>
      <w:r w:rsidR="00036F4F" w:rsidRPr="00E23993">
        <w:rPr>
          <w:rFonts w:cstheme="minorHAnsi"/>
          <w:sz w:val="22"/>
          <w:szCs w:val="22"/>
          <w:lang w:val="fr-CH"/>
        </w:rPr>
        <w:br/>
        <w:t>des télécommunications</w:t>
      </w:r>
    </w:p>
    <w:sectPr w:rsidR="00517A03" w:rsidRPr="00E23993" w:rsidSect="00E23993">
      <w:headerReference w:type="default" r:id="rId22"/>
      <w:footerReference w:type="first" r:id="rId23"/>
      <w:pgSz w:w="11907" w:h="16840" w:code="9"/>
      <w:pgMar w:top="1134" w:right="1089" w:bottom="1134" w:left="1089" w:header="567" w:footer="510" w:gutter="0"/>
      <w:paperSrc w:first="15" w:other="15"/>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654C5" w14:textId="77777777" w:rsidR="00151698" w:rsidRDefault="00151698">
      <w:r>
        <w:separator/>
      </w:r>
    </w:p>
  </w:endnote>
  <w:endnote w:type="continuationSeparator" w:id="0">
    <w:p w14:paraId="03373FE1" w14:textId="77777777" w:rsidR="00151698" w:rsidRDefault="0015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E1B7"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B354F" w14:textId="77777777" w:rsidR="00151698" w:rsidRDefault="00151698">
      <w:r>
        <w:t>____________________</w:t>
      </w:r>
    </w:p>
  </w:footnote>
  <w:footnote w:type="continuationSeparator" w:id="0">
    <w:p w14:paraId="04D029C0" w14:textId="77777777" w:rsidR="00151698" w:rsidRDefault="00151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789E" w14:textId="75664F7E" w:rsidR="00697BC1" w:rsidRDefault="00100D31"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E3748">
          <w:rPr>
            <w:noProof/>
            <w:sz w:val="18"/>
            <w:szCs w:val="16"/>
          </w:rPr>
          <w:t>3</w:t>
        </w:r>
        <w:r w:rsidR="00697BC1" w:rsidRPr="00697BC1">
          <w:rPr>
            <w:noProof/>
            <w:sz w:val="18"/>
            <w:szCs w:val="16"/>
          </w:rPr>
          <w:fldChar w:fldCharType="end"/>
        </w:r>
      </w:sdtContent>
    </w:sdt>
    <w:r w:rsidR="00697BC1" w:rsidRPr="00697BC1">
      <w:rPr>
        <w:noProof/>
        <w:sz w:val="18"/>
        <w:szCs w:val="16"/>
      </w:rPr>
      <w:t xml:space="preserve"> </w:t>
    </w:r>
  </w:p>
  <w:p w14:paraId="250C5A00" w14:textId="5984C7CD" w:rsidR="00E23993" w:rsidRPr="00697BC1" w:rsidRDefault="00E23993" w:rsidP="00697BC1">
    <w:pPr>
      <w:pStyle w:val="Header"/>
      <w:rPr>
        <w:sz w:val="18"/>
        <w:szCs w:val="16"/>
      </w:rPr>
    </w:pPr>
    <w:r>
      <w:rPr>
        <w:noProof/>
        <w:sz w:val="18"/>
        <w:szCs w:val="16"/>
      </w:rPr>
      <w:t>Circulaire TSB 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46F30FAD"/>
    <w:multiLevelType w:val="hybridMultilevel"/>
    <w:tmpl w:val="290ABA58"/>
    <w:lvl w:ilvl="0" w:tplc="4B2E79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C7D389A"/>
    <w:multiLevelType w:val="hybridMultilevel"/>
    <w:tmpl w:val="5FB4F80C"/>
    <w:lvl w:ilvl="0" w:tplc="4B2E79B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92729850">
    <w:abstractNumId w:val="1"/>
  </w:num>
  <w:num w:numId="2" w16cid:durableId="1867985092">
    <w:abstractNumId w:val="4"/>
  </w:num>
  <w:num w:numId="3" w16cid:durableId="1846479600">
    <w:abstractNumId w:val="2"/>
  </w:num>
  <w:num w:numId="4" w16cid:durableId="1235436387">
    <w:abstractNumId w:val="0"/>
  </w:num>
  <w:num w:numId="5" w16cid:durableId="1858345001">
    <w:abstractNumId w:val="5"/>
  </w:num>
  <w:num w:numId="6" w16cid:durableId="1806123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fr-CH" w:vendorID="64" w:dllVersion="6"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1A7"/>
    <w:rsid w:val="000039EE"/>
    <w:rsid w:val="00005622"/>
    <w:rsid w:val="0002519E"/>
    <w:rsid w:val="00035B43"/>
    <w:rsid w:val="00036F4F"/>
    <w:rsid w:val="000758B3"/>
    <w:rsid w:val="00085F5A"/>
    <w:rsid w:val="000B0D96"/>
    <w:rsid w:val="000B59D8"/>
    <w:rsid w:val="000C1F6B"/>
    <w:rsid w:val="000C25CC"/>
    <w:rsid w:val="000C56BE"/>
    <w:rsid w:val="000E3748"/>
    <w:rsid w:val="00100D31"/>
    <w:rsid w:val="001026FD"/>
    <w:rsid w:val="001077FD"/>
    <w:rsid w:val="00115DD7"/>
    <w:rsid w:val="00151698"/>
    <w:rsid w:val="00167472"/>
    <w:rsid w:val="00167F92"/>
    <w:rsid w:val="00173738"/>
    <w:rsid w:val="001B79A3"/>
    <w:rsid w:val="001C29BC"/>
    <w:rsid w:val="001F31A7"/>
    <w:rsid w:val="002152A3"/>
    <w:rsid w:val="0023667A"/>
    <w:rsid w:val="002442CD"/>
    <w:rsid w:val="00250FEC"/>
    <w:rsid w:val="002D35C6"/>
    <w:rsid w:val="002E395D"/>
    <w:rsid w:val="003131F0"/>
    <w:rsid w:val="00333A80"/>
    <w:rsid w:val="00341117"/>
    <w:rsid w:val="00364E95"/>
    <w:rsid w:val="00372875"/>
    <w:rsid w:val="003B1E80"/>
    <w:rsid w:val="003B66E8"/>
    <w:rsid w:val="003E66AD"/>
    <w:rsid w:val="004033F1"/>
    <w:rsid w:val="00414B0C"/>
    <w:rsid w:val="00423C21"/>
    <w:rsid w:val="004257AC"/>
    <w:rsid w:val="0043711B"/>
    <w:rsid w:val="00445B68"/>
    <w:rsid w:val="004717A8"/>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716BBC"/>
    <w:rsid w:val="007321BC"/>
    <w:rsid w:val="00760063"/>
    <w:rsid w:val="00775E4B"/>
    <w:rsid w:val="0079553B"/>
    <w:rsid w:val="00795679"/>
    <w:rsid w:val="007A0CD6"/>
    <w:rsid w:val="007A40FE"/>
    <w:rsid w:val="00810105"/>
    <w:rsid w:val="008157E0"/>
    <w:rsid w:val="00850477"/>
    <w:rsid w:val="00854E1D"/>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F08A4"/>
    <w:rsid w:val="00B27B41"/>
    <w:rsid w:val="00B42659"/>
    <w:rsid w:val="00B8573E"/>
    <w:rsid w:val="00BB24C0"/>
    <w:rsid w:val="00BD6ECF"/>
    <w:rsid w:val="00C13ABF"/>
    <w:rsid w:val="00C26F2E"/>
    <w:rsid w:val="00C302E3"/>
    <w:rsid w:val="00C41B89"/>
    <w:rsid w:val="00C45376"/>
    <w:rsid w:val="00C9028F"/>
    <w:rsid w:val="00CA0416"/>
    <w:rsid w:val="00CB1125"/>
    <w:rsid w:val="00CB4E80"/>
    <w:rsid w:val="00CD042E"/>
    <w:rsid w:val="00CF2560"/>
    <w:rsid w:val="00CF5B46"/>
    <w:rsid w:val="00D46B68"/>
    <w:rsid w:val="00D542A5"/>
    <w:rsid w:val="00DC3D47"/>
    <w:rsid w:val="00DD77DA"/>
    <w:rsid w:val="00E06C61"/>
    <w:rsid w:val="00E13DB3"/>
    <w:rsid w:val="00E23993"/>
    <w:rsid w:val="00E2408B"/>
    <w:rsid w:val="00E62CEA"/>
    <w:rsid w:val="00E72AE1"/>
    <w:rsid w:val="00ED6A7A"/>
    <w:rsid w:val="00EE4C36"/>
    <w:rsid w:val="00EF6A23"/>
    <w:rsid w:val="00F346CE"/>
    <w:rsid w:val="00F34F98"/>
    <w:rsid w:val="00F40540"/>
    <w:rsid w:val="00F67402"/>
    <w:rsid w:val="00F766A2"/>
    <w:rsid w:val="00F9451D"/>
    <w:rsid w:val="00FC30BA"/>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48A52A"/>
  <w15:docId w15:val="{F538D4FE-08D9-410C-9F07-30E891B9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Style 58,超????,超?级链,하이퍼링크2"/>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2D35C6"/>
    <w:rPr>
      <w:color w:val="605E5C"/>
      <w:shd w:val="clear" w:color="auto" w:fill="E1DFDD"/>
    </w:rPr>
  </w:style>
  <w:style w:type="character" w:styleId="CommentReference">
    <w:name w:val="annotation reference"/>
    <w:rsid w:val="002D35C6"/>
    <w:rPr>
      <w:sz w:val="16"/>
      <w:szCs w:val="16"/>
    </w:rPr>
  </w:style>
  <w:style w:type="paragraph" w:styleId="CommentText">
    <w:name w:val="annotation text"/>
    <w:basedOn w:val="Normal"/>
    <w:link w:val="CommentTextChar"/>
    <w:rsid w:val="002D35C6"/>
    <w:rPr>
      <w:rFonts w:ascii="Calibri" w:eastAsia="Batang" w:hAnsi="Calibri"/>
      <w:sz w:val="20"/>
      <w:lang w:val="en-GB"/>
    </w:rPr>
  </w:style>
  <w:style w:type="character" w:customStyle="1" w:styleId="CommentTextChar">
    <w:name w:val="Comment Text Char"/>
    <w:basedOn w:val="DefaultParagraphFont"/>
    <w:link w:val="CommentText"/>
    <w:rsid w:val="002D35C6"/>
    <w:rPr>
      <w:rFonts w:ascii="Calibri" w:eastAsia="Batang" w:hAnsi="Calibri"/>
      <w:lang w:val="en-GB" w:eastAsia="en-US"/>
    </w:rPr>
  </w:style>
  <w:style w:type="character" w:customStyle="1" w:styleId="NoSpacingChar">
    <w:name w:val="No Spacing Char"/>
    <w:basedOn w:val="DefaultParagraphFont"/>
    <w:link w:val="NoSpacing"/>
    <w:uiPriority w:val="1"/>
    <w:locked/>
    <w:rsid w:val="002D35C6"/>
    <w:rPr>
      <w:rFonts w:ascii="Calibri Light" w:hAnsi="Calibri Light" w:cs="Calibri Light"/>
    </w:rPr>
  </w:style>
  <w:style w:type="paragraph" w:styleId="NoSpacing">
    <w:name w:val="No Spacing"/>
    <w:basedOn w:val="Normal"/>
    <w:link w:val="NoSpacingChar"/>
    <w:uiPriority w:val="1"/>
    <w:qFormat/>
    <w:rsid w:val="002D35C6"/>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character" w:styleId="FollowedHyperlink">
    <w:name w:val="FollowedHyperlink"/>
    <w:basedOn w:val="DefaultParagraphFont"/>
    <w:semiHidden/>
    <w:unhideWhenUsed/>
    <w:rsid w:val="007A0C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pub/T-RES-T.89-2022" TargetMode="External"/><Relationship Id="rId18" Type="http://schemas.openxmlformats.org/officeDocument/2006/relationships/hyperlink" Target="https://www.itu.int/en/ITU-T/Workshops-and-Seminars/2023/1120/Pages/default.aspx"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itu.int/pub/T-RES-T.58-2022" TargetMode="External"/><Relationship Id="rId17" Type="http://schemas.openxmlformats.org/officeDocument/2006/relationships/hyperlink" Target="https://www.itu.int/pub/T-RES-T.54-202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ITU-T/gap/Pages/default.aspx" TargetMode="External"/><Relationship Id="rId20" Type="http://schemas.openxmlformats.org/officeDocument/2006/relationships/hyperlink" Target="http://itu.int/go/tsg17rga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T-RES-T.50-202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igi.itu.int/figi-resources/dfs-security-lab/" TargetMode="External"/><Relationship Id="rId23" Type="http://schemas.openxmlformats.org/officeDocument/2006/relationships/footer" Target="footer1.xml"/><Relationship Id="rId10" Type="http://schemas.openxmlformats.org/officeDocument/2006/relationships/hyperlink" Target="mailto:tsbevents@itu.int" TargetMode="External"/><Relationship Id="rId19" Type="http://schemas.openxmlformats.org/officeDocument/2006/relationships/hyperlink" Target="https://www.itu.int/net4/CRM/xreg/web/registration.aspx?Event=C-00012871"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rec/T-REC-X.1060/e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74429-F83A-40E6-BA77-D7D95B4D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98</TotalTime>
  <Pages>3</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9242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FrenchMK</dc:creator>
  <cp:lastModifiedBy>Braud, Olivia</cp:lastModifiedBy>
  <cp:revision>8</cp:revision>
  <cp:lastPrinted>2023-07-27T13:08:00Z</cp:lastPrinted>
  <dcterms:created xsi:type="dcterms:W3CDTF">2023-07-18T16:29:00Z</dcterms:created>
  <dcterms:modified xsi:type="dcterms:W3CDTF">2023-07-27T13:08:00Z</dcterms:modified>
</cp:coreProperties>
</file>