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3736"/>
        <w:gridCol w:w="4436"/>
      </w:tblGrid>
      <w:tr w:rsidR="00720F32" w14:paraId="46A89FD0" w14:textId="77777777" w:rsidTr="00D31736">
        <w:trPr>
          <w:cantSplit/>
        </w:trPr>
        <w:tc>
          <w:tcPr>
            <w:tcW w:w="1843" w:type="dxa"/>
            <w:gridSpan w:val="2"/>
          </w:tcPr>
          <w:p w14:paraId="71C90F3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FEA8715" wp14:editId="234D0F9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95A273B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29FEE1C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6C7E5C5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0C0AE770" w14:textId="77777777" w:rsidTr="00D31736">
        <w:trPr>
          <w:cantSplit/>
        </w:trPr>
        <w:tc>
          <w:tcPr>
            <w:tcW w:w="5579" w:type="dxa"/>
            <w:gridSpan w:val="3"/>
          </w:tcPr>
          <w:p w14:paraId="4E07C94D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1BC2678A" w14:textId="59210B00" w:rsidR="00720F32" w:rsidRPr="0055099D" w:rsidRDefault="005A3AB0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332DDE">
              <w:rPr>
                <w:szCs w:val="24"/>
                <w:lang w:val="zh-CN"/>
              </w:rPr>
              <w:t>2023</w:t>
            </w:r>
            <w:r w:rsidRPr="00332DDE">
              <w:rPr>
                <w:szCs w:val="24"/>
                <w:lang w:val="zh-CN"/>
              </w:rPr>
              <w:t>年</w:t>
            </w:r>
            <w:r>
              <w:rPr>
                <w:rFonts w:eastAsiaTheme="minorEastAsia"/>
                <w:szCs w:val="24"/>
                <w:lang w:val="en-US" w:eastAsia="zh-CN"/>
              </w:rPr>
              <w:t>8</w:t>
            </w:r>
            <w:r w:rsidRPr="00332DDE">
              <w:rPr>
                <w:szCs w:val="24"/>
                <w:lang w:val="zh-CN"/>
              </w:rPr>
              <w:t>月</w:t>
            </w:r>
            <w:r>
              <w:rPr>
                <w:rFonts w:eastAsiaTheme="minorEastAsia"/>
                <w:szCs w:val="24"/>
                <w:lang w:val="en-US" w:eastAsia="zh-CN"/>
              </w:rPr>
              <w:t>4</w:t>
            </w:r>
            <w:r w:rsidRPr="00332DDE">
              <w:rPr>
                <w:szCs w:val="24"/>
                <w:lang w:val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641D6404" w14:textId="77777777" w:rsidTr="00D31736">
        <w:trPr>
          <w:cantSplit/>
        </w:trPr>
        <w:tc>
          <w:tcPr>
            <w:tcW w:w="1418" w:type="dxa"/>
          </w:tcPr>
          <w:p w14:paraId="195D600C" w14:textId="77777777" w:rsidR="006E14B5" w:rsidRPr="006E14B5" w:rsidRDefault="006E14B5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E350E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  <w:p w14:paraId="2E3A7438" w14:textId="77777777" w:rsidR="006E14B5" w:rsidRPr="006E14B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11A5520F" w14:textId="77777777" w:rsidR="006E14B5" w:rsidRDefault="006E14B5" w:rsidP="00D31736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A3AB0">
              <w:rPr>
                <w:rFonts w:hint="eastAsia"/>
                <w:b/>
                <w:szCs w:val="24"/>
                <w:lang w:eastAsia="zh-CN"/>
              </w:rPr>
              <w:t>1</w:t>
            </w:r>
            <w:r w:rsidR="005A3AB0">
              <w:rPr>
                <w:b/>
                <w:szCs w:val="24"/>
                <w:lang w:eastAsia="zh-CN"/>
              </w:rPr>
              <w:t>2</w:t>
            </w:r>
            <w:r w:rsidR="00CE6B6D">
              <w:rPr>
                <w:b/>
                <w:szCs w:val="24"/>
                <w:lang w:eastAsia="zh-CN"/>
              </w:rPr>
              <w:t>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13E54C29" w14:textId="0E49BA61" w:rsidR="006E350E" w:rsidRPr="00720F32" w:rsidRDefault="006E350E" w:rsidP="00D31736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2205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FG-</w:t>
            </w:r>
            <w:r w:rsidRPr="00220528">
              <w:rPr>
                <w:rFonts w:eastAsia="Times New Roman" w:cstheme="minorHAnsi"/>
                <w:b/>
                <w:bCs/>
                <w:sz w:val="22"/>
                <w:szCs w:val="22"/>
                <w:lang w:val="en-US" w:eastAsia="zh-CN"/>
              </w:rPr>
              <w:t>MV</w:t>
            </w:r>
            <w:r w:rsidRPr="00220528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/CB</w:t>
            </w:r>
          </w:p>
        </w:tc>
        <w:tc>
          <w:tcPr>
            <w:tcW w:w="4436" w:type="dxa"/>
            <w:vMerge w:val="restart"/>
          </w:tcPr>
          <w:p w14:paraId="5EA781EE" w14:textId="77777777" w:rsidR="006E14B5" w:rsidRPr="0055099D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B307AC6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  <w:p w14:paraId="6DE2ECAC" w14:textId="77777777" w:rsidR="006E14B5" w:rsidRDefault="006E14B5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14:paraId="359E6E28" w14:textId="7B8EFC50" w:rsidR="006E14B5" w:rsidRDefault="006E14B5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D31736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14:paraId="19F4CF1F" w14:textId="3CC16D37" w:rsidR="006E14B5" w:rsidRDefault="006E14B5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D31736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14:paraId="3719492E" w14:textId="5EAA1E2D" w:rsidR="000C0D96" w:rsidRDefault="00470476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抄送</w:t>
            </w:r>
            <w:r w:rsidRPr="00D10D32">
              <w:rPr>
                <w:b/>
                <w:sz w:val="22"/>
                <w:szCs w:val="22"/>
                <w:lang w:eastAsia="zh-CN"/>
              </w:rPr>
              <w:t>:</w:t>
            </w:r>
          </w:p>
          <w:p w14:paraId="5FBAA2E4" w14:textId="6EE0A57C" w:rsidR="006E14B5" w:rsidRDefault="009E0A05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="00B40FA5">
              <w:rPr>
                <w:lang w:eastAsia="zh-CN"/>
              </w:rPr>
              <w:t>ITU-T</w:t>
            </w:r>
            <w:r w:rsidR="006E14B5">
              <w:rPr>
                <w:rFonts w:hint="eastAsia"/>
                <w:lang w:eastAsia="zh-CN"/>
              </w:rPr>
              <w:t>研究组正副主席；</w:t>
            </w:r>
          </w:p>
          <w:p w14:paraId="1607DB60" w14:textId="77777777" w:rsidR="006E14B5" w:rsidRDefault="006E14B5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14:paraId="75E16CF2" w14:textId="5DE555FE" w:rsidR="006E14B5" w:rsidRDefault="006E14B5" w:rsidP="00CE6B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6E14B5" w14:paraId="681A7DD1" w14:textId="77777777" w:rsidTr="00D31736">
        <w:trPr>
          <w:cantSplit/>
        </w:trPr>
        <w:tc>
          <w:tcPr>
            <w:tcW w:w="1418" w:type="dxa"/>
          </w:tcPr>
          <w:p w14:paraId="5692E111" w14:textId="77777777" w:rsidR="006E14B5" w:rsidRPr="006E350E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E350E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BD12D6E" w14:textId="3AC4EF8E" w:rsidR="006E14B5" w:rsidRPr="00841612" w:rsidRDefault="00CE6B6D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220528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4436" w:type="dxa"/>
            <w:vMerge/>
          </w:tcPr>
          <w:p w14:paraId="02C8B027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037C058B" w14:textId="77777777" w:rsidTr="00D31736">
        <w:trPr>
          <w:cantSplit/>
        </w:trPr>
        <w:tc>
          <w:tcPr>
            <w:tcW w:w="1418" w:type="dxa"/>
          </w:tcPr>
          <w:p w14:paraId="5B5996DD" w14:textId="77777777" w:rsidR="006E14B5" w:rsidRPr="006E350E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E350E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16FD8842" w14:textId="41D2D826" w:rsidR="006E14B5" w:rsidRDefault="00CE6B6D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220528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17611C01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1900356D" w14:textId="77777777" w:rsidTr="00D31736">
        <w:trPr>
          <w:cantSplit/>
        </w:trPr>
        <w:tc>
          <w:tcPr>
            <w:tcW w:w="1418" w:type="dxa"/>
          </w:tcPr>
          <w:p w14:paraId="47ED5B4B" w14:textId="77777777" w:rsidR="006E14B5" w:rsidRPr="006E350E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E350E">
              <w:rPr>
                <w:rFonts w:ascii="Calibri" w:hAnsi="Calibri" w:hint="eastAsia"/>
                <w:b/>
                <w:bCs/>
                <w:lang w:eastAsia="zh-CN"/>
              </w:rPr>
              <w:t>电子邮件</w:t>
            </w:r>
            <w:r w:rsidRPr="006E350E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232D0FFE" w14:textId="4FF2942A" w:rsidR="006E14B5" w:rsidRPr="00CE6B6D" w:rsidRDefault="00604C2B" w:rsidP="00CE6B6D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CE6B6D" w:rsidRPr="00220528">
                <w:rPr>
                  <w:rStyle w:val="Hyperlink"/>
                  <w:rFonts w:cstheme="minorHAnsi"/>
                  <w:sz w:val="22"/>
                  <w:szCs w:val="22"/>
                </w:rPr>
                <w:t>tsbfgmv@itu.int</w:t>
              </w:r>
            </w:hyperlink>
          </w:p>
        </w:tc>
        <w:tc>
          <w:tcPr>
            <w:tcW w:w="4436" w:type="dxa"/>
            <w:vMerge/>
          </w:tcPr>
          <w:p w14:paraId="12CB36C1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C0D96" w14:paraId="73434172" w14:textId="77777777" w:rsidTr="00D31736">
        <w:trPr>
          <w:cantSplit/>
        </w:trPr>
        <w:tc>
          <w:tcPr>
            <w:tcW w:w="1418" w:type="dxa"/>
          </w:tcPr>
          <w:p w14:paraId="380E49A0" w14:textId="01668247" w:rsidR="000C0D96" w:rsidRPr="006E14B5" w:rsidRDefault="000C0D96" w:rsidP="00191798">
            <w:pPr>
              <w:spacing w:before="40" w:after="40"/>
              <w:rPr>
                <w:sz w:val="22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72B4D5A" w14:textId="57E45F1A" w:rsidR="000C0D96" w:rsidRDefault="00AB2C1E" w:rsidP="00997DF2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ITU-T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元宇宙焦点组（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FG-MV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）第三次会议（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2023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10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3-5</w:t>
            </w:r>
            <w:r w:rsidRPr="00AB2C1E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日，日内瓦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</w:tbl>
    <w:p w14:paraId="23B5B769" w14:textId="77777777" w:rsidR="00CE6B6D" w:rsidRPr="008F65A2" w:rsidRDefault="00CE6B6D" w:rsidP="00CE6B6D">
      <w:pPr>
        <w:tabs>
          <w:tab w:val="left" w:pos="900"/>
        </w:tabs>
        <w:spacing w:before="240" w:after="120"/>
        <w:ind w:left="-108"/>
        <w:rPr>
          <w:rFonts w:ascii="Calibri" w:hAnsi="Calibri" w:cs="Calibri"/>
          <w:szCs w:val="24"/>
          <w:lang w:eastAsia="zh-CN"/>
        </w:rPr>
      </w:pPr>
      <w:bookmarkStart w:id="1" w:name="StartTyping_E"/>
      <w:bookmarkEnd w:id="1"/>
      <w:r w:rsidRPr="008F65A2">
        <w:rPr>
          <w:rFonts w:ascii="Calibri" w:hAnsi="Calibri" w:cs="Calibri" w:hint="eastAsia"/>
          <w:lang w:eastAsia="zh-CN"/>
        </w:rPr>
        <w:t>尊敬的先生</w:t>
      </w:r>
      <w:r w:rsidRPr="008F65A2">
        <w:rPr>
          <w:rFonts w:ascii="Calibri" w:hAnsi="Calibri" w:cs="Calibri" w:hint="eastAsia"/>
          <w:lang w:eastAsia="zh-CN"/>
        </w:rPr>
        <w:t>/</w:t>
      </w:r>
      <w:r w:rsidRPr="008F65A2">
        <w:rPr>
          <w:rFonts w:ascii="Calibri" w:hAnsi="Calibri" w:cs="Calibri" w:hint="eastAsia"/>
          <w:lang w:eastAsia="zh-CN"/>
        </w:rPr>
        <w:t>女士：</w:t>
      </w:r>
    </w:p>
    <w:p w14:paraId="1E8D6A45" w14:textId="6C9FB0C5" w:rsidR="00CE6B6D" w:rsidRPr="008F65A2" w:rsidRDefault="00CE6B6D" w:rsidP="00CE6B6D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 w:val="22"/>
          <w:szCs w:val="22"/>
        </w:rPr>
      </w:pPr>
      <w:r w:rsidRPr="008F65A2">
        <w:rPr>
          <w:rFonts w:ascii="Calibri" w:hAnsi="Calibri" w:cs="Calibri"/>
          <w:sz w:val="22"/>
          <w:szCs w:val="22"/>
          <w:lang w:eastAsia="zh-CN"/>
        </w:rPr>
        <w:t>1</w:t>
      </w:r>
      <w:r w:rsidRPr="008F65A2">
        <w:rPr>
          <w:rFonts w:ascii="Calibri" w:hAnsi="Calibri" w:cs="Calibri"/>
          <w:sz w:val="22"/>
          <w:szCs w:val="22"/>
          <w:lang w:eastAsia="zh-CN"/>
        </w:rPr>
        <w:tab/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我很荣幸地邀请您参加定于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2023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10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3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日至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5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日在瑞士日内瓦国际电联总部举行的</w:t>
      </w:r>
      <w:r w:rsidR="008F65A2" w:rsidRPr="008F65A2">
        <w:fldChar w:fldCharType="begin"/>
      </w:r>
      <w:r w:rsidR="008F65A2" w:rsidRPr="008F65A2">
        <w:rPr>
          <w:rFonts w:ascii="Calibri" w:hAnsi="Calibri" w:cs="Calibri"/>
          <w:lang w:eastAsia="zh-CN"/>
        </w:rPr>
        <w:instrText>HYPERLINK "http://www.itu.int/go/fgmv"</w:instrText>
      </w:r>
      <w:r w:rsidR="008F65A2" w:rsidRPr="008F65A2">
        <w:fldChar w:fldCharType="separate"/>
      </w:r>
      <w:r w:rsidR="00AB2C1E" w:rsidRPr="008F65A2">
        <w:rPr>
          <w:rStyle w:val="Hyperlink"/>
          <w:rFonts w:ascii="Calibri" w:hAnsi="Calibri" w:cs="Calibri"/>
          <w:b/>
          <w:bCs/>
          <w:sz w:val="22"/>
          <w:szCs w:val="22"/>
          <w:lang w:eastAsia="zh-CN"/>
        </w:rPr>
        <w:t>ITU-T</w:t>
      </w:r>
      <w:proofErr w:type="gramStart"/>
      <w:r w:rsidR="00AB2C1E" w:rsidRPr="008F65A2">
        <w:rPr>
          <w:rStyle w:val="Hyperlink"/>
          <w:rFonts w:ascii="Calibri" w:hAnsi="Calibri" w:cs="Calibri" w:hint="eastAsia"/>
          <w:b/>
          <w:bCs/>
          <w:sz w:val="22"/>
          <w:szCs w:val="22"/>
          <w:lang w:eastAsia="zh-CN"/>
        </w:rPr>
        <w:t>元宇宙焦点组</w:t>
      </w:r>
      <w:r w:rsidR="00AB2C1E" w:rsidRPr="008F65A2">
        <w:rPr>
          <w:rStyle w:val="Hyperlink"/>
          <w:rFonts w:ascii="Calibri" w:hAnsi="Calibri" w:cs="Calibri"/>
          <w:b/>
          <w:bCs/>
          <w:sz w:val="22"/>
          <w:szCs w:val="22"/>
          <w:lang w:eastAsia="zh-CN"/>
        </w:rPr>
        <w:t>(</w:t>
      </w:r>
      <w:proofErr w:type="gramEnd"/>
      <w:r w:rsidR="00AB2C1E" w:rsidRPr="008F65A2">
        <w:rPr>
          <w:rStyle w:val="Hyperlink"/>
          <w:rFonts w:ascii="Calibri" w:hAnsi="Calibri" w:cs="Calibri"/>
          <w:b/>
          <w:bCs/>
          <w:sz w:val="22"/>
          <w:szCs w:val="22"/>
          <w:lang w:eastAsia="zh-CN"/>
        </w:rPr>
        <w:t>FG</w:t>
      </w:r>
      <w:r w:rsidR="00AB2C1E" w:rsidRPr="008F65A2">
        <w:rPr>
          <w:rStyle w:val="Hyperlink"/>
          <w:rFonts w:ascii="Calibri" w:hAnsi="Calibri" w:cs="Calibri"/>
          <w:b/>
          <w:bCs/>
          <w:sz w:val="22"/>
          <w:szCs w:val="22"/>
          <w:lang w:eastAsia="zh-CN"/>
        </w:rPr>
        <w:noBreakHyphen/>
        <w:t>MV)</w:t>
      </w:r>
      <w:r w:rsidR="008F65A2" w:rsidRPr="008F65A2">
        <w:rPr>
          <w:rStyle w:val="Hyperlink"/>
          <w:rFonts w:ascii="Calibri" w:hAnsi="Calibri" w:cs="Calibri"/>
          <w:b/>
          <w:bCs/>
          <w:sz w:val="22"/>
          <w:szCs w:val="22"/>
          <w:lang w:eastAsia="zh-CN"/>
        </w:rPr>
        <w:fldChar w:fldCharType="end"/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第三次会议。</w:t>
      </w:r>
      <w:r w:rsidR="00AB2C1E" w:rsidRPr="008F65A2">
        <w:rPr>
          <w:rFonts w:ascii="Calibri" w:hAnsi="Calibri" w:cs="Calibri"/>
          <w:sz w:val="22"/>
          <w:szCs w:val="22"/>
          <w:lang w:eastAsia="zh-CN"/>
        </w:rPr>
        <w:t>会议将以实体活动结合远程参与的方式举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行。</w:t>
      </w:r>
    </w:p>
    <w:p w14:paraId="32329490" w14:textId="4A7CBA4D" w:rsidR="00CE6B6D" w:rsidRPr="008F65A2" w:rsidRDefault="00CE6B6D" w:rsidP="00CE6B6D">
      <w:pPr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8F65A2">
        <w:rPr>
          <w:rFonts w:ascii="Calibri" w:hAnsi="Calibri" w:cs="Calibri"/>
          <w:sz w:val="22"/>
          <w:szCs w:val="22"/>
          <w:lang w:eastAsia="zh-CN"/>
        </w:rPr>
        <w:t>2</w:t>
      </w:r>
      <w:r w:rsidRPr="008F65A2">
        <w:rPr>
          <w:rFonts w:ascii="Calibri" w:hAnsi="Calibri" w:cs="Calibri"/>
          <w:sz w:val="22"/>
          <w:szCs w:val="22"/>
          <w:lang w:eastAsia="zh-CN"/>
        </w:rPr>
        <w:tab/>
        <w:t>ITU-T</w:t>
      </w:r>
      <w:proofErr w:type="gramStart"/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元宇宙焦点组</w:t>
      </w:r>
      <w:r w:rsidRPr="008F65A2">
        <w:rPr>
          <w:rFonts w:ascii="Calibri" w:hAnsi="Calibri" w:cs="Calibri"/>
          <w:sz w:val="22"/>
          <w:szCs w:val="22"/>
          <w:lang w:eastAsia="zh-CN"/>
        </w:rPr>
        <w:t>(</w:t>
      </w:r>
      <w:proofErr w:type="gramEnd"/>
      <w:r w:rsidRPr="008F65A2">
        <w:rPr>
          <w:rFonts w:ascii="Calibri" w:hAnsi="Calibri" w:cs="Calibri"/>
          <w:sz w:val="22"/>
          <w:szCs w:val="22"/>
          <w:lang w:eastAsia="zh-CN"/>
        </w:rPr>
        <w:t>FG MV)</w:t>
      </w:r>
      <w:r w:rsidR="00AB2C1E" w:rsidRPr="008F65A2">
        <w:rPr>
          <w:rFonts w:ascii="Calibri" w:hAnsi="Calibri" w:cs="Calibri" w:hint="eastAsia"/>
          <w:sz w:val="22"/>
          <w:szCs w:val="22"/>
          <w:lang w:eastAsia="zh-CN"/>
        </w:rPr>
        <w:t>第三次会议的目标包括：</w:t>
      </w:r>
    </w:p>
    <w:p w14:paraId="2613A163" w14:textId="17941197" w:rsidR="00507618" w:rsidRPr="008F65A2" w:rsidRDefault="00507618" w:rsidP="00507618">
      <w:pPr>
        <w:pStyle w:val="enumlev10"/>
        <w:rPr>
          <w:rFonts w:ascii="Calibri" w:eastAsia="SimSun" w:hAnsi="Calibri" w:cs="Calibri"/>
          <w:lang w:val="en-GB" w:eastAsia="zh-CN"/>
        </w:rPr>
      </w:pPr>
      <w:r w:rsidRPr="008F65A2">
        <w:rPr>
          <w:rFonts w:ascii="Calibri" w:eastAsia="SimSun" w:hAnsi="Calibri" w:cs="Calibri"/>
          <w:lang w:val="en-GB" w:eastAsia="zh-CN"/>
        </w:rPr>
        <w:t>•</w:t>
      </w:r>
      <w:r w:rsidRPr="008F65A2">
        <w:rPr>
          <w:rFonts w:ascii="Calibri" w:eastAsia="SimSun" w:hAnsi="Calibri" w:cs="Calibri"/>
          <w:lang w:val="en-GB" w:eastAsia="zh-CN"/>
        </w:rPr>
        <w:tab/>
      </w:r>
      <w:r w:rsidRPr="008F65A2">
        <w:rPr>
          <w:rFonts w:ascii="Calibri" w:eastAsia="SimSun" w:hAnsi="Calibri" w:cs="Calibri" w:hint="eastAsia"/>
          <w:lang w:eastAsia="zh-CN"/>
        </w:rPr>
        <w:t>讨论和介绍书面文稿</w:t>
      </w:r>
      <w:r w:rsidRPr="008F65A2">
        <w:rPr>
          <w:rFonts w:ascii="Calibri" w:eastAsia="SimSun" w:hAnsi="Calibri" w:cs="Calibri" w:hint="eastAsia"/>
          <w:lang w:val="en-GB" w:eastAsia="zh-CN"/>
        </w:rPr>
        <w:t>，</w:t>
      </w:r>
      <w:r w:rsidRPr="008F65A2">
        <w:rPr>
          <w:rFonts w:ascii="Calibri" w:eastAsia="SimSun" w:hAnsi="Calibri" w:cs="Calibri" w:hint="eastAsia"/>
          <w:lang w:eastAsia="zh-CN"/>
        </w:rPr>
        <w:t>包括已收到的用例</w:t>
      </w:r>
      <w:r w:rsidRPr="00823061">
        <w:rPr>
          <w:rFonts w:ascii="Calibri" w:eastAsia="SimSun" w:hAnsi="Calibri" w:cs="Calibri" w:hint="eastAsia"/>
          <w:lang w:val="en-GB" w:eastAsia="zh-CN"/>
        </w:rPr>
        <w:t>；</w:t>
      </w:r>
    </w:p>
    <w:p w14:paraId="5A231833" w14:textId="42906AFC" w:rsidR="00507618" w:rsidRPr="008F65A2" w:rsidRDefault="00507618" w:rsidP="00507618">
      <w:pPr>
        <w:pStyle w:val="enumlev10"/>
        <w:rPr>
          <w:rFonts w:ascii="Calibri" w:eastAsia="SimSun" w:hAnsi="Calibri" w:cs="Calibri"/>
          <w:lang w:val="en-GB" w:eastAsia="zh-CN"/>
        </w:rPr>
      </w:pPr>
      <w:r w:rsidRPr="008F65A2">
        <w:rPr>
          <w:rFonts w:ascii="Calibri" w:eastAsia="SimSun" w:hAnsi="Calibri" w:cs="Calibri"/>
          <w:lang w:val="en-GB" w:eastAsia="zh-CN"/>
        </w:rPr>
        <w:t>•</w:t>
      </w:r>
      <w:r w:rsidRPr="008F65A2">
        <w:rPr>
          <w:rFonts w:ascii="Calibri" w:eastAsia="SimSun" w:hAnsi="Calibri" w:cs="Calibri"/>
          <w:lang w:val="en-GB" w:eastAsia="zh-CN"/>
        </w:rPr>
        <w:tab/>
      </w:r>
      <w:r w:rsidRPr="008F65A2">
        <w:rPr>
          <w:rFonts w:ascii="Calibri" w:eastAsia="SimSun" w:hAnsi="Calibri" w:cs="Calibri" w:hint="eastAsia"/>
          <w:lang w:eastAsia="zh-CN"/>
        </w:rPr>
        <w:t>正在进行的可交付成果的开发进度</w:t>
      </w:r>
      <w:r w:rsidRPr="00823061">
        <w:rPr>
          <w:rFonts w:ascii="Calibri" w:eastAsia="SimSun" w:hAnsi="Calibri" w:cs="Calibri" w:hint="eastAsia"/>
          <w:lang w:val="en-GB" w:eastAsia="zh-CN"/>
        </w:rPr>
        <w:t>；</w:t>
      </w:r>
    </w:p>
    <w:p w14:paraId="0F643013" w14:textId="7743ECB4" w:rsidR="00507618" w:rsidRPr="00C37EB9" w:rsidRDefault="00507618" w:rsidP="00507618">
      <w:pPr>
        <w:pStyle w:val="enumlev10"/>
        <w:rPr>
          <w:rFonts w:ascii="Calibri" w:eastAsia="SimSun" w:hAnsi="Calibri" w:cs="Calibri"/>
          <w:lang w:val="en-GB"/>
        </w:rPr>
      </w:pPr>
      <w:r w:rsidRPr="00C37EB9">
        <w:rPr>
          <w:rFonts w:ascii="Calibri" w:eastAsia="SimSun" w:hAnsi="Calibri" w:cs="Calibri"/>
          <w:lang w:val="en-GB"/>
        </w:rPr>
        <w:t>•</w:t>
      </w:r>
      <w:r w:rsidRPr="00C37EB9">
        <w:rPr>
          <w:rFonts w:ascii="Calibri" w:eastAsia="SimSun" w:hAnsi="Calibri" w:cs="Calibri"/>
          <w:lang w:val="en-GB"/>
        </w:rPr>
        <w:tab/>
      </w:r>
      <w:r w:rsidRPr="008F65A2">
        <w:rPr>
          <w:rFonts w:ascii="Calibri" w:eastAsia="SimSun" w:hAnsi="Calibri" w:cs="Calibri" w:hint="eastAsia"/>
        </w:rPr>
        <w:t>就</w:t>
      </w:r>
      <w:r w:rsidRPr="00C37EB9">
        <w:rPr>
          <w:rFonts w:ascii="Calibri" w:eastAsia="SimSun" w:hAnsi="Calibri" w:cs="Calibri" w:hint="eastAsia"/>
          <w:lang w:val="en-GB"/>
        </w:rPr>
        <w:t>F</w:t>
      </w:r>
      <w:r w:rsidRPr="00C37EB9">
        <w:rPr>
          <w:rFonts w:ascii="Calibri" w:eastAsia="SimSun" w:hAnsi="Calibri" w:cs="Calibri"/>
          <w:lang w:val="en-GB"/>
        </w:rPr>
        <w:t>G-</w:t>
      </w:r>
      <w:proofErr w:type="gramStart"/>
      <w:r w:rsidRPr="00C37EB9">
        <w:rPr>
          <w:rFonts w:ascii="Calibri" w:eastAsia="SimSun" w:hAnsi="Calibri" w:cs="Calibri"/>
          <w:lang w:val="en-GB"/>
        </w:rPr>
        <w:t>MV</w:t>
      </w:r>
      <w:proofErr w:type="spellStart"/>
      <w:r w:rsidRPr="008F65A2">
        <w:rPr>
          <w:rFonts w:ascii="Calibri" w:eastAsia="SimSun" w:hAnsi="Calibri" w:cs="Calibri" w:hint="eastAsia"/>
        </w:rPr>
        <w:t>未来会议计划达成一致</w:t>
      </w:r>
      <w:proofErr w:type="spellEnd"/>
      <w:r w:rsidRPr="00C37EB9">
        <w:rPr>
          <w:rFonts w:ascii="Calibri" w:eastAsia="SimSun" w:hAnsi="Calibri" w:cs="Calibri" w:hint="eastAsia"/>
          <w:lang w:val="en-GB" w:eastAsia="zh-CN"/>
        </w:rPr>
        <w:t>；</w:t>
      </w:r>
      <w:proofErr w:type="gramEnd"/>
    </w:p>
    <w:p w14:paraId="163EFDAA" w14:textId="4A97126F" w:rsidR="00CE6B6D" w:rsidRPr="008F65A2" w:rsidRDefault="00AB2C1E" w:rsidP="00507618">
      <w:pPr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8F65A2">
        <w:rPr>
          <w:rFonts w:ascii="Calibri" w:hAnsi="Calibri" w:cs="Calibri" w:hint="eastAsia"/>
          <w:sz w:val="22"/>
          <w:szCs w:val="22"/>
          <w:lang w:eastAsia="zh-CN"/>
        </w:rPr>
        <w:t>FG-MV</w:t>
      </w:r>
      <w:r w:rsidRPr="008F65A2">
        <w:rPr>
          <w:rFonts w:ascii="Calibri" w:hAnsi="Calibri" w:cs="Calibri" w:hint="eastAsia"/>
          <w:sz w:val="22"/>
          <w:szCs w:val="22"/>
          <w:lang w:eastAsia="zh-CN"/>
        </w:rPr>
        <w:t>工作组会议将在</w:t>
      </w:r>
      <w:r w:rsidRPr="008F65A2">
        <w:rPr>
          <w:rFonts w:ascii="Calibri" w:hAnsi="Calibri" w:cs="Calibri" w:hint="eastAsia"/>
          <w:sz w:val="22"/>
          <w:szCs w:val="22"/>
          <w:lang w:eastAsia="zh-CN"/>
        </w:rPr>
        <w:t>FG-MV</w:t>
      </w:r>
      <w:r w:rsidRPr="008F65A2">
        <w:rPr>
          <w:rFonts w:ascii="Calibri" w:hAnsi="Calibri" w:cs="Calibri" w:hint="eastAsia"/>
          <w:sz w:val="22"/>
          <w:szCs w:val="22"/>
          <w:lang w:eastAsia="zh-CN"/>
        </w:rPr>
        <w:t>会议期间举行。</w:t>
      </w:r>
    </w:p>
    <w:p w14:paraId="09961CAE" w14:textId="644DE88A" w:rsidR="00CE6B6D" w:rsidRPr="008F65A2" w:rsidRDefault="00DF5424" w:rsidP="00507618">
      <w:pPr>
        <w:ind w:firstLineChars="200" w:firstLine="440"/>
        <w:rPr>
          <w:rFonts w:ascii="Calibri" w:hAnsi="Calibri" w:cs="Calibri"/>
          <w:sz w:val="22"/>
          <w:szCs w:val="22"/>
          <w:highlight w:val="yellow"/>
          <w:lang w:eastAsia="zh-CN"/>
        </w:rPr>
      </w:pPr>
      <w:r w:rsidRPr="008F65A2">
        <w:rPr>
          <w:rFonts w:ascii="Calibri" w:hAnsi="Calibri" w:cs="Calibri" w:hint="eastAsia"/>
          <w:sz w:val="22"/>
          <w:szCs w:val="22"/>
          <w:lang w:eastAsia="zh-CN"/>
        </w:rPr>
        <w:t>书面文稿对于焦点组的最终成功至关重要，因此大力提倡</w:t>
      </w:r>
      <w:proofErr w:type="gramStart"/>
      <w:r w:rsidRPr="008F65A2">
        <w:rPr>
          <w:rFonts w:ascii="Calibri" w:hAnsi="Calibri" w:cs="Calibri" w:hint="eastAsia"/>
          <w:sz w:val="22"/>
          <w:szCs w:val="22"/>
          <w:lang w:eastAsia="zh-CN"/>
        </w:rPr>
        <w:t>您针对</w:t>
      </w:r>
      <w:proofErr w:type="gramEnd"/>
      <w:r w:rsidRPr="008F65A2">
        <w:rPr>
          <w:rFonts w:ascii="Calibri" w:hAnsi="Calibri" w:cs="Calibri" w:hint="eastAsia"/>
          <w:sz w:val="22"/>
          <w:szCs w:val="22"/>
          <w:lang w:eastAsia="zh-CN"/>
        </w:rPr>
        <w:t>上述</w:t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重点</w:t>
      </w:r>
      <w:r w:rsidRPr="008F65A2">
        <w:rPr>
          <w:rFonts w:ascii="Calibri" w:hAnsi="Calibri" w:cs="Calibri" w:hint="eastAsia"/>
          <w:sz w:val="22"/>
          <w:szCs w:val="22"/>
          <w:lang w:eastAsia="zh-CN"/>
        </w:rPr>
        <w:t>目标提交书面文稿，以形成可交付成果的初步开展计划。书面文稿应使用</w:t>
      </w:r>
      <w:hyperlink r:id="rId9" w:history="1">
        <w:r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FG</w:t>
        </w:r>
        <w:r w:rsidRPr="008F65A2">
          <w:rPr>
            <w:rStyle w:val="Hyperlink"/>
            <w:rFonts w:ascii="Calibri" w:hAnsi="Calibri" w:cs="Calibri"/>
            <w:sz w:val="22"/>
            <w:szCs w:val="22"/>
            <w:lang w:eastAsia="zh-CN"/>
          </w:rPr>
          <w:t>-</w:t>
        </w:r>
        <w:r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MV</w:t>
        </w:r>
        <w:r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主页</w:t>
        </w:r>
      </w:hyperlink>
      <w:r w:rsidRPr="008F65A2">
        <w:rPr>
          <w:rFonts w:ascii="Calibri" w:hAnsi="Calibri" w:cs="Calibri" w:hint="eastAsia"/>
          <w:sz w:val="22"/>
          <w:szCs w:val="22"/>
          <w:lang w:eastAsia="zh-CN"/>
        </w:rPr>
        <w:t>上的模板以电子格式提交电信标准化局（</w:t>
      </w:r>
      <w:r w:rsidRPr="008F65A2">
        <w:rPr>
          <w:rFonts w:ascii="Calibri" w:hAnsi="Calibri" w:cs="Calibri" w:hint="eastAsia"/>
          <w:sz w:val="22"/>
          <w:szCs w:val="22"/>
          <w:lang w:eastAsia="zh-CN"/>
        </w:rPr>
        <w:t>T</w:t>
      </w:r>
      <w:r w:rsidRPr="008F65A2">
        <w:rPr>
          <w:rFonts w:ascii="Calibri" w:hAnsi="Calibri" w:cs="Calibri"/>
          <w:sz w:val="22"/>
          <w:szCs w:val="22"/>
          <w:lang w:eastAsia="zh-CN"/>
        </w:rPr>
        <w:t>SB</w:t>
      </w:r>
      <w:r w:rsidRPr="008F65A2">
        <w:rPr>
          <w:rFonts w:ascii="Calibri" w:hAnsi="Calibri" w:cs="Calibri" w:hint="eastAsia"/>
          <w:sz w:val="22"/>
          <w:szCs w:val="22"/>
          <w:lang w:eastAsia="zh-CN"/>
        </w:rPr>
        <w:t>）秘书处（</w:t>
      </w:r>
      <w:hyperlink r:id="rId10" w:history="1">
        <w:r w:rsidR="007566D3" w:rsidRPr="008F65A2">
          <w:rPr>
            <w:rStyle w:val="Hyperlink"/>
            <w:rFonts w:ascii="Calibri" w:hAnsi="Calibri" w:cs="Calibri"/>
            <w:sz w:val="22"/>
            <w:szCs w:val="22"/>
            <w:lang w:eastAsia="zh-CN"/>
          </w:rPr>
          <w:t>tsbfgmv@itu.int</w:t>
        </w:r>
      </w:hyperlink>
      <w:r w:rsidRPr="008F65A2">
        <w:rPr>
          <w:rFonts w:ascii="Calibri" w:hAnsi="Calibri" w:cs="Calibri" w:hint="eastAsia"/>
          <w:sz w:val="22"/>
          <w:szCs w:val="22"/>
          <w:lang w:eastAsia="zh-CN"/>
        </w:rPr>
        <w:t>）</w:t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。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会议文稿截止日期为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2023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年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9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月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20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日。</w:t>
      </w:r>
    </w:p>
    <w:p w14:paraId="5ED70258" w14:textId="2B5B8A11" w:rsidR="00CE6B6D" w:rsidRPr="008F65A2" w:rsidRDefault="00DF5424" w:rsidP="00507618">
      <w:pPr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8F65A2">
        <w:rPr>
          <w:rFonts w:ascii="Calibri" w:hAnsi="Calibri" w:cs="Calibri" w:hint="eastAsia"/>
          <w:sz w:val="22"/>
          <w:szCs w:val="22"/>
          <w:lang w:eastAsia="zh-CN"/>
        </w:rPr>
        <w:t>会议议程、文件和其他实用信息</w:t>
      </w:r>
      <w:r w:rsidR="00EE3D88" w:rsidRPr="008F65A2">
        <w:rPr>
          <w:rFonts w:ascii="Calibri" w:hAnsi="Calibri" w:cs="Calibri" w:hint="eastAsia"/>
          <w:sz w:val="22"/>
          <w:szCs w:val="22"/>
          <w:lang w:eastAsia="zh-CN"/>
        </w:rPr>
        <w:t>将在会前在</w:t>
      </w:r>
      <w:hyperlink r:id="rId11" w:history="1">
        <w:r w:rsidR="007566D3"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FG</w:t>
        </w:r>
        <w:r w:rsidR="007566D3" w:rsidRPr="008F65A2">
          <w:rPr>
            <w:rStyle w:val="Hyperlink"/>
            <w:rFonts w:ascii="Calibri" w:hAnsi="Calibri" w:cs="Calibri"/>
            <w:sz w:val="22"/>
            <w:szCs w:val="22"/>
            <w:lang w:eastAsia="zh-CN"/>
          </w:rPr>
          <w:t>-</w:t>
        </w:r>
        <w:r w:rsidR="007566D3"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MV</w:t>
        </w:r>
        <w:r w:rsidR="007566D3"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主页</w:t>
        </w:r>
      </w:hyperlink>
      <w:r w:rsidR="00EE3D88" w:rsidRPr="008F65A2">
        <w:rPr>
          <w:rFonts w:ascii="Calibri" w:hAnsi="Calibri" w:cs="Calibri" w:hint="eastAsia"/>
          <w:sz w:val="22"/>
          <w:szCs w:val="22"/>
          <w:lang w:eastAsia="zh-CN"/>
        </w:rPr>
        <w:t>上公布。讨论将仅以英语进行。有关远程参会的信息将在焦点组的网页（</w:t>
      </w:r>
      <w:hyperlink r:id="rId12" w:history="1">
        <w:r w:rsidR="007566D3" w:rsidRPr="008F65A2">
          <w:rPr>
            <w:rStyle w:val="Hyperlink"/>
            <w:rFonts w:ascii="Calibri" w:hAnsi="Calibri" w:cs="Calibri"/>
            <w:sz w:val="22"/>
            <w:szCs w:val="22"/>
            <w:lang w:eastAsia="zh-CN"/>
          </w:rPr>
          <w:t>www.itu.int/go/fgmv</w:t>
        </w:r>
      </w:hyperlink>
      <w:r w:rsidR="00EE3D88" w:rsidRPr="008F65A2">
        <w:rPr>
          <w:rFonts w:ascii="Calibri" w:hAnsi="Calibri" w:cs="Calibri" w:hint="eastAsia"/>
          <w:sz w:val="22"/>
          <w:szCs w:val="22"/>
          <w:lang w:eastAsia="zh-CN"/>
        </w:rPr>
        <w:t>）上公布。</w:t>
      </w:r>
    </w:p>
    <w:p w14:paraId="7981E094" w14:textId="7AFED424" w:rsidR="00CE6B6D" w:rsidRPr="008F65A2" w:rsidRDefault="00CE6B6D" w:rsidP="00CE6B6D">
      <w:pPr>
        <w:rPr>
          <w:rFonts w:ascii="Calibri" w:hAnsi="Calibri" w:cs="Calibri"/>
          <w:sz w:val="22"/>
          <w:szCs w:val="22"/>
          <w:highlight w:val="yellow"/>
          <w:lang w:eastAsia="zh-CN"/>
        </w:rPr>
      </w:pPr>
      <w:r w:rsidRPr="008F65A2">
        <w:rPr>
          <w:rFonts w:ascii="Calibri" w:hAnsi="Calibri" w:cs="Calibri"/>
          <w:sz w:val="22"/>
          <w:szCs w:val="22"/>
          <w:lang w:eastAsia="zh-CN"/>
        </w:rPr>
        <w:t>3</w:t>
      </w:r>
      <w:r w:rsidRPr="008F65A2">
        <w:rPr>
          <w:rFonts w:ascii="Calibri" w:hAnsi="Calibri" w:cs="Calibri"/>
          <w:sz w:val="22"/>
          <w:szCs w:val="22"/>
          <w:lang w:eastAsia="zh-CN"/>
        </w:rPr>
        <w:tab/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向所有部门和相关学科的个人专家和组织均可免费参加会议。任何有兴趣关注或参与</w:t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FG-MV</w:t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工作的人士都可订阅专门的邮件列表；订阅详情请访问</w:t>
      </w:r>
      <w:hyperlink r:id="rId13" w:history="1">
        <w:r w:rsidRPr="008F65A2">
          <w:rPr>
            <w:rStyle w:val="Hyperlink"/>
            <w:rFonts w:ascii="Calibri" w:hAnsi="Calibri" w:cs="Calibri"/>
            <w:sz w:val="22"/>
            <w:szCs w:val="22"/>
            <w:lang w:eastAsia="zh-CN"/>
          </w:rPr>
          <w:t>https://itu.int/go/fgmv/join</w:t>
        </w:r>
      </w:hyperlink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。</w:t>
      </w:r>
    </w:p>
    <w:p w14:paraId="06917C37" w14:textId="75D8727F" w:rsidR="00CE6B6D" w:rsidRPr="008F65A2" w:rsidRDefault="00CE6B6D" w:rsidP="00CE6B6D">
      <w:pPr>
        <w:rPr>
          <w:rFonts w:ascii="Calibri" w:hAnsi="Calibri" w:cs="Calibri"/>
          <w:sz w:val="22"/>
          <w:szCs w:val="22"/>
          <w:lang w:eastAsia="zh-CN"/>
        </w:rPr>
      </w:pPr>
      <w:r w:rsidRPr="008F65A2">
        <w:rPr>
          <w:rFonts w:ascii="Calibri" w:hAnsi="Calibri" w:cs="Calibri"/>
          <w:sz w:val="22"/>
          <w:szCs w:val="22"/>
          <w:lang w:eastAsia="zh-CN"/>
        </w:rPr>
        <w:t>4</w:t>
      </w:r>
      <w:r w:rsidRPr="008F65A2">
        <w:rPr>
          <w:rFonts w:ascii="Calibri" w:hAnsi="Calibri" w:cs="Calibri"/>
          <w:sz w:val="22"/>
          <w:szCs w:val="22"/>
          <w:lang w:eastAsia="zh-CN"/>
        </w:rPr>
        <w:tab/>
      </w:r>
      <w:r w:rsidR="00324FA8" w:rsidRPr="008F65A2">
        <w:rPr>
          <w:rFonts w:ascii="Calibri" w:hAnsi="Calibri" w:cs="Calibri" w:hint="eastAsia"/>
          <w:sz w:val="22"/>
          <w:szCs w:val="22"/>
          <w:lang w:eastAsia="zh-CN"/>
        </w:rPr>
        <w:t>为使国际电联能够做出必要的安排，请与会者尽快通过</w:t>
      </w:r>
      <w:hyperlink r:id="rId14" w:history="1">
        <w:r w:rsidR="007566D3"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FG</w:t>
        </w:r>
        <w:r w:rsidR="007566D3" w:rsidRPr="008F65A2">
          <w:rPr>
            <w:rStyle w:val="Hyperlink"/>
            <w:rFonts w:ascii="Calibri" w:hAnsi="Calibri" w:cs="Calibri"/>
            <w:sz w:val="22"/>
            <w:szCs w:val="22"/>
            <w:lang w:eastAsia="zh-CN"/>
          </w:rPr>
          <w:t>-</w:t>
        </w:r>
        <w:r w:rsidR="007566D3"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MV</w:t>
        </w:r>
        <w:r w:rsidR="007566D3"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主页</w:t>
        </w:r>
      </w:hyperlink>
      <w:r w:rsidR="00324FA8" w:rsidRPr="008F65A2">
        <w:rPr>
          <w:rFonts w:ascii="Calibri" w:hAnsi="Calibri" w:cs="Calibri" w:hint="eastAsia"/>
          <w:sz w:val="22"/>
          <w:szCs w:val="22"/>
          <w:lang w:eastAsia="zh-CN"/>
        </w:rPr>
        <w:t>进行网上注册。名额有限，注册将以先到先得的方式进行。</w:t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无论远程参会还是实地参会均需注册。</w:t>
      </w:r>
      <w:r w:rsidR="00324FA8" w:rsidRPr="008F65A2">
        <w:rPr>
          <w:rFonts w:ascii="Calibri" w:hAnsi="Calibri" w:cs="Calibri" w:hint="eastAsia"/>
          <w:sz w:val="22"/>
          <w:szCs w:val="22"/>
          <w:lang w:eastAsia="zh-CN"/>
        </w:rPr>
        <w:t>请注意，活动参与者的预注册仅在网上进行。</w:t>
      </w:r>
    </w:p>
    <w:p w14:paraId="1656F392" w14:textId="0BAD5B31" w:rsidR="00CE6B6D" w:rsidRPr="008F65A2" w:rsidRDefault="00CE6B6D" w:rsidP="00CE6B6D">
      <w:pPr>
        <w:spacing w:after="120"/>
        <w:rPr>
          <w:rFonts w:ascii="Calibri" w:hAnsi="Calibri" w:cs="Calibri"/>
          <w:sz w:val="22"/>
          <w:szCs w:val="22"/>
          <w:lang w:eastAsia="zh-CN"/>
        </w:rPr>
      </w:pPr>
      <w:r w:rsidRPr="008F65A2">
        <w:rPr>
          <w:rFonts w:ascii="Calibri" w:hAnsi="Calibri" w:cs="Calibri"/>
          <w:sz w:val="22"/>
          <w:szCs w:val="22"/>
          <w:lang w:eastAsia="zh-CN"/>
        </w:rPr>
        <w:t>5</w:t>
      </w:r>
      <w:r w:rsidRPr="008F65A2">
        <w:rPr>
          <w:rFonts w:ascii="Calibri" w:hAnsi="Calibri" w:cs="Calibri"/>
          <w:sz w:val="22"/>
          <w:szCs w:val="22"/>
          <w:lang w:eastAsia="zh-CN"/>
        </w:rPr>
        <w:tab/>
      </w:r>
      <w:r w:rsidR="00C91D6E" w:rsidRPr="008F65A2">
        <w:rPr>
          <w:rFonts w:ascii="Calibri" w:hAnsi="Calibri" w:cs="Calibri" w:hint="eastAsia"/>
          <w:sz w:val="22"/>
          <w:szCs w:val="22"/>
          <w:lang w:eastAsia="zh-CN"/>
        </w:rPr>
        <w:t>谨在此提醒您，一些国家的公民需要获得签证才能入境瑞士并逗留。</w:t>
      </w:r>
      <w:r w:rsidR="00C91D6E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签证必须至少在会议召开日的四（</w:t>
      </w:r>
      <w:r w:rsidR="00C91D6E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4</w:t>
      </w:r>
      <w:r w:rsidR="00C91D6E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）个星期前</w:t>
      </w:r>
      <w:r w:rsidR="00C91D6E" w:rsidRPr="008F65A2">
        <w:rPr>
          <w:rFonts w:ascii="Calibri" w:hAnsi="Calibri" w:cs="Calibri" w:hint="eastAsia"/>
          <w:sz w:val="22"/>
          <w:szCs w:val="22"/>
          <w:lang w:eastAsia="zh-CN"/>
        </w:rPr>
        <w:t>向驻贵国的瑞士代表机构（使馆或领事馆）</w:t>
      </w:r>
      <w:r w:rsidR="00C91D6E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申请</w:t>
      </w:r>
      <w:r w:rsidR="00C91D6E" w:rsidRPr="008F65A2">
        <w:rPr>
          <w:rFonts w:ascii="Calibri" w:hAnsi="Calibri" w:cs="Calibri" w:hint="eastAsia"/>
          <w:sz w:val="22"/>
          <w:szCs w:val="22"/>
          <w:lang w:eastAsia="zh-CN"/>
        </w:rPr>
        <w:t>，并随后领取。如果贵国没有此类机构，则请向驻出发国最近的国家的此类机构申请并领取。</w:t>
      </w:r>
    </w:p>
    <w:p w14:paraId="20CAD440" w14:textId="1FED099D" w:rsidR="00CE6B6D" w:rsidRPr="008F65A2" w:rsidRDefault="00EE3D88" w:rsidP="00CE6B6D">
      <w:pPr>
        <w:tabs>
          <w:tab w:val="left" w:pos="900"/>
        </w:tabs>
        <w:rPr>
          <w:rFonts w:ascii="Calibri" w:hAnsi="Calibri" w:cs="Calibri"/>
          <w:sz w:val="22"/>
          <w:szCs w:val="22"/>
          <w:lang w:eastAsia="zh-CN"/>
        </w:rPr>
      </w:pPr>
      <w:r w:rsidRPr="008F65A2">
        <w:rPr>
          <w:rFonts w:ascii="Calibri" w:hAnsi="Calibri" w:cs="Calibri" w:hint="eastAsia"/>
          <w:sz w:val="22"/>
          <w:szCs w:val="22"/>
          <w:lang w:eastAsia="zh-CN"/>
        </w:rPr>
        <w:t>如果遇到问题，国际</w:t>
      </w:r>
      <w:proofErr w:type="gramStart"/>
      <w:r w:rsidRPr="008F65A2">
        <w:rPr>
          <w:rFonts w:ascii="Calibri" w:hAnsi="Calibri" w:cs="Calibri" w:hint="eastAsia"/>
          <w:sz w:val="22"/>
          <w:szCs w:val="22"/>
          <w:lang w:eastAsia="zh-CN"/>
        </w:rPr>
        <w:t>电联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可根据</w:t>
      </w:r>
      <w:proofErr w:type="gramEnd"/>
      <w:r w:rsidR="003F06FD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国际电联成员国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、</w:t>
      </w:r>
      <w:r w:rsidR="003F06FD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部门成员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、</w:t>
      </w:r>
      <w:r w:rsidR="003F06FD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部门准成员</w:t>
      </w:r>
      <w:r w:rsidR="007566D3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或学术成员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向电信标准化局提出的正式请求与相关瑞士当局接触，以便为发放签证提供方便，但仅限在所述的</w:t>
      </w:r>
      <w:r w:rsidR="003F06FD" w:rsidRPr="008F65A2">
        <w:rPr>
          <w:rFonts w:ascii="Calibri" w:hAnsi="Calibri" w:cs="Calibri" w:hint="eastAsia"/>
          <w:b/>
          <w:bCs/>
          <w:sz w:val="22"/>
          <w:szCs w:val="22"/>
          <w:lang w:eastAsia="zh-CN"/>
        </w:rPr>
        <w:t>四周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内。申请应在不晚于会议召开日的四周前</w:t>
      </w:r>
      <w:proofErr w:type="gramStart"/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通过勾选注册表</w:t>
      </w:r>
      <w:proofErr w:type="gramEnd"/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中相应的方框提出，如有问题，请发送电子邮件至国际电联差旅科（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t</w:t>
      </w:r>
      <w:r w:rsidR="003F06FD" w:rsidRPr="008F65A2">
        <w:rPr>
          <w:rFonts w:ascii="Calibri" w:hAnsi="Calibri" w:cs="Calibri"/>
          <w:sz w:val="22"/>
          <w:szCs w:val="22"/>
          <w:lang w:eastAsia="zh-CN"/>
        </w:rPr>
        <w:t>ravel@itu.int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）（请注明“签证协办</w:t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（</w:t>
      </w:r>
      <w:r w:rsidR="007566D3" w:rsidRPr="008F65A2">
        <w:rPr>
          <w:rFonts w:ascii="Calibri" w:hAnsi="Calibri" w:cs="Calibri"/>
          <w:sz w:val="22"/>
          <w:szCs w:val="22"/>
          <w:lang w:eastAsia="zh-CN"/>
        </w:rPr>
        <w:t>visa support</w:t>
      </w:r>
      <w:r w:rsidR="007566D3" w:rsidRPr="008F65A2">
        <w:rPr>
          <w:rFonts w:ascii="Calibri" w:hAnsi="Calibri" w:cs="Calibri" w:hint="eastAsia"/>
          <w:sz w:val="22"/>
          <w:szCs w:val="22"/>
          <w:lang w:eastAsia="zh-CN"/>
        </w:rPr>
        <w:t>）</w:t>
      </w:r>
      <w:r w:rsidR="003F06FD" w:rsidRPr="008F65A2">
        <w:rPr>
          <w:rFonts w:ascii="Calibri" w:hAnsi="Calibri" w:cs="Calibri" w:hint="eastAsia"/>
          <w:sz w:val="22"/>
          <w:szCs w:val="22"/>
          <w:lang w:eastAsia="zh-CN"/>
        </w:rPr>
        <w:t>”）。</w:t>
      </w:r>
    </w:p>
    <w:p w14:paraId="203D552C" w14:textId="525F8AAE" w:rsidR="00CE6B6D" w:rsidRPr="008F65A2" w:rsidRDefault="00515D64" w:rsidP="00507618">
      <w:pPr>
        <w:tabs>
          <w:tab w:val="left" w:pos="900"/>
        </w:tabs>
        <w:spacing w:after="120"/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8F65A2">
        <w:rPr>
          <w:rFonts w:ascii="Calibri" w:hAnsi="Calibri" w:cs="Calibri" w:hint="eastAsia"/>
          <w:sz w:val="22"/>
          <w:szCs w:val="22"/>
          <w:lang w:eastAsia="zh-CN"/>
        </w:rPr>
        <w:t>更多详情和文件将在</w:t>
      </w:r>
      <w:hyperlink r:id="rId15" w:history="1">
        <w:r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FG</w:t>
        </w:r>
        <w:r w:rsidRPr="008F65A2">
          <w:rPr>
            <w:rStyle w:val="Hyperlink"/>
            <w:rFonts w:ascii="Calibri" w:hAnsi="Calibri" w:cs="Calibri"/>
            <w:sz w:val="22"/>
            <w:szCs w:val="22"/>
            <w:lang w:eastAsia="zh-CN"/>
          </w:rPr>
          <w:t>-</w:t>
        </w:r>
        <w:r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MV</w:t>
        </w:r>
        <w:r w:rsidRPr="008F65A2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主页</w:t>
        </w:r>
      </w:hyperlink>
      <w:r w:rsidRPr="008F65A2">
        <w:rPr>
          <w:rFonts w:ascii="Calibri" w:hAnsi="Calibri" w:cs="Calibri" w:hint="eastAsia"/>
          <w:sz w:val="22"/>
          <w:szCs w:val="22"/>
          <w:lang w:eastAsia="zh-CN"/>
        </w:rPr>
        <w:t>上公布。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CE6B6D" w:rsidRPr="008F65A2" w14:paraId="13D206C0" w14:textId="77777777" w:rsidTr="00696A06">
        <w:trPr>
          <w:trHeight w:val="438"/>
        </w:trPr>
        <w:tc>
          <w:tcPr>
            <w:tcW w:w="1999" w:type="dxa"/>
          </w:tcPr>
          <w:p w14:paraId="6BF93C1E" w14:textId="2623AA99" w:rsidR="00CE6B6D" w:rsidRPr="008F65A2" w:rsidRDefault="00EE3D88" w:rsidP="00696A06">
            <w:pPr>
              <w:keepNext/>
              <w:keepLines/>
              <w:spacing w:before="60" w:after="60"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F65A2">
              <w:rPr>
                <w:rFonts w:ascii="Calibri" w:hAnsi="Calibri" w:cs="Calibri"/>
                <w:sz w:val="22"/>
                <w:szCs w:val="22"/>
              </w:rPr>
              <w:lastRenderedPageBreak/>
              <w:t>2023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年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9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月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4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53844182" w14:textId="1AF6C28B" w:rsidR="00CE6B6D" w:rsidRPr="008F65A2" w:rsidRDefault="00EE3D88" w:rsidP="00CE6B6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301" w:hanging="219"/>
              <w:rPr>
                <w:rFonts w:ascii="Calibri" w:eastAsia="SimSun" w:hAnsi="Calibri" w:cs="Calibri"/>
                <w:sz w:val="22"/>
                <w:szCs w:val="22"/>
              </w:rPr>
            </w:pPr>
            <w:r w:rsidRPr="008F65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提交签证协办函申请（通过在线注册表进行）</w:t>
            </w:r>
          </w:p>
        </w:tc>
      </w:tr>
      <w:tr w:rsidR="00CE6B6D" w:rsidRPr="008F65A2" w14:paraId="1CADB5F9" w14:textId="77777777" w:rsidTr="00696A06">
        <w:trPr>
          <w:trHeight w:val="438"/>
        </w:trPr>
        <w:tc>
          <w:tcPr>
            <w:tcW w:w="1999" w:type="dxa"/>
          </w:tcPr>
          <w:p w14:paraId="7B59A426" w14:textId="4C354E7B" w:rsidR="00CE6B6D" w:rsidRPr="008F65A2" w:rsidRDefault="00EE3D88" w:rsidP="00696A06">
            <w:pPr>
              <w:keepNext/>
              <w:keepLines/>
              <w:spacing w:before="60" w:after="60"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bookmarkStart w:id="2" w:name="_Hlk124850442"/>
            <w:r w:rsidRPr="008F65A2">
              <w:rPr>
                <w:rFonts w:ascii="Calibri" w:hAnsi="Calibri" w:cs="Calibri"/>
                <w:sz w:val="22"/>
                <w:szCs w:val="22"/>
              </w:rPr>
              <w:t>2023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年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9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月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2</w:t>
            </w:r>
            <w:r w:rsidRPr="008F65A2">
              <w:rPr>
                <w:rFonts w:ascii="Calibri" w:hAnsi="Calibri" w:cs="Calibri"/>
                <w:sz w:val="22"/>
                <w:szCs w:val="22"/>
                <w:lang w:eastAsia="zh-CN"/>
              </w:rPr>
              <w:t>0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38FB530C" w14:textId="5523E863" w:rsidR="00CE6B6D" w:rsidRPr="008F65A2" w:rsidRDefault="00EE3D88" w:rsidP="00CE6B6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="Calibri" w:eastAsia="SimSun" w:hAnsi="Calibri" w:cs="Calibri"/>
                <w:sz w:val="22"/>
                <w:szCs w:val="22"/>
              </w:rPr>
            </w:pPr>
            <w:r w:rsidRPr="008F65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提交书面文稿</w:t>
            </w:r>
            <w:r w:rsidR="008E7AA0" w:rsidRPr="008F65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（发送电子邮件至</w:t>
            </w:r>
            <w:hyperlink r:id="rId16" w:history="1">
              <w:r w:rsidR="008E7AA0" w:rsidRPr="008F65A2">
                <w:rPr>
                  <w:rStyle w:val="Hyperlink"/>
                  <w:rFonts w:ascii="Calibri" w:eastAsia="SimSun" w:hAnsi="Calibri" w:cs="Calibri" w:hint="eastAsia"/>
                  <w:sz w:val="22"/>
                  <w:szCs w:val="22"/>
                  <w:lang w:eastAsia="zh-CN"/>
                </w:rPr>
                <w:t>t</w:t>
              </w:r>
              <w:r w:rsidR="008E7AA0" w:rsidRPr="008F65A2">
                <w:rPr>
                  <w:rStyle w:val="Hyperlink"/>
                  <w:rFonts w:ascii="Calibri" w:eastAsia="SimSun" w:hAnsi="Calibri" w:cs="Calibri"/>
                  <w:sz w:val="22"/>
                  <w:szCs w:val="22"/>
                  <w:lang w:eastAsia="zh-CN"/>
                </w:rPr>
                <w:t>sbfgmv@itu.int</w:t>
              </w:r>
            </w:hyperlink>
            <w:r w:rsidRPr="008F65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CE6B6D" w:rsidRPr="008F65A2" w14:paraId="3481F6BD" w14:textId="77777777" w:rsidTr="00696A06">
        <w:trPr>
          <w:trHeight w:val="438"/>
        </w:trPr>
        <w:tc>
          <w:tcPr>
            <w:tcW w:w="1999" w:type="dxa"/>
          </w:tcPr>
          <w:p w14:paraId="4F2AD74A" w14:textId="2D7066AB" w:rsidR="00CE6B6D" w:rsidRPr="008F65A2" w:rsidRDefault="00EE3D88" w:rsidP="00696A06">
            <w:pPr>
              <w:keepNext/>
              <w:keepLines/>
              <w:spacing w:before="60" w:after="60"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F65A2">
              <w:rPr>
                <w:rFonts w:ascii="Calibri" w:hAnsi="Calibri" w:cs="Calibri"/>
                <w:sz w:val="22"/>
                <w:szCs w:val="22"/>
              </w:rPr>
              <w:t>2023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年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9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月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2</w:t>
            </w:r>
            <w:r w:rsidRPr="008F65A2">
              <w:rPr>
                <w:rFonts w:ascii="Calibri" w:hAnsi="Calibri" w:cs="Calibri"/>
                <w:sz w:val="22"/>
                <w:szCs w:val="22"/>
                <w:lang w:eastAsia="zh-CN"/>
              </w:rPr>
              <w:t>5</w:t>
            </w: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399216D0" w14:textId="29661E61" w:rsidR="00CE6B6D" w:rsidRPr="008F65A2" w:rsidRDefault="00EE3D88" w:rsidP="00CE6B6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="Calibri" w:eastAsia="SimSun" w:hAnsi="Calibri" w:cs="Calibri"/>
                <w:sz w:val="22"/>
                <w:szCs w:val="22"/>
              </w:rPr>
            </w:pPr>
            <w:r w:rsidRPr="008F65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预注册（通过</w:t>
            </w:r>
            <w:hyperlink r:id="rId17" w:history="1">
              <w:r w:rsidR="008E7AA0" w:rsidRPr="008F65A2">
                <w:rPr>
                  <w:rStyle w:val="Hyperlink"/>
                  <w:rFonts w:ascii="Calibri" w:eastAsia="SimSun" w:hAnsi="Calibri" w:cs="Calibri" w:hint="eastAsia"/>
                  <w:sz w:val="22"/>
                  <w:szCs w:val="22"/>
                  <w:lang w:eastAsia="zh-CN"/>
                </w:rPr>
                <w:t>FG</w:t>
              </w:r>
              <w:r w:rsidR="008E7AA0" w:rsidRPr="008F65A2">
                <w:rPr>
                  <w:rStyle w:val="Hyperlink"/>
                  <w:rFonts w:ascii="Calibri" w:eastAsia="SimSun" w:hAnsi="Calibri" w:cs="Calibri"/>
                  <w:sz w:val="22"/>
                  <w:szCs w:val="22"/>
                  <w:lang w:eastAsia="zh-CN"/>
                </w:rPr>
                <w:t>-</w:t>
              </w:r>
              <w:r w:rsidR="008E7AA0" w:rsidRPr="008F65A2">
                <w:rPr>
                  <w:rStyle w:val="Hyperlink"/>
                  <w:rFonts w:ascii="Calibri" w:eastAsia="SimSun" w:hAnsi="Calibri" w:cs="Calibri" w:hint="eastAsia"/>
                  <w:sz w:val="22"/>
                  <w:szCs w:val="22"/>
                  <w:lang w:eastAsia="zh-CN"/>
                </w:rPr>
                <w:t>MV</w:t>
              </w:r>
              <w:r w:rsidR="008E7AA0" w:rsidRPr="008F65A2">
                <w:rPr>
                  <w:rStyle w:val="Hyperlink"/>
                  <w:rFonts w:ascii="Calibri" w:eastAsia="SimSun" w:hAnsi="Calibri" w:cs="Calibri" w:hint="eastAsia"/>
                  <w:sz w:val="22"/>
                  <w:szCs w:val="22"/>
                  <w:lang w:eastAsia="zh-CN"/>
                </w:rPr>
                <w:t>主页</w:t>
              </w:r>
            </w:hyperlink>
            <w:r w:rsidRPr="008F65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在线注册）</w:t>
            </w:r>
          </w:p>
        </w:tc>
      </w:tr>
    </w:tbl>
    <w:bookmarkEnd w:id="2"/>
    <w:p w14:paraId="1256B7A4" w14:textId="724AEE46" w:rsidR="00EE3D88" w:rsidRPr="008F65A2" w:rsidRDefault="00EE3D88" w:rsidP="00CE6B6D">
      <w:pPr>
        <w:rPr>
          <w:rFonts w:ascii="Calibri" w:hAnsi="Calibri" w:cs="Calibri"/>
          <w:sz w:val="22"/>
          <w:szCs w:val="22"/>
          <w:lang w:eastAsia="zh-CN"/>
        </w:rPr>
      </w:pPr>
      <w:r w:rsidRPr="008F65A2">
        <w:rPr>
          <w:rFonts w:ascii="Calibri" w:hAnsi="Calibri" w:cs="Calibri" w:hint="eastAsia"/>
          <w:sz w:val="22"/>
          <w:szCs w:val="22"/>
          <w:lang w:eastAsia="zh-CN"/>
        </w:rPr>
        <w:t>祝您与会顺利且富有成效。</w:t>
      </w:r>
    </w:p>
    <w:p w14:paraId="0B46169C" w14:textId="77777777" w:rsidR="00877884" w:rsidRPr="008F65A2" w:rsidRDefault="00877884" w:rsidP="00877884">
      <w:pPr>
        <w:rPr>
          <w:rFonts w:ascii="Calibri" w:hAnsi="Calibri" w:cs="Calibri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3"/>
        <w:gridCol w:w="2346"/>
      </w:tblGrid>
      <w:tr w:rsidR="00877884" w:rsidRPr="008F65A2" w14:paraId="5883017E" w14:textId="77777777" w:rsidTr="00B011F8">
        <w:trPr>
          <w:cantSplit/>
          <w:trHeight w:val="1134"/>
        </w:trPr>
        <w:tc>
          <w:tcPr>
            <w:tcW w:w="7371" w:type="dxa"/>
          </w:tcPr>
          <w:p w14:paraId="1ADE111A" w14:textId="2CEC7E40" w:rsidR="00877884" w:rsidRPr="008F65A2" w:rsidRDefault="00877884" w:rsidP="00B011F8">
            <w:pPr>
              <w:spacing w:after="120"/>
              <w:ind w:left="-108"/>
              <w:rPr>
                <w:rFonts w:ascii="Calibri" w:hAnsi="Calibri" w:cs="Calibri"/>
                <w:lang w:eastAsia="zh-CN"/>
              </w:rPr>
            </w:pPr>
            <w:r w:rsidRPr="008F65A2">
              <w:rPr>
                <w:rFonts w:ascii="Calibri" w:hAnsi="Calibri" w:cs="Calibri" w:hint="eastAsia"/>
                <w:lang w:eastAsia="zh-CN"/>
              </w:rPr>
              <w:t>顺致敬意！</w:t>
            </w:r>
          </w:p>
          <w:p w14:paraId="5624EF71" w14:textId="3AE3AB92" w:rsidR="00877884" w:rsidRPr="008F65A2" w:rsidRDefault="00604C2B" w:rsidP="00C37EB9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91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6F84DE69" wp14:editId="2F53D5D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97790</wp:posOffset>
                  </wp:positionV>
                  <wp:extent cx="802917" cy="301625"/>
                  <wp:effectExtent l="0" t="0" r="0" b="3175"/>
                  <wp:wrapNone/>
                  <wp:docPr id="3" name="Picture 3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tex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917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884" w:rsidRPr="008F65A2">
              <w:rPr>
                <w:rFonts w:ascii="Calibri" w:hAnsi="Calibri" w:cs="Calibri" w:hint="eastAsia"/>
                <w:lang w:eastAsia="zh-CN"/>
              </w:rPr>
              <w:t>电信标准化局主任</w:t>
            </w:r>
          </w:p>
          <w:p w14:paraId="2217103E" w14:textId="6BF1EB7B" w:rsidR="00877884" w:rsidRPr="008F65A2" w:rsidRDefault="00877884" w:rsidP="00877884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尾</w:t>
            </w:r>
            <w:proofErr w:type="gramStart"/>
            <w:r w:rsidRPr="008F65A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2348" w:type="dxa"/>
            <w:textDirection w:val="btLr"/>
          </w:tcPr>
          <w:p w14:paraId="69D6E380" w14:textId="77777777" w:rsidR="00877884" w:rsidRPr="008F65A2" w:rsidRDefault="00877884" w:rsidP="00B011F8">
            <w:pPr>
              <w:spacing w:before="0" w:after="120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65A2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B709294" wp14:editId="78B3F055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65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3E2A28D" w14:textId="256AF5EB" w:rsidR="00877884" w:rsidRPr="008F65A2" w:rsidRDefault="00877884" w:rsidP="00B011F8">
            <w:pPr>
              <w:spacing w:before="0" w:after="120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65A2">
              <w:rPr>
                <w:rFonts w:ascii="Calibri" w:hAnsi="Calibri" w:cs="Calibri"/>
                <w:sz w:val="18"/>
                <w:szCs w:val="18"/>
              </w:rPr>
              <w:t>FG-MV</w:t>
            </w:r>
            <w:r w:rsidR="00DC134E" w:rsidRPr="008F65A2">
              <w:rPr>
                <w:rFonts w:ascii="Calibri" w:hAnsi="Calibri" w:cs="Calibri" w:hint="eastAsia"/>
                <w:sz w:val="18"/>
                <w:szCs w:val="18"/>
                <w:lang w:eastAsia="zh-CN"/>
              </w:rPr>
              <w:t>会议信息</w:t>
            </w:r>
          </w:p>
        </w:tc>
      </w:tr>
    </w:tbl>
    <w:p w14:paraId="325A809E" w14:textId="27F72B0E" w:rsidR="001D19C7" w:rsidRPr="008F65A2" w:rsidRDefault="001D19C7" w:rsidP="00847410">
      <w:pPr>
        <w:rPr>
          <w:rFonts w:ascii="Calibri" w:hAnsi="Calibri" w:cs="Calibri"/>
          <w:lang w:eastAsia="zh-CN"/>
        </w:rPr>
      </w:pPr>
    </w:p>
    <w:sectPr w:rsidR="001D19C7" w:rsidRPr="008F65A2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989D" w14:textId="77777777" w:rsidR="00634929" w:rsidRDefault="00634929">
      <w:r>
        <w:separator/>
      </w:r>
    </w:p>
  </w:endnote>
  <w:endnote w:type="continuationSeparator" w:id="0">
    <w:p w14:paraId="234857E0" w14:textId="77777777" w:rsidR="00634929" w:rsidRDefault="0063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16EF" w14:textId="6434C0CA" w:rsidR="00841612" w:rsidRPr="002A60EF" w:rsidRDefault="00841612" w:rsidP="002A60EF">
    <w:pPr>
      <w:pStyle w:val="Footer"/>
      <w:rPr>
        <w:sz w:val="16"/>
        <w:lang w:val="fr-CH"/>
      </w:rPr>
    </w:pPr>
    <w:bookmarkStart w:id="3" w:name="_Hlk143168750"/>
  </w:p>
  <w:bookmarkEnd w:id="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4037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7DA8" w14:textId="77777777" w:rsidR="00634929" w:rsidRDefault="00634929">
      <w:r>
        <w:separator/>
      </w:r>
    </w:p>
  </w:footnote>
  <w:footnote w:type="continuationSeparator" w:id="0">
    <w:p w14:paraId="7F2957C1" w14:textId="77777777" w:rsidR="00634929" w:rsidRDefault="0063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BB19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514BF0E7" w14:textId="15A4248A" w:rsidR="002A60EF" w:rsidRPr="002A60EF" w:rsidRDefault="002A60EF" w:rsidP="002A60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  <w:rPr>
        <w:rFonts w:ascii="inherit" w:eastAsia="Times New Roman" w:hAnsi="inherit" w:cs="Segoe UI"/>
        <w:color w:val="000000"/>
        <w:sz w:val="20"/>
        <w:lang w:eastAsia="zh-CN"/>
      </w:rPr>
    </w:pPr>
    <w:r w:rsidRPr="002A60EF">
      <w:rPr>
        <w:rFonts w:ascii="SimSun" w:hAnsi="SimSun" w:cs="SimSun"/>
        <w:color w:val="000000"/>
        <w:sz w:val="20"/>
        <w:lang w:eastAsia="zh-CN"/>
      </w:rPr>
      <w:t>电信标准化局第</w:t>
    </w:r>
    <w:r w:rsidRPr="002A60EF">
      <w:rPr>
        <w:rFonts w:ascii="inherit" w:eastAsia="Times New Roman" w:hAnsi="inherit" w:cs="Segoe UI"/>
        <w:color w:val="000000"/>
        <w:sz w:val="20"/>
        <w:lang w:eastAsia="zh-CN"/>
      </w:rPr>
      <w:t>12</w:t>
    </w:r>
    <w:r w:rsidR="003F06FD">
      <w:rPr>
        <w:rFonts w:ascii="inherit" w:eastAsia="Times New Roman" w:hAnsi="inherit" w:cs="Segoe UI"/>
        <w:color w:val="000000"/>
        <w:sz w:val="20"/>
        <w:lang w:eastAsia="zh-CN"/>
      </w:rPr>
      <w:t>9</w:t>
    </w:r>
    <w:r w:rsidRPr="002A60EF">
      <w:rPr>
        <w:rFonts w:ascii="SimSun" w:hAnsi="SimSun" w:cs="SimSun"/>
        <w:color w:val="000000"/>
        <w:sz w:val="20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D7B"/>
    <w:multiLevelType w:val="hybridMultilevel"/>
    <w:tmpl w:val="D5E650E8"/>
    <w:lvl w:ilvl="0" w:tplc="269A37B6">
      <w:start w:val="1"/>
      <w:numFmt w:val="bullet"/>
      <w:pStyle w:val="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01187">
    <w:abstractNumId w:val="1"/>
  </w:num>
  <w:num w:numId="2" w16cid:durableId="9065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29"/>
    <w:rsid w:val="00027EE3"/>
    <w:rsid w:val="00037BAA"/>
    <w:rsid w:val="00044A07"/>
    <w:rsid w:val="00081BA5"/>
    <w:rsid w:val="00090E72"/>
    <w:rsid w:val="00094C0B"/>
    <w:rsid w:val="000A2484"/>
    <w:rsid w:val="000B23B9"/>
    <w:rsid w:val="000C0D96"/>
    <w:rsid w:val="00107D80"/>
    <w:rsid w:val="00117471"/>
    <w:rsid w:val="00124B7E"/>
    <w:rsid w:val="00160A43"/>
    <w:rsid w:val="00167A03"/>
    <w:rsid w:val="00191798"/>
    <w:rsid w:val="001D19C7"/>
    <w:rsid w:val="001D6E70"/>
    <w:rsid w:val="00234A9B"/>
    <w:rsid w:val="00282732"/>
    <w:rsid w:val="00284869"/>
    <w:rsid w:val="002A60EF"/>
    <w:rsid w:val="002C0F6B"/>
    <w:rsid w:val="002D2024"/>
    <w:rsid w:val="002E05E3"/>
    <w:rsid w:val="00303A2A"/>
    <w:rsid w:val="003064AD"/>
    <w:rsid w:val="00324FA8"/>
    <w:rsid w:val="00334A24"/>
    <w:rsid w:val="0035674D"/>
    <w:rsid w:val="0038630E"/>
    <w:rsid w:val="003F06FD"/>
    <w:rsid w:val="003F1CCA"/>
    <w:rsid w:val="00453267"/>
    <w:rsid w:val="00464015"/>
    <w:rsid w:val="00470476"/>
    <w:rsid w:val="00486359"/>
    <w:rsid w:val="004C241D"/>
    <w:rsid w:val="00507618"/>
    <w:rsid w:val="00515D64"/>
    <w:rsid w:val="00523E7B"/>
    <w:rsid w:val="005303ED"/>
    <w:rsid w:val="00590119"/>
    <w:rsid w:val="005933EA"/>
    <w:rsid w:val="005A3AB0"/>
    <w:rsid w:val="005C26FD"/>
    <w:rsid w:val="00604C2B"/>
    <w:rsid w:val="00624E27"/>
    <w:rsid w:val="00627AE8"/>
    <w:rsid w:val="0063445E"/>
    <w:rsid w:val="00634929"/>
    <w:rsid w:val="006B463C"/>
    <w:rsid w:val="006D22B1"/>
    <w:rsid w:val="006D42C6"/>
    <w:rsid w:val="006E14B5"/>
    <w:rsid w:val="006E350E"/>
    <w:rsid w:val="00720F32"/>
    <w:rsid w:val="007566D3"/>
    <w:rsid w:val="007568DA"/>
    <w:rsid w:val="007B645F"/>
    <w:rsid w:val="00823061"/>
    <w:rsid w:val="00841612"/>
    <w:rsid w:val="0084436D"/>
    <w:rsid w:val="00847410"/>
    <w:rsid w:val="00877884"/>
    <w:rsid w:val="008870DC"/>
    <w:rsid w:val="008A0791"/>
    <w:rsid w:val="008B2BDA"/>
    <w:rsid w:val="008B69DB"/>
    <w:rsid w:val="008E7AA0"/>
    <w:rsid w:val="008F65A2"/>
    <w:rsid w:val="0091265A"/>
    <w:rsid w:val="009128F1"/>
    <w:rsid w:val="009157EF"/>
    <w:rsid w:val="009424FC"/>
    <w:rsid w:val="00956D38"/>
    <w:rsid w:val="009727EA"/>
    <w:rsid w:val="00974486"/>
    <w:rsid w:val="00997DF2"/>
    <w:rsid w:val="009A2965"/>
    <w:rsid w:val="009C2FF6"/>
    <w:rsid w:val="009E0A05"/>
    <w:rsid w:val="009F4D37"/>
    <w:rsid w:val="00A1090D"/>
    <w:rsid w:val="00A16AB0"/>
    <w:rsid w:val="00A25345"/>
    <w:rsid w:val="00A55D76"/>
    <w:rsid w:val="00AA3151"/>
    <w:rsid w:val="00AB2C1E"/>
    <w:rsid w:val="00B01F79"/>
    <w:rsid w:val="00B40FA5"/>
    <w:rsid w:val="00B56B75"/>
    <w:rsid w:val="00BB5392"/>
    <w:rsid w:val="00BC7AEE"/>
    <w:rsid w:val="00BE339D"/>
    <w:rsid w:val="00C03E87"/>
    <w:rsid w:val="00C356F0"/>
    <w:rsid w:val="00C37EB9"/>
    <w:rsid w:val="00C457AA"/>
    <w:rsid w:val="00C6016A"/>
    <w:rsid w:val="00C7008A"/>
    <w:rsid w:val="00C916ED"/>
    <w:rsid w:val="00C91D6E"/>
    <w:rsid w:val="00CC50C4"/>
    <w:rsid w:val="00CE6B6D"/>
    <w:rsid w:val="00D16F47"/>
    <w:rsid w:val="00D2501B"/>
    <w:rsid w:val="00D31736"/>
    <w:rsid w:val="00D34F86"/>
    <w:rsid w:val="00D805AB"/>
    <w:rsid w:val="00DC134E"/>
    <w:rsid w:val="00DF5424"/>
    <w:rsid w:val="00E12511"/>
    <w:rsid w:val="00E35907"/>
    <w:rsid w:val="00E41E39"/>
    <w:rsid w:val="00E47AFF"/>
    <w:rsid w:val="00EE3D88"/>
    <w:rsid w:val="00F07A3C"/>
    <w:rsid w:val="00F346AB"/>
    <w:rsid w:val="00F3480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191B4"/>
  <w15:docId w15:val="{52589E0D-5809-47CA-A626-AA3D0DA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CEO_Hyperlink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ui-provider">
    <w:name w:val="ui-provider"/>
    <w:basedOn w:val="DefaultParagraphFont"/>
    <w:rsid w:val="00470476"/>
  </w:style>
  <w:style w:type="character" w:styleId="UnresolvedMention">
    <w:name w:val="Unresolved Mention"/>
    <w:basedOn w:val="DefaultParagraphFont"/>
    <w:uiPriority w:val="99"/>
    <w:semiHidden/>
    <w:unhideWhenUsed/>
    <w:rsid w:val="00997DF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E6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6B6D"/>
    <w:rPr>
      <w:rFonts w:eastAsiaTheme="minorEastAsia"/>
      <w:sz w:val="24"/>
      <w:szCs w:val="24"/>
      <w:lang w:val="en-GB" w:eastAsia="ja-JP"/>
    </w:rPr>
  </w:style>
  <w:style w:type="paragraph" w:customStyle="1" w:styleId="e">
    <w:name w:val="e"/>
    <w:basedOn w:val="ListParagraph"/>
    <w:rsid w:val="00507618"/>
    <w:pPr>
      <w:numPr>
        <w:numId w:val="2"/>
      </w:numPr>
      <w:spacing w:before="60"/>
      <w:ind w:leftChars="0" w:left="714" w:hanging="357"/>
    </w:pPr>
    <w:rPr>
      <w:rFonts w:ascii="Calibri" w:hAnsi="Calibri" w:cs="Calibri"/>
      <w:sz w:val="22"/>
      <w:szCs w:val="22"/>
      <w:lang w:eastAsia="zh-CN"/>
    </w:rPr>
  </w:style>
  <w:style w:type="paragraph" w:customStyle="1" w:styleId="enumlev1">
    <w:name w:val="enumlev 1"/>
    <w:basedOn w:val="e"/>
    <w:rsid w:val="00507618"/>
  </w:style>
  <w:style w:type="paragraph" w:customStyle="1" w:styleId="enumlev10">
    <w:name w:val="enumlev1"/>
    <w:basedOn w:val="Normal"/>
    <w:rsid w:val="00507618"/>
    <w:pPr>
      <w:spacing w:before="80"/>
      <w:ind w:left="794" w:hanging="794"/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v@itu.int" TargetMode="External"/><Relationship Id="rId13" Type="http://schemas.openxmlformats.org/officeDocument/2006/relationships/hyperlink" Target="https://itu.int/go/fgmv/join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http://www.itu.int/go/fgmv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fgmv@itu.i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go/fgm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go/fgm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fgmv@itu.int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mv" TargetMode="External"/><Relationship Id="rId14" Type="http://schemas.openxmlformats.org/officeDocument/2006/relationships/hyperlink" Target="http://www.itu.int/go/fgmv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29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1832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Chen, Zige</dc:creator>
  <cp:lastModifiedBy>Braud, Olivia</cp:lastModifiedBy>
  <cp:revision>10</cp:revision>
  <cp:lastPrinted>2023-09-05T06:44:00Z</cp:lastPrinted>
  <dcterms:created xsi:type="dcterms:W3CDTF">2023-08-17T07:34:00Z</dcterms:created>
  <dcterms:modified xsi:type="dcterms:W3CDTF">2023-09-05T06:45:00Z</dcterms:modified>
</cp:coreProperties>
</file>