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66089328" w14:textId="77777777" w:rsidTr="00D517B2">
        <w:trPr>
          <w:cantSplit/>
          <w:trHeight w:val="1134"/>
        </w:trPr>
        <w:tc>
          <w:tcPr>
            <w:tcW w:w="798" w:type="pct"/>
          </w:tcPr>
          <w:p w14:paraId="01614969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99CF0D6" wp14:editId="44D03CC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C4A005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0DFAB543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035B2211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202567C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EBCB93F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91B9CCD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430733F9" w14:textId="77777777" w:rsidTr="00367EBC">
        <w:trPr>
          <w:cantSplit/>
          <w:trHeight w:val="570"/>
          <w:jc w:val="center"/>
        </w:trPr>
        <w:tc>
          <w:tcPr>
            <w:tcW w:w="796" w:type="pct"/>
          </w:tcPr>
          <w:p w14:paraId="5A36A57D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7D7798E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7031D6B8" w14:textId="498ECD98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91054A">
              <w:rPr>
                <w:rFonts w:hint="cs"/>
                <w:position w:val="2"/>
                <w:rtl/>
                <w:lang w:bidi="ar-EG"/>
              </w:rPr>
              <w:t>21</w:t>
            </w:r>
            <w:r w:rsidR="000F5E60">
              <w:rPr>
                <w:rFonts w:hint="cs"/>
                <w:position w:val="2"/>
                <w:rtl/>
                <w:lang w:bidi="ar-EG"/>
              </w:rPr>
              <w:t xml:space="preserve"> </w:t>
            </w:r>
            <w:r w:rsidR="0091054A">
              <w:rPr>
                <w:rFonts w:hint="cs"/>
                <w:position w:val="2"/>
                <w:rtl/>
                <w:lang w:bidi="ar-EG"/>
              </w:rPr>
              <w:t>أغسطس</w:t>
            </w:r>
            <w:r w:rsidR="000F5E60">
              <w:rPr>
                <w:rFonts w:hint="cs"/>
                <w:position w:val="2"/>
                <w:rtl/>
                <w:lang w:bidi="ar-EG"/>
              </w:rPr>
              <w:t xml:space="preserve"> 2023</w:t>
            </w:r>
          </w:p>
        </w:tc>
      </w:tr>
      <w:tr w:rsidR="00E84438" w:rsidRPr="00D517B2" w14:paraId="481717DB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0661BD4A" w14:textId="77777777" w:rsidR="00E84438" w:rsidRPr="00A9156F" w:rsidRDefault="00E84438" w:rsidP="004B3613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6EA76D96" w14:textId="029F42D0" w:rsidR="00E84438" w:rsidRPr="00D517B2" w:rsidRDefault="00E84438" w:rsidP="004B3613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91054A">
              <w:rPr>
                <w:b/>
                <w:position w:val="2"/>
              </w:rPr>
              <w:t>133</w:t>
            </w:r>
          </w:p>
        </w:tc>
        <w:tc>
          <w:tcPr>
            <w:tcW w:w="2206" w:type="pct"/>
            <w:vMerge w:val="restart"/>
          </w:tcPr>
          <w:p w14:paraId="28240C0E" w14:textId="77777777" w:rsidR="00E84438" w:rsidRPr="000F5E60" w:rsidRDefault="00E84438" w:rsidP="004B361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0F5E6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9EF329B" w14:textId="77777777" w:rsidR="00E84438" w:rsidRPr="000F5E60" w:rsidRDefault="00E84438" w:rsidP="004B361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F5E60">
              <w:rPr>
                <w:rFonts w:hint="cs"/>
                <w:position w:val="2"/>
                <w:rtl/>
              </w:rPr>
              <w:t>-</w:t>
            </w:r>
            <w:r w:rsidRPr="000F5E60">
              <w:rPr>
                <w:position w:val="2"/>
                <w:rtl/>
              </w:rPr>
              <w:tab/>
            </w:r>
            <w:r w:rsidRPr="000F5E60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38751CA8" w14:textId="77777777" w:rsidR="00002A63" w:rsidRPr="000F5E60" w:rsidRDefault="00002A63" w:rsidP="004B3613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F5E60">
              <w:rPr>
                <w:rFonts w:hint="cs"/>
                <w:position w:val="2"/>
                <w:rtl/>
              </w:rPr>
              <w:t>-</w:t>
            </w:r>
            <w:r w:rsidRPr="000F5E60">
              <w:rPr>
                <w:position w:val="2"/>
                <w:rtl/>
              </w:rPr>
              <w:tab/>
            </w:r>
            <w:r w:rsidRPr="000F5E60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7FD92348" w14:textId="77777777" w:rsidR="00002A63" w:rsidRPr="000F5E60" w:rsidRDefault="00002A63" w:rsidP="004B3613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F5E60">
              <w:rPr>
                <w:rFonts w:hint="cs"/>
                <w:position w:val="2"/>
                <w:rtl/>
              </w:rPr>
              <w:t>-</w:t>
            </w:r>
            <w:r w:rsidRPr="000F5E60">
              <w:rPr>
                <w:position w:val="2"/>
                <w:rtl/>
              </w:rPr>
              <w:tab/>
            </w:r>
            <w:r w:rsidRPr="000F5E60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482B8195" w14:textId="77777777" w:rsidR="00E84438" w:rsidRPr="00D517B2" w:rsidRDefault="00002A63" w:rsidP="004B361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0F5E60">
              <w:rPr>
                <w:rFonts w:hint="cs"/>
                <w:position w:val="2"/>
                <w:rtl/>
              </w:rPr>
              <w:t>-</w:t>
            </w:r>
            <w:r w:rsidRPr="000F5E60">
              <w:rPr>
                <w:position w:val="2"/>
                <w:rtl/>
              </w:rPr>
              <w:tab/>
            </w:r>
            <w:r w:rsidRPr="000F5E6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F5E6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0F5E60" w:rsidRPr="00D517B2" w14:paraId="4F9EBEA2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38FB0786" w14:textId="77777777" w:rsidR="000F5E60" w:rsidRPr="00A9156F" w:rsidRDefault="000F5E60" w:rsidP="004B3613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115C66CA" w14:textId="6A28FA96" w:rsidR="000F5E60" w:rsidRPr="00D517B2" w:rsidRDefault="000F5E60" w:rsidP="004B3613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C03269">
              <w:rPr>
                <w:rFonts w:cs="Calibri"/>
              </w:rPr>
              <w:t>+41 22 730 5356</w:t>
            </w:r>
          </w:p>
        </w:tc>
        <w:tc>
          <w:tcPr>
            <w:tcW w:w="2206" w:type="pct"/>
            <w:vMerge/>
          </w:tcPr>
          <w:p w14:paraId="20E01552" w14:textId="77777777" w:rsidR="000F5E60" w:rsidRPr="00D517B2" w:rsidRDefault="000F5E60" w:rsidP="004B3613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0F5E60" w:rsidRPr="00D517B2" w14:paraId="6C6C4F9E" w14:textId="77777777" w:rsidTr="00CE1C08">
        <w:trPr>
          <w:cantSplit/>
          <w:trHeight w:val="737"/>
          <w:jc w:val="center"/>
        </w:trPr>
        <w:tc>
          <w:tcPr>
            <w:tcW w:w="796" w:type="pct"/>
          </w:tcPr>
          <w:p w14:paraId="18043082" w14:textId="77777777" w:rsidR="000F5E60" w:rsidRPr="00A9156F" w:rsidRDefault="000F5E60" w:rsidP="004B361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73C5B507" w14:textId="57D76905" w:rsidR="000F5E60" w:rsidRPr="00D517B2" w:rsidRDefault="000F5E60" w:rsidP="004B3613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C03269">
              <w:rPr>
                <w:rFonts w:cs="Calibri"/>
              </w:rPr>
              <w:t>+41 22 730 5853</w:t>
            </w:r>
          </w:p>
        </w:tc>
        <w:tc>
          <w:tcPr>
            <w:tcW w:w="2206" w:type="pct"/>
            <w:vMerge/>
          </w:tcPr>
          <w:p w14:paraId="02BECA87" w14:textId="77777777" w:rsidR="000F5E60" w:rsidRPr="00D517B2" w:rsidRDefault="000F5E60" w:rsidP="004B3613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5178376C" w14:textId="77777777" w:rsidTr="00D517B2">
        <w:trPr>
          <w:cantSplit/>
          <w:jc w:val="center"/>
        </w:trPr>
        <w:tc>
          <w:tcPr>
            <w:tcW w:w="796" w:type="pct"/>
          </w:tcPr>
          <w:p w14:paraId="1237518C" w14:textId="77777777" w:rsidR="00CE1C08" w:rsidRPr="00A9156F" w:rsidRDefault="00CE1C08" w:rsidP="004B361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6F4016B0" w14:textId="60A0D5E2" w:rsidR="00CE1C08" w:rsidRPr="006E1BAD" w:rsidRDefault="00F05F3C" w:rsidP="004B3613">
            <w:pPr>
              <w:spacing w:before="8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hyperlink r:id="rId9" w:history="1">
              <w:r w:rsidR="000F5E60" w:rsidRPr="000F5E60">
                <w:rPr>
                  <w:rStyle w:val="Hyperlink"/>
                  <w:position w:val="2"/>
                  <w:lang w:val="en-GB"/>
                </w:rPr>
                <w:t>tsbevents@itu.int</w:t>
              </w:r>
            </w:hyperlink>
          </w:p>
        </w:tc>
        <w:tc>
          <w:tcPr>
            <w:tcW w:w="2206" w:type="pct"/>
          </w:tcPr>
          <w:p w14:paraId="08B34BF0" w14:textId="77777777" w:rsidR="00CE1C08" w:rsidRPr="000F5E60" w:rsidRDefault="00CE1C08" w:rsidP="004B361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0F5E6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174DC2D" w14:textId="77777777" w:rsidR="00CE1C08" w:rsidRPr="000F5E60" w:rsidRDefault="00CE1C08" w:rsidP="004B361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F5E60">
              <w:rPr>
                <w:rFonts w:hint="cs"/>
                <w:position w:val="2"/>
                <w:rtl/>
              </w:rPr>
              <w:t>-</w:t>
            </w:r>
            <w:r w:rsidRPr="000F5E60">
              <w:rPr>
                <w:position w:val="2"/>
                <w:rtl/>
              </w:rPr>
              <w:tab/>
            </w:r>
            <w:r w:rsidRPr="000F5E60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0F5E60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0F5E6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B2F87B5" w14:textId="77777777" w:rsidR="00CE1C08" w:rsidRPr="000F5E60" w:rsidRDefault="00CE1C08" w:rsidP="004B361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0F5E6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F5E60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0F5E60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9761108" w14:textId="77777777" w:rsidR="00CE1C08" w:rsidRPr="00D517B2" w:rsidRDefault="00CE1C08" w:rsidP="004B3613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84"/>
              <w:rPr>
                <w:position w:val="2"/>
                <w:rtl/>
              </w:rPr>
            </w:pPr>
            <w:r w:rsidRPr="000F5E60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0F5E60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D517B2" w14:paraId="349D3832" w14:textId="77777777" w:rsidTr="00D517B2">
        <w:trPr>
          <w:cantSplit/>
          <w:jc w:val="center"/>
        </w:trPr>
        <w:tc>
          <w:tcPr>
            <w:tcW w:w="796" w:type="pct"/>
          </w:tcPr>
          <w:p w14:paraId="0BF30A12" w14:textId="77777777" w:rsidR="00CE1C08" w:rsidRPr="00A9156F" w:rsidRDefault="00CE1C08" w:rsidP="004B3613">
            <w:pPr>
              <w:spacing w:before="0" w:line="2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05D6143B" w14:textId="77777777" w:rsidR="00CE1C08" w:rsidRPr="00D517B2" w:rsidRDefault="00CE1C08" w:rsidP="004B3613">
            <w:pPr>
              <w:spacing w:before="0" w:line="2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00D2DE0D" w14:textId="77777777" w:rsidR="00CE1C08" w:rsidRPr="00D517B2" w:rsidRDefault="00CE1C08" w:rsidP="004B3613">
            <w:pPr>
              <w:spacing w:before="0" w:line="2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3F2269C" w14:textId="77777777" w:rsidTr="00D517B2">
        <w:trPr>
          <w:cantSplit/>
          <w:jc w:val="center"/>
        </w:trPr>
        <w:tc>
          <w:tcPr>
            <w:tcW w:w="796" w:type="pct"/>
          </w:tcPr>
          <w:p w14:paraId="0E8194BC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1C33A29D" w14:textId="34CA815B" w:rsidR="00CE1C08" w:rsidRPr="001B6387" w:rsidRDefault="009500F2" w:rsidP="00CE1C08">
            <w:pPr>
              <w:spacing w:before="80" w:after="60" w:line="300" w:lineRule="exact"/>
              <w:jc w:val="left"/>
              <w:rPr>
                <w:position w:val="2"/>
                <w:lang w:val="en-GB" w:bidi="ar-EG"/>
              </w:rPr>
            </w:pPr>
            <w:r>
              <w:rPr>
                <w:rFonts w:hint="cs"/>
                <w:b/>
                <w:bCs/>
                <w:position w:val="2"/>
                <w:rtl/>
              </w:rPr>
              <w:t>ورشة عمل ينظمها الاتحاد الدولي للاتصالات بعنوان "</w:t>
            </w:r>
            <w:r w:rsidR="0091054A">
              <w:rPr>
                <w:rFonts w:hint="cs"/>
                <w:b/>
                <w:bCs/>
                <w:position w:val="2"/>
                <w:rtl/>
              </w:rPr>
              <w:t xml:space="preserve">العمل معاً من أجل مستقبل أفضل </w:t>
            </w:r>
            <w:r>
              <w:rPr>
                <w:b/>
                <w:bCs/>
                <w:position w:val="2"/>
                <w:rtl/>
              </w:rPr>
              <w:t>–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دليل من أجل الإبلاغ عن</w:t>
            </w:r>
            <w:r w:rsidR="00DA5C40">
              <w:rPr>
                <w:rFonts w:hint="cs"/>
                <w:b/>
                <w:bCs/>
                <w:position w:val="2"/>
                <w:rtl/>
              </w:rPr>
              <w:t xml:space="preserve"> انبعاثات</w:t>
            </w:r>
            <w:r>
              <w:rPr>
                <w:rFonts w:hint="cs"/>
                <w:b/>
                <w:bCs/>
                <w:position w:val="2"/>
                <w:rtl/>
              </w:rPr>
              <w:t xml:space="preserve"> المستوى 3" (</w:t>
            </w:r>
            <w:r w:rsidR="001B638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حدث افتراضي، </w:t>
            </w:r>
            <w:r w:rsidR="0091054A">
              <w:rPr>
                <w:rFonts w:hint="cs"/>
                <w:b/>
                <w:bCs/>
                <w:position w:val="2"/>
                <w:rtl/>
                <w:lang w:bidi="ar-EG"/>
              </w:rPr>
              <w:t>14</w:t>
            </w:r>
            <w:r w:rsidR="001B638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</w:t>
            </w:r>
            <w:r w:rsidR="0091054A">
              <w:rPr>
                <w:rFonts w:hint="cs"/>
                <w:b/>
                <w:bCs/>
                <w:position w:val="2"/>
                <w:rtl/>
                <w:lang w:bidi="ar-EG"/>
              </w:rPr>
              <w:t>سبتمبر</w:t>
            </w:r>
            <w:r w:rsidR="001B6387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2023)</w:t>
            </w:r>
          </w:p>
        </w:tc>
      </w:tr>
    </w:tbl>
    <w:p w14:paraId="7BBFE807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C354354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6F3BAE5D" w14:textId="583049D9" w:rsidR="000F5E60" w:rsidRDefault="000F5E60" w:rsidP="000F5E60">
      <w:pPr>
        <w:rPr>
          <w:rtl/>
          <w:lang w:bidi="ar-SY"/>
        </w:rPr>
      </w:pPr>
      <w:r>
        <w:rPr>
          <w:rFonts w:hint="cs"/>
          <w:rtl/>
          <w:lang w:bidi="ar-SY"/>
        </w:rPr>
        <w:t>1</w:t>
      </w:r>
      <w:r>
        <w:rPr>
          <w:rtl/>
          <w:lang w:bidi="ar-SY"/>
        </w:rPr>
        <w:tab/>
      </w:r>
      <w:r w:rsidR="001B6387">
        <w:rPr>
          <w:rFonts w:hint="cs"/>
          <w:rtl/>
          <w:lang w:bidi="ar-SY"/>
        </w:rPr>
        <w:t xml:space="preserve">ينظم الاتحاد الدولي للاتصالات </w:t>
      </w:r>
      <w:r w:rsidR="001B6387">
        <w:rPr>
          <w:lang w:bidi="ar-SY"/>
        </w:rPr>
        <w:t>(ITU)</w:t>
      </w:r>
      <w:r w:rsidR="001B6387">
        <w:rPr>
          <w:rFonts w:hint="cs"/>
          <w:rtl/>
          <w:lang w:bidi="ar-SY"/>
        </w:rPr>
        <w:t xml:space="preserve">، بالتعاون مع رابطة النظام العالمي للاتصالات المتنقلة </w:t>
      </w:r>
      <w:r w:rsidR="001B6387">
        <w:rPr>
          <w:lang w:bidi="ar-SY"/>
        </w:rPr>
        <w:t>(GSMA)</w:t>
      </w:r>
      <w:r w:rsidR="001B6387">
        <w:rPr>
          <w:rFonts w:hint="cs"/>
          <w:rtl/>
          <w:lang w:bidi="ar-SY"/>
        </w:rPr>
        <w:t xml:space="preserve"> والمبادرة العالمية للاستدامة الإلكترونية </w:t>
      </w:r>
      <w:r w:rsidR="001B6387">
        <w:rPr>
          <w:lang w:bidi="ar-SY"/>
        </w:rPr>
        <w:t>(</w:t>
      </w:r>
      <w:proofErr w:type="spellStart"/>
      <w:r w:rsidR="001B6387">
        <w:rPr>
          <w:lang w:bidi="ar-SY"/>
        </w:rPr>
        <w:t>GeSI</w:t>
      </w:r>
      <w:proofErr w:type="spellEnd"/>
      <w:r w:rsidR="001B6387">
        <w:rPr>
          <w:lang w:bidi="ar-SY"/>
        </w:rPr>
        <w:t>)</w:t>
      </w:r>
      <w:r w:rsidR="001B6387">
        <w:rPr>
          <w:rFonts w:hint="cs"/>
          <w:rtl/>
          <w:lang w:bidi="ar-SY"/>
        </w:rPr>
        <w:t xml:space="preserve">، ورشة عمل بعنوان </w:t>
      </w:r>
      <w:r w:rsidR="001B6387">
        <w:rPr>
          <w:rFonts w:hint="cs"/>
          <w:b/>
          <w:bCs/>
          <w:position w:val="2"/>
          <w:rtl/>
        </w:rPr>
        <w:t>"</w:t>
      </w:r>
      <w:r w:rsidR="0091054A" w:rsidRPr="0091054A">
        <w:rPr>
          <w:rFonts w:hint="cs"/>
          <w:b/>
          <w:bCs/>
          <w:position w:val="2"/>
          <w:rtl/>
        </w:rPr>
        <w:t xml:space="preserve"> </w:t>
      </w:r>
      <w:r w:rsidR="0091054A">
        <w:rPr>
          <w:rFonts w:hint="cs"/>
          <w:b/>
          <w:bCs/>
          <w:position w:val="2"/>
          <w:rtl/>
        </w:rPr>
        <w:t xml:space="preserve">العمل معاً من أجل مستقبل أفضل </w:t>
      </w:r>
      <w:r w:rsidR="001B6387">
        <w:rPr>
          <w:b/>
          <w:bCs/>
          <w:position w:val="2"/>
          <w:rtl/>
        </w:rPr>
        <w:t>–</w:t>
      </w:r>
      <w:r w:rsidR="001B6387">
        <w:rPr>
          <w:rFonts w:hint="cs"/>
          <w:b/>
          <w:bCs/>
          <w:position w:val="2"/>
          <w:rtl/>
        </w:rPr>
        <w:t xml:space="preserve"> دليل من أجل الإبلاغ عن </w:t>
      </w:r>
      <w:r w:rsidR="00DA5C40">
        <w:rPr>
          <w:rFonts w:hint="cs"/>
          <w:b/>
          <w:bCs/>
          <w:position w:val="2"/>
          <w:rtl/>
          <w:lang w:bidi="ar-EG"/>
        </w:rPr>
        <w:t xml:space="preserve">انبعاثات </w:t>
      </w:r>
      <w:r w:rsidR="001B6387">
        <w:rPr>
          <w:rFonts w:hint="cs"/>
          <w:b/>
          <w:bCs/>
          <w:position w:val="2"/>
          <w:rtl/>
        </w:rPr>
        <w:t xml:space="preserve">المستوى 3" </w:t>
      </w:r>
      <w:r w:rsidR="001B6387">
        <w:rPr>
          <w:rFonts w:hint="cs"/>
          <w:rtl/>
          <w:lang w:bidi="ar-SY"/>
        </w:rPr>
        <w:t xml:space="preserve">ستُعقد </w:t>
      </w:r>
      <w:r w:rsidR="0091054A">
        <w:rPr>
          <w:rFonts w:hint="cs"/>
          <w:rtl/>
          <w:lang w:bidi="ar-SY"/>
        </w:rPr>
        <w:t>بنسَق</w:t>
      </w:r>
      <w:r w:rsidR="001B6387">
        <w:rPr>
          <w:rFonts w:hint="cs"/>
          <w:rtl/>
          <w:lang w:bidi="ar-SY"/>
        </w:rPr>
        <w:t xml:space="preserve"> افتراضي في </w:t>
      </w:r>
      <w:r w:rsidR="0091054A">
        <w:rPr>
          <w:rFonts w:hint="cs"/>
          <w:b/>
          <w:bCs/>
          <w:rtl/>
          <w:lang w:bidi="ar-SY"/>
        </w:rPr>
        <w:t>14 سبتمبر</w:t>
      </w:r>
      <w:r w:rsidR="001B6387" w:rsidRPr="001B6387">
        <w:rPr>
          <w:rFonts w:hint="cs"/>
          <w:b/>
          <w:bCs/>
          <w:rtl/>
          <w:lang w:bidi="ar-SY"/>
        </w:rPr>
        <w:t xml:space="preserve"> 2023 من الساعة</w:t>
      </w:r>
      <w:r w:rsidR="002C5BC6">
        <w:rPr>
          <w:rFonts w:hint="eastAsia"/>
          <w:b/>
          <w:bCs/>
          <w:rtl/>
          <w:lang w:bidi="ar-SY"/>
        </w:rPr>
        <w:t> </w:t>
      </w:r>
      <w:r w:rsidR="0091054A">
        <w:rPr>
          <w:rFonts w:hint="cs"/>
          <w:b/>
          <w:bCs/>
          <w:rtl/>
          <w:lang w:bidi="ar-SY"/>
        </w:rPr>
        <w:t>09:30</w:t>
      </w:r>
      <w:r w:rsidR="001B6387" w:rsidRPr="001B6387">
        <w:rPr>
          <w:rFonts w:hint="cs"/>
          <w:b/>
          <w:bCs/>
          <w:rtl/>
          <w:lang w:bidi="ar-SY"/>
        </w:rPr>
        <w:t xml:space="preserve"> </w:t>
      </w:r>
      <w:r w:rsidR="0091054A">
        <w:rPr>
          <w:rFonts w:hint="cs"/>
          <w:b/>
          <w:bCs/>
          <w:rtl/>
          <w:lang w:bidi="ar-SY"/>
        </w:rPr>
        <w:t>إلى</w:t>
      </w:r>
      <w:r w:rsidR="001B6387" w:rsidRPr="001B6387">
        <w:rPr>
          <w:rFonts w:hint="cs"/>
          <w:b/>
          <w:bCs/>
          <w:rtl/>
          <w:lang w:bidi="ar-SY"/>
        </w:rPr>
        <w:t xml:space="preserve"> الساعة 1</w:t>
      </w:r>
      <w:r w:rsidR="0091054A">
        <w:rPr>
          <w:rFonts w:hint="cs"/>
          <w:b/>
          <w:bCs/>
          <w:rtl/>
          <w:lang w:bidi="ar-SY"/>
        </w:rPr>
        <w:t>1</w:t>
      </w:r>
      <w:r w:rsidR="001B6387" w:rsidRPr="001B6387">
        <w:rPr>
          <w:rFonts w:hint="cs"/>
          <w:b/>
          <w:bCs/>
          <w:rtl/>
          <w:lang w:bidi="ar-SY"/>
        </w:rPr>
        <w:t>:</w:t>
      </w:r>
      <w:r w:rsidR="0091054A">
        <w:rPr>
          <w:rFonts w:hint="cs"/>
          <w:b/>
          <w:bCs/>
          <w:rtl/>
          <w:lang w:bidi="ar-SY"/>
        </w:rPr>
        <w:t>0</w:t>
      </w:r>
      <w:r w:rsidR="001B6387" w:rsidRPr="001B6387">
        <w:rPr>
          <w:rFonts w:hint="cs"/>
          <w:b/>
          <w:bCs/>
          <w:rtl/>
          <w:lang w:bidi="ar-SY"/>
        </w:rPr>
        <w:t>0 بتوقيت وسط أوروبا الصيفي</w:t>
      </w:r>
      <w:r w:rsidR="0091054A">
        <w:rPr>
          <w:rFonts w:hint="cs"/>
          <w:b/>
          <w:bCs/>
          <w:rtl/>
          <w:lang w:bidi="ar-SY"/>
        </w:rPr>
        <w:t xml:space="preserve"> ومن </w:t>
      </w:r>
      <w:r w:rsidR="0091054A" w:rsidRPr="001B6387">
        <w:rPr>
          <w:rFonts w:hint="cs"/>
          <w:b/>
          <w:bCs/>
          <w:rtl/>
          <w:lang w:bidi="ar-SY"/>
        </w:rPr>
        <w:t>الساعة</w:t>
      </w:r>
      <w:r w:rsidR="0091054A">
        <w:rPr>
          <w:rFonts w:hint="eastAsia"/>
          <w:b/>
          <w:bCs/>
          <w:rtl/>
          <w:lang w:bidi="ar-SY"/>
        </w:rPr>
        <w:t> </w:t>
      </w:r>
      <w:r w:rsidR="0091054A">
        <w:rPr>
          <w:rFonts w:hint="cs"/>
          <w:b/>
          <w:bCs/>
          <w:rtl/>
          <w:lang w:bidi="ar-SY"/>
        </w:rPr>
        <w:t>17:00</w:t>
      </w:r>
      <w:r w:rsidR="0091054A" w:rsidRPr="001B6387">
        <w:rPr>
          <w:rFonts w:hint="cs"/>
          <w:b/>
          <w:bCs/>
          <w:rtl/>
          <w:lang w:bidi="ar-SY"/>
        </w:rPr>
        <w:t xml:space="preserve"> </w:t>
      </w:r>
      <w:r w:rsidR="0091054A">
        <w:rPr>
          <w:rFonts w:hint="cs"/>
          <w:b/>
          <w:bCs/>
          <w:rtl/>
          <w:lang w:bidi="ar-SY"/>
        </w:rPr>
        <w:t>إلى</w:t>
      </w:r>
      <w:r w:rsidR="0091054A" w:rsidRPr="001B6387">
        <w:rPr>
          <w:rFonts w:hint="cs"/>
          <w:b/>
          <w:bCs/>
          <w:rtl/>
          <w:lang w:bidi="ar-SY"/>
        </w:rPr>
        <w:t xml:space="preserve"> الساعة 1</w:t>
      </w:r>
      <w:r w:rsidR="0091054A">
        <w:rPr>
          <w:rFonts w:hint="cs"/>
          <w:b/>
          <w:bCs/>
          <w:rtl/>
          <w:lang w:bidi="ar-SY"/>
        </w:rPr>
        <w:t>8</w:t>
      </w:r>
      <w:r w:rsidR="0091054A" w:rsidRPr="001B6387">
        <w:rPr>
          <w:rFonts w:hint="cs"/>
          <w:b/>
          <w:bCs/>
          <w:rtl/>
          <w:lang w:bidi="ar-SY"/>
        </w:rPr>
        <w:t>:</w:t>
      </w:r>
      <w:r w:rsidR="0091054A">
        <w:rPr>
          <w:rFonts w:hint="cs"/>
          <w:b/>
          <w:bCs/>
          <w:rtl/>
          <w:lang w:bidi="ar-SY"/>
        </w:rPr>
        <w:t>3</w:t>
      </w:r>
      <w:r w:rsidR="0091054A" w:rsidRPr="001B6387">
        <w:rPr>
          <w:rFonts w:hint="cs"/>
          <w:b/>
          <w:bCs/>
          <w:rtl/>
          <w:lang w:bidi="ar-SY"/>
        </w:rPr>
        <w:t>0 بتوقيت وسط أوروبا الصيفي</w:t>
      </w:r>
      <w:r w:rsidR="001B6387">
        <w:rPr>
          <w:rFonts w:hint="cs"/>
          <w:rtl/>
          <w:lang w:bidi="ar-SY"/>
        </w:rPr>
        <w:t>.</w:t>
      </w:r>
      <w:r w:rsidR="0091054A">
        <w:rPr>
          <w:rFonts w:hint="cs"/>
          <w:rtl/>
          <w:lang w:bidi="ar-SY"/>
        </w:rPr>
        <w:t xml:space="preserve"> ولتمكين مشاركة الخبراء من مختلف المناطق الزمنية، ستُعقد دورتان. وسيكون للدورتين نفس المحتوى. </w:t>
      </w:r>
    </w:p>
    <w:p w14:paraId="67D0C579" w14:textId="1FD7911C" w:rsidR="00D239C0" w:rsidRDefault="000F5E60" w:rsidP="000F5E60">
      <w:pPr>
        <w:rPr>
          <w:rtl/>
          <w:lang w:bidi="ar-EG"/>
        </w:rPr>
      </w:pPr>
      <w:r w:rsidRPr="00D239C0">
        <w:rPr>
          <w:rtl/>
          <w:lang w:bidi="ar-SY"/>
        </w:rPr>
        <w:t>2</w:t>
      </w:r>
      <w:r w:rsidRPr="00D239C0">
        <w:rPr>
          <w:rtl/>
          <w:lang w:bidi="ar-SY"/>
        </w:rPr>
        <w:tab/>
      </w:r>
      <w:r w:rsidR="000A426C" w:rsidRPr="00D239C0">
        <w:rPr>
          <w:rtl/>
          <w:lang w:bidi="ar-SY"/>
        </w:rPr>
        <w:t xml:space="preserve">وقد صدر في يوليو 2023 الدليل الجديد الذي يتضمن </w:t>
      </w:r>
      <w:hyperlink r:id="rId10" w:history="1">
        <w:r w:rsidR="00D239C0" w:rsidRPr="00700FF7">
          <w:rPr>
            <w:rStyle w:val="Hyperlink"/>
            <w:rtl/>
          </w:rPr>
          <w:t>إرشادات لمشغلي الاتصالات بشأن انبعاثات المستوى 3</w:t>
        </w:r>
      </w:hyperlink>
      <w:r w:rsidR="00D239C0" w:rsidRPr="00D239C0">
        <w:rPr>
          <w:rtl/>
          <w:lang w:bidi="ar-EG"/>
        </w:rPr>
        <w:t xml:space="preserve"> </w:t>
      </w:r>
      <w:r w:rsidR="00D239C0">
        <w:rPr>
          <w:rFonts w:hint="cs"/>
          <w:rtl/>
          <w:lang w:bidi="ar-EG"/>
        </w:rPr>
        <w:t xml:space="preserve">أعدها </w:t>
      </w:r>
      <w:r w:rsidR="00D239C0" w:rsidRPr="00741C0C">
        <w:rPr>
          <w:rFonts w:hint="cs"/>
          <w:rtl/>
          <w:lang w:bidi="ar-EG"/>
        </w:rPr>
        <w:t xml:space="preserve">الاتحاد الدولي </w:t>
      </w:r>
      <w:r w:rsidR="00D239C0" w:rsidRPr="00741C0C">
        <w:rPr>
          <w:rFonts w:hint="cs"/>
          <w:rtl/>
          <w:lang w:bidi="ar-SY"/>
        </w:rPr>
        <w:t xml:space="preserve">للاتصالات </w:t>
      </w:r>
      <w:r w:rsidR="00D239C0" w:rsidRPr="00741C0C">
        <w:rPr>
          <w:lang w:bidi="ar-SY"/>
        </w:rPr>
        <w:t>(ITU)</w:t>
      </w:r>
      <w:r w:rsidR="00D239C0" w:rsidRPr="00741C0C">
        <w:rPr>
          <w:rFonts w:hint="cs"/>
          <w:rtl/>
          <w:lang w:bidi="ar-SY"/>
        </w:rPr>
        <w:t xml:space="preserve"> ورابطة النظام العالمي للاتصالات المتنقلة </w:t>
      </w:r>
      <w:r w:rsidR="00D239C0" w:rsidRPr="00741C0C">
        <w:rPr>
          <w:lang w:bidi="ar-SY"/>
        </w:rPr>
        <w:t>(GSMA)</w:t>
      </w:r>
      <w:r w:rsidR="00D239C0" w:rsidRPr="00741C0C">
        <w:rPr>
          <w:rFonts w:hint="cs"/>
          <w:rtl/>
          <w:lang w:bidi="ar-SY"/>
        </w:rPr>
        <w:t xml:space="preserve"> والمبادرة العالمية للاستدامة الإلكترونية </w:t>
      </w:r>
      <w:r w:rsidR="00D239C0" w:rsidRPr="00741C0C">
        <w:rPr>
          <w:lang w:bidi="ar-SY"/>
        </w:rPr>
        <w:t>(</w:t>
      </w:r>
      <w:proofErr w:type="spellStart"/>
      <w:r w:rsidR="00D239C0" w:rsidRPr="00741C0C">
        <w:rPr>
          <w:lang w:bidi="ar-SY"/>
        </w:rPr>
        <w:t>GeSI</w:t>
      </w:r>
      <w:proofErr w:type="spellEnd"/>
      <w:r w:rsidR="00D239C0" w:rsidRPr="00741C0C">
        <w:rPr>
          <w:lang w:bidi="ar-SY"/>
        </w:rPr>
        <w:t>)</w:t>
      </w:r>
      <w:r w:rsidR="00D239C0">
        <w:rPr>
          <w:rFonts w:hint="cs"/>
          <w:rtl/>
          <w:lang w:bidi="ar-SY"/>
        </w:rPr>
        <w:t xml:space="preserve">. </w:t>
      </w:r>
      <w:r w:rsidR="00D239C0">
        <w:rPr>
          <w:rFonts w:hint="cs"/>
          <w:rtl/>
          <w:lang w:bidi="ar-EG"/>
        </w:rPr>
        <w:t xml:space="preserve">وتنسق هذه الإرشادات الأساليب التي </w:t>
      </w:r>
      <w:r w:rsidR="002E375C">
        <w:rPr>
          <w:rFonts w:hint="cs"/>
          <w:rtl/>
          <w:lang w:bidi="ar-EG"/>
        </w:rPr>
        <w:t>يتبعها</w:t>
      </w:r>
      <w:r w:rsidR="00D239C0">
        <w:rPr>
          <w:rFonts w:hint="cs"/>
          <w:rtl/>
          <w:lang w:bidi="ar-EG"/>
        </w:rPr>
        <w:t xml:space="preserve"> مشغلو الاتصالات لتقييم انبعاثات المستوى 3 والإبلاغ عنها وزيادة التغطية والشفافية. </w:t>
      </w:r>
      <w:r w:rsidR="00D239C0" w:rsidRPr="00D239C0">
        <w:rPr>
          <w:rtl/>
          <w:lang w:bidi="ar-EG"/>
        </w:rPr>
        <w:t xml:space="preserve">وانبعاثات </w:t>
      </w:r>
      <w:r w:rsidR="00D239C0" w:rsidRPr="00D239C0">
        <w:rPr>
          <w:position w:val="2"/>
          <w:rtl/>
        </w:rPr>
        <w:t>المستوى 3</w:t>
      </w:r>
      <w:r w:rsidR="00D239C0" w:rsidRPr="00D239C0">
        <w:rPr>
          <w:rtl/>
          <w:lang w:bidi="ar-EG"/>
        </w:rPr>
        <w:t xml:space="preserve"> هي انبعاثات غير مباشرة ناجمة عن سلسلة القيمة</w:t>
      </w:r>
      <w:r w:rsidR="00D239C0">
        <w:rPr>
          <w:rFonts w:hint="cs"/>
          <w:rtl/>
          <w:lang w:bidi="ar-EG"/>
        </w:rPr>
        <w:t xml:space="preserve"> لمشغلي الاتصالات، بما في ذلك سلسلة التوريد والمنتجات التي يستعملها العملاء. وهذه الانبعاثات أعلى كثيراً من انبعاثات المستويين 1 و2 لمشغلي الاتصالات. </w:t>
      </w:r>
      <w:r w:rsidR="002E375C">
        <w:rPr>
          <w:rFonts w:hint="cs"/>
          <w:position w:val="2"/>
          <w:rtl/>
        </w:rPr>
        <w:t xml:space="preserve">والغرض من الإرشادات هو أن تستكمل المعايير الحالية وليس أن تحل محلها. </w:t>
      </w:r>
      <w:r w:rsidR="002E375C" w:rsidRPr="00D239C0">
        <w:rPr>
          <w:rtl/>
          <w:lang w:bidi="ar-EG"/>
        </w:rPr>
        <w:t xml:space="preserve">ومع اقتراب موعد مؤتمر الأطراف المعني بالمناخ </w:t>
      </w:r>
      <w:r w:rsidR="002E375C" w:rsidRPr="00D239C0">
        <w:rPr>
          <w:lang w:bidi="ar-EG"/>
        </w:rPr>
        <w:t>COP28</w:t>
      </w:r>
      <w:r w:rsidR="002E375C" w:rsidRPr="00D239C0">
        <w:rPr>
          <w:rtl/>
          <w:lang w:bidi="ar-EG"/>
        </w:rPr>
        <w:t xml:space="preserve">، </w:t>
      </w:r>
      <w:r w:rsidR="002E375C">
        <w:rPr>
          <w:rFonts w:hint="cs"/>
          <w:rtl/>
          <w:lang w:bidi="ar-EG"/>
        </w:rPr>
        <w:t>يجب</w:t>
      </w:r>
      <w:r w:rsidR="002E375C" w:rsidRPr="00D239C0">
        <w:rPr>
          <w:rtl/>
          <w:lang w:bidi="ar-EG"/>
        </w:rPr>
        <w:t xml:space="preserve"> على </w:t>
      </w:r>
      <w:r w:rsidR="002E375C">
        <w:rPr>
          <w:rFonts w:hint="cs"/>
          <w:rtl/>
          <w:lang w:bidi="ar-EG"/>
        </w:rPr>
        <w:t>مشغلي</w:t>
      </w:r>
      <w:r w:rsidR="002E375C" w:rsidRPr="00D239C0">
        <w:rPr>
          <w:rtl/>
          <w:lang w:bidi="ar-EG"/>
        </w:rPr>
        <w:t xml:space="preserve"> الاتصالات، الآن أكثر من أي وقت مضى، العمل</w:t>
      </w:r>
      <w:r w:rsidR="002E375C">
        <w:rPr>
          <w:rFonts w:hint="cs"/>
          <w:rtl/>
          <w:lang w:bidi="ar-EG"/>
        </w:rPr>
        <w:t xml:space="preserve"> مع الموردين</w:t>
      </w:r>
      <w:r w:rsidR="002E375C" w:rsidRPr="00D239C0">
        <w:rPr>
          <w:rtl/>
          <w:lang w:bidi="ar-EG"/>
        </w:rPr>
        <w:t xml:space="preserve"> على خفض انبعاثات </w:t>
      </w:r>
      <w:r w:rsidR="002E375C">
        <w:rPr>
          <w:rFonts w:hint="cs"/>
          <w:rtl/>
          <w:lang w:bidi="ar-EG"/>
        </w:rPr>
        <w:t>المستوى 3</w:t>
      </w:r>
      <w:r w:rsidR="002E375C" w:rsidRPr="00D239C0">
        <w:rPr>
          <w:rtl/>
          <w:lang w:bidi="ar-EG"/>
        </w:rPr>
        <w:t>.</w:t>
      </w:r>
    </w:p>
    <w:p w14:paraId="6AA4FF2E" w14:textId="3D73D3E9" w:rsidR="000F5E60" w:rsidRDefault="000F5E60" w:rsidP="000F5E60">
      <w:pPr>
        <w:rPr>
          <w:rtl/>
          <w:lang w:bidi="ar-SY"/>
        </w:rPr>
      </w:pPr>
      <w:r>
        <w:rPr>
          <w:rFonts w:hint="cs"/>
          <w:rtl/>
          <w:lang w:bidi="ar-SY"/>
        </w:rPr>
        <w:t>3</w:t>
      </w:r>
      <w:r>
        <w:rPr>
          <w:rtl/>
          <w:lang w:bidi="ar-SY"/>
        </w:rPr>
        <w:tab/>
      </w:r>
      <w:r w:rsidR="00741C0C">
        <w:rPr>
          <w:rFonts w:hint="cs"/>
          <w:rtl/>
          <w:lang w:bidi="ar-SY"/>
        </w:rPr>
        <w:t xml:space="preserve">وسيجمع هذا الحدث بين الخبراء في هذا المجال لمناقشة التحديات والفرص </w:t>
      </w:r>
      <w:r w:rsidR="00560CB6">
        <w:rPr>
          <w:rFonts w:hint="cs"/>
          <w:rtl/>
          <w:lang w:bidi="ar-SY"/>
        </w:rPr>
        <w:t xml:space="preserve">المتاحة للموردين عند حساب وخفض الانبعاثات ذات الصلة بالسلع والخدمات التي يقدمونها لمشغلي الاتصالات. </w:t>
      </w:r>
      <w:r w:rsidR="00397FEE">
        <w:rPr>
          <w:rFonts w:hint="cs"/>
          <w:rtl/>
          <w:lang w:bidi="ar-SY"/>
        </w:rPr>
        <w:t xml:space="preserve">وسيوفر الحدث </w:t>
      </w:r>
      <w:r w:rsidR="000A426C">
        <w:rPr>
          <w:rFonts w:hint="cs"/>
          <w:rtl/>
          <w:lang w:bidi="ar-SY"/>
        </w:rPr>
        <w:t>لمحة</w:t>
      </w:r>
      <w:r w:rsidR="00397FEE">
        <w:rPr>
          <w:rFonts w:hint="cs"/>
          <w:rtl/>
          <w:lang w:bidi="ar-SY"/>
        </w:rPr>
        <w:t xml:space="preserve"> عامة للموردين عن الدليل </w:t>
      </w:r>
      <w:r w:rsidR="000A426C">
        <w:rPr>
          <w:rFonts w:hint="cs"/>
          <w:rtl/>
          <w:lang w:bidi="ar-SY"/>
        </w:rPr>
        <w:t>الصادر حديثاً والذي يتضمن إرشادات لمشغلي الاتصالات بشأن انبعاثات المستوى 3.</w:t>
      </w:r>
    </w:p>
    <w:p w14:paraId="0C9CBB52" w14:textId="14380DA8" w:rsidR="00413FA1" w:rsidRDefault="000F5E60" w:rsidP="000F5E60">
      <w:pPr>
        <w:rPr>
          <w:lang w:bidi="ar-EG"/>
        </w:rPr>
      </w:pPr>
      <w:r>
        <w:rPr>
          <w:rFonts w:hint="cs"/>
          <w:rtl/>
          <w:lang w:bidi="ar-SY"/>
        </w:rPr>
        <w:t>4</w:t>
      </w:r>
      <w:r>
        <w:rPr>
          <w:rtl/>
          <w:lang w:bidi="ar-SY"/>
        </w:rPr>
        <w:tab/>
      </w:r>
      <w:r w:rsidR="00683026">
        <w:rPr>
          <w:rFonts w:hint="cs"/>
          <w:rtl/>
          <w:lang w:bidi="ar-SY"/>
        </w:rPr>
        <w:t>ومن المتوقع أن يحضر هذا الحدث ممثلون</w:t>
      </w:r>
      <w:r w:rsidR="00413FA1">
        <w:rPr>
          <w:rFonts w:hint="cs"/>
          <w:rtl/>
          <w:lang w:bidi="ar-SY"/>
        </w:rPr>
        <w:t xml:space="preserve"> عن الشركات التي</w:t>
      </w:r>
      <w:r w:rsidR="00413FA1">
        <w:rPr>
          <w:rFonts w:hint="cs"/>
          <w:rtl/>
          <w:lang w:bidi="ar-EG"/>
        </w:rPr>
        <w:t xml:space="preserve"> تزود مشغلي الاتصالات في جميع أنحاء العالم بسلع أو خدمات. </w:t>
      </w:r>
    </w:p>
    <w:p w14:paraId="2609C0F0" w14:textId="18E3201A" w:rsidR="000F5E60" w:rsidRDefault="000F5E60" w:rsidP="000F5E60">
      <w:pPr>
        <w:rPr>
          <w:rtl/>
          <w:lang w:bidi="ar-SY"/>
        </w:rPr>
      </w:pPr>
      <w:r>
        <w:rPr>
          <w:rFonts w:hint="cs"/>
          <w:rtl/>
          <w:lang w:bidi="ar-SY"/>
        </w:rPr>
        <w:t>5</w:t>
      </w:r>
      <w:r>
        <w:rPr>
          <w:rtl/>
          <w:lang w:bidi="ar-SY"/>
        </w:rPr>
        <w:tab/>
      </w:r>
      <w:r w:rsidR="00683026">
        <w:rPr>
          <w:rFonts w:hint="cs"/>
          <w:rtl/>
          <w:lang w:bidi="ar-SY"/>
        </w:rPr>
        <w:t>والمشاركة في ورشة العمل مجانية ومفتوحة للجميع.</w:t>
      </w:r>
    </w:p>
    <w:p w14:paraId="310C42E8" w14:textId="5484C59D" w:rsidR="000F5E60" w:rsidRPr="009975E6" w:rsidRDefault="000F5E60" w:rsidP="009975E6">
      <w:pPr>
        <w:rPr>
          <w:spacing w:val="-4"/>
          <w:rtl/>
          <w:lang w:bidi="ar-SY"/>
        </w:rPr>
      </w:pPr>
      <w:r w:rsidRPr="00B820F4">
        <w:rPr>
          <w:rFonts w:hint="cs"/>
          <w:rtl/>
          <w:lang w:bidi="ar-SY"/>
        </w:rPr>
        <w:lastRenderedPageBreak/>
        <w:t>6</w:t>
      </w:r>
      <w:r w:rsidRPr="00B820F4">
        <w:rPr>
          <w:rtl/>
          <w:lang w:bidi="ar-SY"/>
        </w:rPr>
        <w:tab/>
      </w:r>
      <w:r w:rsidR="00C75EAC" w:rsidRPr="00B820F4">
        <w:rPr>
          <w:rFonts w:hint="cs"/>
          <w:spacing w:val="-4"/>
          <w:rtl/>
          <w:lang w:bidi="ar-SY"/>
        </w:rPr>
        <w:t>وستتاح جميع المعلومات ذات الصلة المتعلقة بورشة العمل بما في ذلك مشروع البرنامج في الموقع الإلكتروني للحدث هنا:</w:t>
      </w:r>
      <w:r w:rsidR="009975E6" w:rsidRPr="00B820F4">
        <w:rPr>
          <w:rFonts w:hint="cs"/>
          <w:spacing w:val="-4"/>
          <w:rtl/>
          <w:lang w:bidi="ar-SY"/>
        </w:rPr>
        <w:t xml:space="preserve"> </w:t>
      </w:r>
      <w:hyperlink r:id="rId11" w:history="1">
        <w:r w:rsidR="00B820F4" w:rsidRPr="00B820F4">
          <w:rPr>
            <w:rStyle w:val="Hyperlink"/>
          </w:rPr>
          <w:t>https://www.itu.int/en/ITU-T/Workshops-and-Seminars/2023/0914</w:t>
        </w:r>
      </w:hyperlink>
      <w:r w:rsidRPr="00B820F4">
        <w:rPr>
          <w:rFonts w:hint="cs"/>
          <w:spacing w:val="-4"/>
          <w:rtl/>
        </w:rPr>
        <w:t xml:space="preserve">. </w:t>
      </w:r>
      <w:r w:rsidR="00C75EAC" w:rsidRPr="00B820F4">
        <w:rPr>
          <w:rFonts w:hint="cs"/>
          <w:spacing w:val="-4"/>
          <w:rtl/>
        </w:rPr>
        <w:t xml:space="preserve">وسيتم تحديث الصفحة الإلكترونية للحدث بانتظام كلما توفر المزيد من المعلومات. ويشجَّع المشاركون </w:t>
      </w:r>
      <w:r w:rsidR="00B820F4" w:rsidRPr="00B820F4">
        <w:rPr>
          <w:rFonts w:hint="cs"/>
          <w:spacing w:val="-4"/>
          <w:rtl/>
        </w:rPr>
        <w:t xml:space="preserve">على </w:t>
      </w:r>
      <w:r w:rsidR="00C75EAC" w:rsidRPr="00B820F4">
        <w:rPr>
          <w:rFonts w:hint="cs"/>
          <w:spacing w:val="-4"/>
          <w:rtl/>
        </w:rPr>
        <w:t xml:space="preserve">المواظبة على </w:t>
      </w:r>
      <w:r w:rsidR="00B820F4">
        <w:rPr>
          <w:rFonts w:hint="cs"/>
          <w:spacing w:val="-4"/>
          <w:rtl/>
        </w:rPr>
        <w:t>زيارة</w:t>
      </w:r>
      <w:r w:rsidR="00C75EAC" w:rsidRPr="00B820F4">
        <w:rPr>
          <w:rFonts w:hint="cs"/>
          <w:spacing w:val="-4"/>
          <w:rtl/>
        </w:rPr>
        <w:t xml:space="preserve"> الصفحة الإلكترونية للاطلاع على معلومات محدَّثة.</w:t>
      </w:r>
    </w:p>
    <w:p w14:paraId="1FE4FE14" w14:textId="3EBF4831" w:rsidR="000F5E60" w:rsidRDefault="000F5E60" w:rsidP="00D517B2">
      <w:pPr>
        <w:rPr>
          <w:rtl/>
          <w:lang w:bidi="ar-SY"/>
        </w:rPr>
      </w:pPr>
      <w:r w:rsidRPr="00B820F4">
        <w:rPr>
          <w:rFonts w:hint="cs"/>
          <w:rtl/>
          <w:lang w:bidi="ar-SY"/>
        </w:rPr>
        <w:t>7</w:t>
      </w:r>
      <w:r w:rsidRPr="00B820F4">
        <w:rPr>
          <w:rtl/>
          <w:lang w:bidi="ar-SY"/>
        </w:rPr>
        <w:tab/>
      </w:r>
      <w:r w:rsidR="00C75EAC" w:rsidRPr="00B820F4">
        <w:rPr>
          <w:rFonts w:hint="cs"/>
          <w:rtl/>
          <w:lang w:bidi="ar-SY"/>
        </w:rPr>
        <w:t xml:space="preserve">ولتمكين مكتب تقييس الاتصالات من اتخاذ الترتيبات اللازمة فيما يتعلق بتنظيم ورشة العمل، </w:t>
      </w:r>
      <w:r w:rsidR="00B820F4" w:rsidRPr="00B820F4">
        <w:rPr>
          <w:rFonts w:hint="cs"/>
          <w:rtl/>
          <w:lang w:bidi="ar-SY"/>
        </w:rPr>
        <w:t>سأكون ممتناً لو تكرمتم</w:t>
      </w:r>
      <w:r w:rsidR="00C75EAC" w:rsidRPr="00B820F4">
        <w:rPr>
          <w:rFonts w:hint="cs"/>
          <w:rtl/>
          <w:lang w:bidi="ar-SY"/>
        </w:rPr>
        <w:t xml:space="preserve"> بالتسجيل في أقرب وقت ممكن من خلال </w:t>
      </w:r>
      <w:hyperlink r:id="rId12" w:history="1">
        <w:r w:rsidR="002E375C" w:rsidRPr="00937B08">
          <w:rPr>
            <w:rStyle w:val="Hyperlink"/>
            <w:rFonts w:hint="cs"/>
            <w:rtl/>
          </w:rPr>
          <w:t>الاستمارة</w:t>
        </w:r>
        <w:r w:rsidR="00B820F4" w:rsidRPr="00937B08">
          <w:rPr>
            <w:rStyle w:val="Hyperlink"/>
            <w:rFonts w:hint="cs"/>
            <w:rtl/>
          </w:rPr>
          <w:t xml:space="preserve"> الإلكترونية</w:t>
        </w:r>
      </w:hyperlink>
      <w:r w:rsidRPr="00B820F4">
        <w:rPr>
          <w:rFonts w:hint="cs"/>
          <w:rtl/>
          <w:lang w:bidi="ar-SY"/>
        </w:rPr>
        <w:t xml:space="preserve"> </w:t>
      </w:r>
      <w:r w:rsidR="00C75EAC" w:rsidRPr="00B820F4">
        <w:rPr>
          <w:rFonts w:hint="cs"/>
          <w:rtl/>
          <w:lang w:bidi="ar-SY"/>
        </w:rPr>
        <w:t xml:space="preserve">المتاحة في صفحة الموقع الإلكتروني. </w:t>
      </w:r>
      <w:r w:rsidR="00C75EAC" w:rsidRPr="00B820F4">
        <w:rPr>
          <w:rFonts w:hint="cs"/>
          <w:b/>
          <w:bCs/>
          <w:rtl/>
          <w:lang w:bidi="ar-SY"/>
        </w:rPr>
        <w:t>والرجاء ملاحظة أن التسجيل المسبق للمشاركة في ورشة العمل إلزامي ويجرى عبر الإنترنت</w:t>
      </w:r>
      <w:r w:rsidR="00C75EAC" w:rsidRPr="00B820F4">
        <w:rPr>
          <w:rFonts w:hint="cs"/>
          <w:rtl/>
          <w:lang w:bidi="ar-SY"/>
        </w:rPr>
        <w:t>.</w:t>
      </w:r>
    </w:p>
    <w:p w14:paraId="19D73E11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7174E305" w14:textId="77777777" w:rsidR="00E84438" w:rsidRPr="00D517B2" w:rsidRDefault="00E84438" w:rsidP="00E84438">
      <w:pPr>
        <w:spacing w:before="720" w:after="72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494EA857" w14:textId="14A382E4" w:rsidR="00596808" w:rsidRPr="00D517B2" w:rsidRDefault="00807031" w:rsidP="006B2331">
      <w:pPr>
        <w:jc w:val="left"/>
        <w:rPr>
          <w:rtl/>
          <w:lang w:bidi="ar-EG"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B180" w14:textId="77777777" w:rsidR="000F5E60" w:rsidRDefault="000F5E60" w:rsidP="006C3242">
      <w:pPr>
        <w:spacing w:before="0" w:line="240" w:lineRule="auto"/>
      </w:pPr>
      <w:r>
        <w:separator/>
      </w:r>
    </w:p>
  </w:endnote>
  <w:endnote w:type="continuationSeparator" w:id="0">
    <w:p w14:paraId="4325A890" w14:textId="77777777" w:rsidR="000F5E60" w:rsidRDefault="000F5E6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D322F" w14:textId="77777777" w:rsidR="00937B08" w:rsidRDefault="0093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F0C0" w14:textId="2BE6A7B4" w:rsidR="00937B08" w:rsidRPr="00700FF7" w:rsidRDefault="00937B08" w:rsidP="00700F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8622F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5B83" w14:textId="77777777" w:rsidR="000F5E60" w:rsidRDefault="000F5E60" w:rsidP="006C3242">
      <w:pPr>
        <w:spacing w:before="0" w:line="240" w:lineRule="auto"/>
      </w:pPr>
      <w:r>
        <w:separator/>
      </w:r>
    </w:p>
  </w:footnote>
  <w:footnote w:type="continuationSeparator" w:id="0">
    <w:p w14:paraId="30A7F756" w14:textId="77777777" w:rsidR="000F5E60" w:rsidRDefault="000F5E6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7804" w14:textId="77777777" w:rsidR="00937B08" w:rsidRDefault="0093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60670" w14:textId="20ED53F5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473B6A">
      <w:rPr>
        <w:sz w:val="20"/>
        <w:szCs w:val="20"/>
        <w:lang w:val="en-GB"/>
      </w:rPr>
      <w:t>133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B55F" w14:textId="77777777" w:rsidR="00937B08" w:rsidRDefault="00937B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E60"/>
    <w:rsid w:val="00002A63"/>
    <w:rsid w:val="0006468A"/>
    <w:rsid w:val="00090574"/>
    <w:rsid w:val="000A426C"/>
    <w:rsid w:val="000C1C0E"/>
    <w:rsid w:val="000C548A"/>
    <w:rsid w:val="000E327F"/>
    <w:rsid w:val="000F5E60"/>
    <w:rsid w:val="00146FE2"/>
    <w:rsid w:val="001B6387"/>
    <w:rsid w:val="001C0169"/>
    <w:rsid w:val="001D1D50"/>
    <w:rsid w:val="001D6745"/>
    <w:rsid w:val="001E446E"/>
    <w:rsid w:val="002154EE"/>
    <w:rsid w:val="002276D2"/>
    <w:rsid w:val="0023283D"/>
    <w:rsid w:val="0026373E"/>
    <w:rsid w:val="00266B39"/>
    <w:rsid w:val="00271C43"/>
    <w:rsid w:val="00290728"/>
    <w:rsid w:val="002978F4"/>
    <w:rsid w:val="002B028D"/>
    <w:rsid w:val="002C5BC6"/>
    <w:rsid w:val="002E196B"/>
    <w:rsid w:val="002E375C"/>
    <w:rsid w:val="002E6541"/>
    <w:rsid w:val="00306A15"/>
    <w:rsid w:val="00334924"/>
    <w:rsid w:val="003409BC"/>
    <w:rsid w:val="00357185"/>
    <w:rsid w:val="00367EBC"/>
    <w:rsid w:val="00373A8A"/>
    <w:rsid w:val="00383829"/>
    <w:rsid w:val="00397FEE"/>
    <w:rsid w:val="003A3046"/>
    <w:rsid w:val="003C7EDF"/>
    <w:rsid w:val="003F4B29"/>
    <w:rsid w:val="00400EC6"/>
    <w:rsid w:val="004027D5"/>
    <w:rsid w:val="00413FA1"/>
    <w:rsid w:val="0042686F"/>
    <w:rsid w:val="004317D8"/>
    <w:rsid w:val="00434183"/>
    <w:rsid w:val="00443869"/>
    <w:rsid w:val="00447F32"/>
    <w:rsid w:val="00473B6A"/>
    <w:rsid w:val="004B3613"/>
    <w:rsid w:val="004E11DC"/>
    <w:rsid w:val="004E465C"/>
    <w:rsid w:val="00525DDD"/>
    <w:rsid w:val="005409AC"/>
    <w:rsid w:val="0055516A"/>
    <w:rsid w:val="00560CB6"/>
    <w:rsid w:val="005731DD"/>
    <w:rsid w:val="0058491B"/>
    <w:rsid w:val="00592EA5"/>
    <w:rsid w:val="00595B52"/>
    <w:rsid w:val="00596808"/>
    <w:rsid w:val="005A3170"/>
    <w:rsid w:val="005F6AC7"/>
    <w:rsid w:val="006635B2"/>
    <w:rsid w:val="00677396"/>
    <w:rsid w:val="00683026"/>
    <w:rsid w:val="0069200F"/>
    <w:rsid w:val="006A65CB"/>
    <w:rsid w:val="006B2331"/>
    <w:rsid w:val="006C1530"/>
    <w:rsid w:val="006C3242"/>
    <w:rsid w:val="006C7CC0"/>
    <w:rsid w:val="006E1BAD"/>
    <w:rsid w:val="006F63F7"/>
    <w:rsid w:val="00700FF7"/>
    <w:rsid w:val="007025C7"/>
    <w:rsid w:val="00706D7A"/>
    <w:rsid w:val="00722F0D"/>
    <w:rsid w:val="007269AD"/>
    <w:rsid w:val="00741C0C"/>
    <w:rsid w:val="0074420E"/>
    <w:rsid w:val="00783E26"/>
    <w:rsid w:val="007C3BC7"/>
    <w:rsid w:val="007C3BCD"/>
    <w:rsid w:val="007D4ACF"/>
    <w:rsid w:val="007E4BBB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879AC"/>
    <w:rsid w:val="008A7F84"/>
    <w:rsid w:val="0091054A"/>
    <w:rsid w:val="0091702E"/>
    <w:rsid w:val="00923B0C"/>
    <w:rsid w:val="00926F44"/>
    <w:rsid w:val="00937B08"/>
    <w:rsid w:val="0094021C"/>
    <w:rsid w:val="0094432F"/>
    <w:rsid w:val="009500F2"/>
    <w:rsid w:val="00952F86"/>
    <w:rsid w:val="00964E60"/>
    <w:rsid w:val="00982B28"/>
    <w:rsid w:val="009975E6"/>
    <w:rsid w:val="009C5964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820F4"/>
    <w:rsid w:val="00B916A7"/>
    <w:rsid w:val="00BB0F08"/>
    <w:rsid w:val="00BB658E"/>
    <w:rsid w:val="00C002DE"/>
    <w:rsid w:val="00C0439A"/>
    <w:rsid w:val="00C53BF8"/>
    <w:rsid w:val="00C66157"/>
    <w:rsid w:val="00C674FE"/>
    <w:rsid w:val="00C67501"/>
    <w:rsid w:val="00C75633"/>
    <w:rsid w:val="00C75EAC"/>
    <w:rsid w:val="00CE1C08"/>
    <w:rsid w:val="00CE2EE1"/>
    <w:rsid w:val="00CE3349"/>
    <w:rsid w:val="00CE36E5"/>
    <w:rsid w:val="00CF27F5"/>
    <w:rsid w:val="00CF3FFD"/>
    <w:rsid w:val="00D10CCF"/>
    <w:rsid w:val="00D22846"/>
    <w:rsid w:val="00D239C0"/>
    <w:rsid w:val="00D517B2"/>
    <w:rsid w:val="00D76170"/>
    <w:rsid w:val="00D77D0F"/>
    <w:rsid w:val="00DA1CF0"/>
    <w:rsid w:val="00DA5C40"/>
    <w:rsid w:val="00DC1E02"/>
    <w:rsid w:val="00DC24B4"/>
    <w:rsid w:val="00DC25D4"/>
    <w:rsid w:val="00DC5FB0"/>
    <w:rsid w:val="00DD1EBB"/>
    <w:rsid w:val="00DF16DC"/>
    <w:rsid w:val="00DF20D6"/>
    <w:rsid w:val="00E22D47"/>
    <w:rsid w:val="00E27975"/>
    <w:rsid w:val="00E45211"/>
    <w:rsid w:val="00E473C5"/>
    <w:rsid w:val="00E84438"/>
    <w:rsid w:val="00E92863"/>
    <w:rsid w:val="00EB796D"/>
    <w:rsid w:val="00EC291B"/>
    <w:rsid w:val="00F058DC"/>
    <w:rsid w:val="00F24FC4"/>
    <w:rsid w:val="00F2676C"/>
    <w:rsid w:val="00F52941"/>
    <w:rsid w:val="00F84366"/>
    <w:rsid w:val="00F85089"/>
    <w:rsid w:val="00F974C5"/>
    <w:rsid w:val="00FA6F46"/>
    <w:rsid w:val="00FD3673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0418B"/>
  <w15:chartTrackingRefBased/>
  <w15:docId w15:val="{85ED4387-0BF8-450F-94DC-1C9566A2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E60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zoom.us/webinar/register/WN_2VW3CXrSTRWtjE0FRdIbX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3/091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action/environment-and-climate-change/Documents/publications/2023/Scope-3-Guidance-202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Maguire, Mairéad</cp:lastModifiedBy>
  <cp:revision>2</cp:revision>
  <dcterms:created xsi:type="dcterms:W3CDTF">2023-08-31T09:20:00Z</dcterms:created>
  <dcterms:modified xsi:type="dcterms:W3CDTF">2023-08-31T09:20:00Z</dcterms:modified>
</cp:coreProperties>
</file>