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A27839" w:rsidRPr="008A6F4D" w14:paraId="220B26CF" w14:textId="77777777" w:rsidTr="00FC61DC">
        <w:trPr>
          <w:trHeight w:val="1131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15BE" w14:textId="77777777" w:rsidR="00A27839" w:rsidRPr="008A6F4D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r w:rsidRPr="008A6F4D">
              <w:rPr>
                <w:rFonts w:cs="Calibri"/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18D50AE8" wp14:editId="40102B8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2B2D058" w14:textId="77777777" w:rsidR="00A27839" w:rsidRPr="00426031" w:rsidRDefault="00A27839" w:rsidP="00DC16F2">
            <w:pPr>
              <w:spacing w:before="0"/>
              <w:jc w:val="both"/>
              <w:rPr>
                <w:rFonts w:cs="Calibri"/>
                <w:b/>
                <w:bCs/>
                <w:smallCaps/>
                <w:sz w:val="36"/>
                <w:szCs w:val="36"/>
              </w:rPr>
            </w:pPr>
            <w:r w:rsidRPr="00426031">
              <w:rPr>
                <w:rFonts w:cs="Calibr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0EFB442" w14:textId="77777777" w:rsidR="00A27839" w:rsidRPr="008A6F4D" w:rsidRDefault="00A27839" w:rsidP="00DC16F2">
            <w:pPr>
              <w:spacing w:before="0"/>
              <w:jc w:val="both"/>
              <w:rPr>
                <w:rFonts w:cs="Calibri"/>
                <w:color w:val="FFFFFF"/>
                <w:sz w:val="22"/>
                <w:szCs w:val="22"/>
              </w:rPr>
            </w:pPr>
            <w:r w:rsidRPr="00426031">
              <w:rPr>
                <w:rFonts w:cs="Calibr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31E39" w14:textId="77777777" w:rsidR="00A27839" w:rsidRPr="008A6F4D" w:rsidRDefault="00A27839" w:rsidP="00DC16F2">
            <w:pPr>
              <w:spacing w:before="0"/>
              <w:jc w:val="both"/>
              <w:rPr>
                <w:rFonts w:cs="Calibri"/>
                <w:color w:val="FFFFFF"/>
                <w:sz w:val="22"/>
                <w:szCs w:val="22"/>
              </w:rPr>
            </w:pPr>
          </w:p>
        </w:tc>
      </w:tr>
      <w:tr w:rsidR="00A27839" w:rsidRPr="00C03269" w14:paraId="2ED59F9E" w14:textId="77777777" w:rsidTr="00FC61DC">
        <w:trPr>
          <w:cantSplit/>
          <w:trHeight w:val="782"/>
        </w:trPr>
        <w:tc>
          <w:tcPr>
            <w:tcW w:w="4820" w:type="dxa"/>
            <w:gridSpan w:val="3"/>
            <w:vAlign w:val="center"/>
          </w:tcPr>
          <w:p w14:paraId="20DC8C39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7FC22F3" w14:textId="7ED4F8BA" w:rsidR="00A27839" w:rsidRPr="00C03269" w:rsidRDefault="00A27839" w:rsidP="00DC16F2">
            <w:pPr>
              <w:pStyle w:val="Tabletext"/>
              <w:spacing w:before="0" w:after="120"/>
              <w:ind w:left="-108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 xml:space="preserve">Geneva, </w:t>
            </w:r>
            <w:r w:rsidR="006C681C">
              <w:rPr>
                <w:rFonts w:cs="Calibri"/>
                <w:sz w:val="22"/>
                <w:szCs w:val="22"/>
              </w:rPr>
              <w:t>21 August</w:t>
            </w:r>
            <w:r w:rsidRPr="00C03269">
              <w:rPr>
                <w:rFonts w:cs="Calibri"/>
                <w:sz w:val="22"/>
                <w:szCs w:val="22"/>
              </w:rPr>
              <w:t xml:space="preserve"> 202</w:t>
            </w:r>
            <w:r w:rsidR="00983C16" w:rsidRPr="00C03269">
              <w:rPr>
                <w:rFonts w:cs="Calibri"/>
                <w:sz w:val="22"/>
                <w:szCs w:val="22"/>
              </w:rPr>
              <w:t>3</w:t>
            </w:r>
          </w:p>
        </w:tc>
      </w:tr>
      <w:tr w:rsidR="00A27839" w:rsidRPr="00C03269" w14:paraId="7E094D2D" w14:textId="77777777" w:rsidTr="00FC61DC">
        <w:trPr>
          <w:cantSplit/>
          <w:trHeight w:val="720"/>
        </w:trPr>
        <w:tc>
          <w:tcPr>
            <w:tcW w:w="1276" w:type="dxa"/>
          </w:tcPr>
          <w:p w14:paraId="545933FC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D2C1E3D" w14:textId="4BF9C646" w:rsidR="00A27839" w:rsidRPr="00C03269" w:rsidRDefault="00A27839" w:rsidP="00DC16F2">
            <w:pPr>
              <w:pStyle w:val="Tabletext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03269">
              <w:rPr>
                <w:rFonts w:cs="Calibri"/>
                <w:b/>
                <w:bCs/>
                <w:sz w:val="22"/>
                <w:szCs w:val="22"/>
              </w:rPr>
              <w:t xml:space="preserve">TSB Circular </w:t>
            </w:r>
            <w:r w:rsidR="003F67BE" w:rsidRPr="00C03269"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6C681C">
              <w:rPr>
                <w:rFonts w:cs="Calibr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103" w:type="dxa"/>
            <w:gridSpan w:val="2"/>
            <w:vMerge w:val="restart"/>
          </w:tcPr>
          <w:p w14:paraId="2091063E" w14:textId="77777777" w:rsidR="00A27839" w:rsidRPr="00C03269" w:rsidRDefault="00A27839" w:rsidP="00DC16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40" w:after="40"/>
              <w:ind w:left="283" w:hanging="391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To:</w:t>
            </w:r>
          </w:p>
          <w:p w14:paraId="76A94A91" w14:textId="3DD22CFE" w:rsidR="00A27839" w:rsidRPr="00C03269" w:rsidRDefault="00A27839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-</w:t>
            </w:r>
            <w:r w:rsidRPr="00C03269">
              <w:rPr>
                <w:rFonts w:cs="Calibri"/>
                <w:sz w:val="22"/>
                <w:szCs w:val="22"/>
              </w:rPr>
              <w:tab/>
              <w:t>Administrations of Member States of the Union</w:t>
            </w:r>
          </w:p>
          <w:p w14:paraId="579E98E8" w14:textId="4314EBC5" w:rsidR="00A27839" w:rsidRPr="00C03269" w:rsidRDefault="00A27839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FR"/>
              </w:rPr>
            </w:pPr>
            <w:r w:rsidRPr="00C03269">
              <w:rPr>
                <w:rFonts w:cs="Calibri"/>
                <w:sz w:val="22"/>
                <w:szCs w:val="22"/>
                <w:lang w:val="fr-FR"/>
              </w:rPr>
              <w:t>-</w:t>
            </w:r>
            <w:r w:rsidRPr="00C03269">
              <w:rPr>
                <w:rFonts w:cs="Calibri"/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C03269">
              <w:rPr>
                <w:rFonts w:cs="Calibri"/>
                <w:sz w:val="22"/>
                <w:szCs w:val="22"/>
                <w:lang w:val="fr-FR"/>
              </w:rPr>
              <w:t>Sector</w:t>
            </w:r>
            <w:proofErr w:type="spellEnd"/>
            <w:r w:rsidRPr="00C03269">
              <w:rPr>
                <w:rFonts w:cs="Calibri"/>
                <w:sz w:val="22"/>
                <w:szCs w:val="22"/>
                <w:lang w:val="fr-FR"/>
              </w:rPr>
              <w:t xml:space="preserve"> Members</w:t>
            </w:r>
          </w:p>
          <w:p w14:paraId="7A5CDC69" w14:textId="14A5BE7C" w:rsidR="00A27839" w:rsidRPr="00C03269" w:rsidRDefault="00A27839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FR"/>
              </w:rPr>
            </w:pPr>
            <w:r w:rsidRPr="00C03269">
              <w:rPr>
                <w:rFonts w:cs="Calibri"/>
                <w:sz w:val="22"/>
                <w:szCs w:val="22"/>
                <w:lang w:val="fr-FR"/>
              </w:rPr>
              <w:t>-</w:t>
            </w:r>
            <w:r w:rsidRPr="00C03269">
              <w:rPr>
                <w:rFonts w:cs="Calibri"/>
                <w:sz w:val="22"/>
                <w:szCs w:val="22"/>
                <w:lang w:val="fr-FR"/>
              </w:rPr>
              <w:tab/>
              <w:t>ITU-T Associates</w:t>
            </w:r>
          </w:p>
          <w:p w14:paraId="5780AA12" w14:textId="77777777" w:rsidR="00A27839" w:rsidRPr="00C03269" w:rsidRDefault="00A27839" w:rsidP="002527F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-</w:t>
            </w:r>
            <w:r w:rsidRPr="00C03269">
              <w:rPr>
                <w:rFonts w:cs="Calibri"/>
                <w:sz w:val="22"/>
                <w:szCs w:val="22"/>
              </w:rPr>
              <w:tab/>
              <w:t>ITU Academia</w:t>
            </w:r>
          </w:p>
        </w:tc>
      </w:tr>
      <w:tr w:rsidR="00A27839" w:rsidRPr="00C03269" w14:paraId="4B95B0C4" w14:textId="77777777" w:rsidTr="00FC61DC">
        <w:trPr>
          <w:cantSplit/>
          <w:trHeight w:val="221"/>
        </w:trPr>
        <w:tc>
          <w:tcPr>
            <w:tcW w:w="1276" w:type="dxa"/>
          </w:tcPr>
          <w:p w14:paraId="45E2B2FB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24F915EF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b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+41 22 730 5356</w:t>
            </w:r>
          </w:p>
        </w:tc>
        <w:tc>
          <w:tcPr>
            <w:tcW w:w="5103" w:type="dxa"/>
            <w:gridSpan w:val="2"/>
            <w:vMerge/>
          </w:tcPr>
          <w:p w14:paraId="02CB47FF" w14:textId="77777777" w:rsidR="00A27839" w:rsidRPr="00C03269" w:rsidRDefault="00A27839" w:rsidP="00DC16F2">
            <w:pPr>
              <w:pStyle w:val="Tabletext"/>
              <w:ind w:left="142" w:hanging="391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27839" w:rsidRPr="00C03269" w14:paraId="398C077B" w14:textId="77777777" w:rsidTr="00FC61DC">
        <w:trPr>
          <w:cantSplit/>
          <w:trHeight w:val="282"/>
        </w:trPr>
        <w:tc>
          <w:tcPr>
            <w:tcW w:w="1276" w:type="dxa"/>
          </w:tcPr>
          <w:p w14:paraId="48AB32B6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6AC542FC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b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CA7B9B4" w14:textId="77777777" w:rsidR="00A27839" w:rsidRPr="00C03269" w:rsidRDefault="00A27839" w:rsidP="00DC16F2">
            <w:pPr>
              <w:pStyle w:val="Tabletext"/>
              <w:ind w:left="142" w:hanging="391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27839" w:rsidRPr="00C03269" w14:paraId="53EFBF8D" w14:textId="77777777" w:rsidTr="007E6F4B">
        <w:trPr>
          <w:cantSplit/>
          <w:trHeight w:val="1808"/>
        </w:trPr>
        <w:tc>
          <w:tcPr>
            <w:tcW w:w="1276" w:type="dxa"/>
          </w:tcPr>
          <w:p w14:paraId="4C07D266" w14:textId="77777777" w:rsidR="00A27839" w:rsidRPr="00C03269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31F6F4A" w14:textId="77777777" w:rsidR="00A27839" w:rsidRPr="00C03269" w:rsidRDefault="00535010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hyperlink r:id="rId11" w:history="1">
              <w:r w:rsidR="00A27839" w:rsidRPr="00C03269">
                <w:rPr>
                  <w:rStyle w:val="Hyperlink"/>
                  <w:rFonts w:cs="Calibr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103" w:type="dxa"/>
            <w:gridSpan w:val="2"/>
          </w:tcPr>
          <w:p w14:paraId="47FD5ABA" w14:textId="77777777" w:rsidR="00A27839" w:rsidRPr="00C03269" w:rsidRDefault="00A27839" w:rsidP="00DC16F2">
            <w:pPr>
              <w:pStyle w:val="Tabletext"/>
              <w:ind w:left="283" w:hanging="391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5D8E5A2D" w14:textId="35894D53" w:rsidR="00A27839" w:rsidRPr="00C03269" w:rsidRDefault="00A27839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-</w:t>
            </w:r>
            <w:r w:rsidRPr="00C03269">
              <w:rPr>
                <w:rFonts w:cs="Calibri"/>
                <w:sz w:val="22"/>
                <w:szCs w:val="22"/>
              </w:rPr>
              <w:tab/>
              <w:t>The Chairmen and Vice-Chairmen of Study Groups</w:t>
            </w:r>
          </w:p>
          <w:p w14:paraId="39264A90" w14:textId="6F683E6B" w:rsidR="00A27839" w:rsidRPr="00C03269" w:rsidRDefault="00A27839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-</w:t>
            </w:r>
            <w:r w:rsidRPr="00C03269">
              <w:rPr>
                <w:rFonts w:cs="Calibri"/>
                <w:sz w:val="22"/>
                <w:szCs w:val="22"/>
              </w:rPr>
              <w:tab/>
              <w:t>The Director of the Telecommunication Development Bureau</w:t>
            </w:r>
          </w:p>
          <w:p w14:paraId="6ADA4E03" w14:textId="2EFDFFA6" w:rsidR="00A27839" w:rsidRPr="00C03269" w:rsidRDefault="00A27839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-</w:t>
            </w:r>
            <w:r w:rsidRPr="00C03269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A27839" w:rsidRPr="00C03269" w14:paraId="7D757198" w14:textId="77777777" w:rsidTr="00FC61DC">
        <w:trPr>
          <w:cantSplit/>
          <w:trHeight w:val="728"/>
        </w:trPr>
        <w:tc>
          <w:tcPr>
            <w:tcW w:w="1276" w:type="dxa"/>
          </w:tcPr>
          <w:p w14:paraId="2F9464CE" w14:textId="77777777" w:rsidR="00A27839" w:rsidRPr="00C03269" w:rsidRDefault="00A27839" w:rsidP="007E6F4B">
            <w:pPr>
              <w:pStyle w:val="Tabletext"/>
              <w:spacing w:before="0" w:after="0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6AEC11D8" w14:textId="07FD4AFC" w:rsidR="00A27839" w:rsidRPr="00C03269" w:rsidRDefault="00226C92" w:rsidP="007E6F4B">
            <w:pPr>
              <w:spacing w:before="0"/>
              <w:rPr>
                <w:sz w:val="22"/>
                <w:szCs w:val="22"/>
              </w:rPr>
            </w:pPr>
            <w:r w:rsidRPr="00C03269">
              <w:rPr>
                <w:rFonts w:cs="Calibri"/>
                <w:b/>
                <w:bCs/>
                <w:sz w:val="22"/>
                <w:szCs w:val="22"/>
              </w:rPr>
              <w:t>ITU Workshop on “</w:t>
            </w:r>
            <w:r w:rsidR="006C681C" w:rsidRPr="006C681C">
              <w:rPr>
                <w:rFonts w:cs="Calibri"/>
                <w:b/>
                <w:bCs/>
                <w:sz w:val="22"/>
                <w:szCs w:val="22"/>
              </w:rPr>
              <w:t>Working together towards a better future – a guide to Scope 3 emissions reporting</w:t>
            </w:r>
            <w:r w:rsidRPr="00C03269">
              <w:rPr>
                <w:rFonts w:cs="Calibri"/>
                <w:b/>
                <w:bCs/>
                <w:sz w:val="22"/>
                <w:szCs w:val="22"/>
              </w:rPr>
              <w:t>”</w:t>
            </w:r>
            <w:r w:rsidR="00FB68A0" w:rsidRPr="00C0326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C03269">
              <w:rPr>
                <w:rFonts w:cs="Calibri"/>
                <w:b/>
                <w:bCs/>
                <w:sz w:val="22"/>
                <w:szCs w:val="22"/>
              </w:rPr>
              <w:t>(</w:t>
            </w:r>
            <w:r w:rsidR="00A66D78">
              <w:rPr>
                <w:rFonts w:cs="Calibri"/>
                <w:b/>
                <w:bCs/>
                <w:sz w:val="22"/>
                <w:szCs w:val="22"/>
              </w:rPr>
              <w:t>V</w:t>
            </w:r>
            <w:r w:rsidR="003D5E87" w:rsidRPr="00C03269">
              <w:rPr>
                <w:rFonts w:cs="Calibri"/>
                <w:b/>
                <w:bCs/>
                <w:sz w:val="22"/>
                <w:szCs w:val="22"/>
              </w:rPr>
              <w:t>irtual</w:t>
            </w:r>
            <w:r w:rsidRPr="00C03269">
              <w:rPr>
                <w:rFonts w:cs="Calibri"/>
                <w:b/>
                <w:bCs/>
                <w:sz w:val="22"/>
                <w:szCs w:val="22"/>
              </w:rPr>
              <w:t xml:space="preserve">, </w:t>
            </w:r>
            <w:r w:rsidR="00DF7403"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6C681C">
              <w:rPr>
                <w:rFonts w:cs="Calibri"/>
                <w:b/>
                <w:bCs/>
                <w:sz w:val="22"/>
                <w:szCs w:val="22"/>
              </w:rPr>
              <w:t>4 September</w:t>
            </w:r>
            <w:r w:rsidRPr="00C03269">
              <w:rPr>
                <w:rFonts w:cs="Calibri"/>
                <w:b/>
                <w:bCs/>
                <w:sz w:val="22"/>
                <w:szCs w:val="22"/>
              </w:rPr>
              <w:t xml:space="preserve"> 2023)</w:t>
            </w:r>
            <w:r w:rsidR="00FB68A0" w:rsidRPr="00C03269">
              <w:rPr>
                <w:rFonts w:cs="Calibri"/>
                <w:b/>
                <w:bCs/>
                <w:sz w:val="22"/>
                <w:szCs w:val="22"/>
              </w:rPr>
              <w:br/>
            </w:r>
          </w:p>
        </w:tc>
      </w:tr>
      <w:tr w:rsidR="00E026FF" w:rsidRPr="00C03269" w14:paraId="5FEF5A1D" w14:textId="77777777" w:rsidTr="00B043FA">
        <w:trPr>
          <w:cantSplit/>
          <w:trHeight w:val="728"/>
        </w:trPr>
        <w:tc>
          <w:tcPr>
            <w:tcW w:w="9923" w:type="dxa"/>
            <w:gridSpan w:val="5"/>
          </w:tcPr>
          <w:p w14:paraId="6030198B" w14:textId="77777777" w:rsidR="00E026FF" w:rsidRPr="00C03269" w:rsidRDefault="00E026FF" w:rsidP="00E026FF">
            <w:pPr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Dear Sir/Madam,</w:t>
            </w:r>
          </w:p>
          <w:p w14:paraId="7298C433" w14:textId="54AF64E4" w:rsidR="00E026FF" w:rsidRPr="00C03269" w:rsidRDefault="00E026FF" w:rsidP="00E026FF">
            <w:pPr>
              <w:jc w:val="both"/>
              <w:rPr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1</w:t>
            </w:r>
            <w:r w:rsidRPr="00C03269">
              <w:rPr>
                <w:rFonts w:cs="Calibri"/>
                <w:sz w:val="22"/>
                <w:szCs w:val="22"/>
              </w:rPr>
              <w:tab/>
            </w:r>
            <w:r w:rsidRPr="00C03269">
              <w:rPr>
                <w:sz w:val="22"/>
                <w:szCs w:val="22"/>
              </w:rPr>
              <w:t>The International Telecommunication Union (ITU), in collaboration with</w:t>
            </w:r>
            <w:r w:rsidR="003F67BE" w:rsidRPr="00C03269">
              <w:rPr>
                <w:sz w:val="22"/>
                <w:szCs w:val="22"/>
              </w:rPr>
              <w:t xml:space="preserve"> GSMA and GeSI</w:t>
            </w:r>
            <w:r w:rsidRPr="00C03269">
              <w:rPr>
                <w:sz w:val="22"/>
                <w:szCs w:val="22"/>
              </w:rPr>
              <w:t xml:space="preserve">, are organizing a workshop on </w:t>
            </w:r>
            <w:r w:rsidRPr="00C03269">
              <w:rPr>
                <w:rFonts w:cs="Calibri"/>
                <w:b/>
                <w:bCs/>
                <w:sz w:val="22"/>
                <w:szCs w:val="22"/>
              </w:rPr>
              <w:t>“</w:t>
            </w:r>
            <w:r w:rsidR="006C681C" w:rsidRPr="006C681C">
              <w:rPr>
                <w:rFonts w:cs="Calibri"/>
                <w:b/>
                <w:bCs/>
                <w:sz w:val="22"/>
                <w:szCs w:val="22"/>
              </w:rPr>
              <w:t>Working together towards a better future – a guide to Scope 3 emissions reporting</w:t>
            </w:r>
            <w:r w:rsidRPr="00C03269">
              <w:rPr>
                <w:rFonts w:cs="Calibri"/>
                <w:b/>
                <w:bCs/>
                <w:sz w:val="22"/>
                <w:szCs w:val="22"/>
              </w:rPr>
              <w:t>”</w:t>
            </w:r>
            <w:r w:rsidRPr="00C03269">
              <w:rPr>
                <w:sz w:val="22"/>
                <w:szCs w:val="22"/>
              </w:rPr>
              <w:t xml:space="preserve"> taking place virtually on the </w:t>
            </w:r>
            <w:r w:rsidR="00DF7403">
              <w:rPr>
                <w:b/>
                <w:bCs/>
                <w:sz w:val="22"/>
                <w:szCs w:val="22"/>
              </w:rPr>
              <w:t>1</w:t>
            </w:r>
            <w:r w:rsidR="006C681C">
              <w:rPr>
                <w:b/>
                <w:bCs/>
                <w:sz w:val="22"/>
                <w:szCs w:val="22"/>
              </w:rPr>
              <w:t>4</w:t>
            </w:r>
            <w:r w:rsidRPr="00C03269">
              <w:rPr>
                <w:b/>
                <w:bCs/>
                <w:sz w:val="22"/>
                <w:szCs w:val="22"/>
              </w:rPr>
              <w:t xml:space="preserve"> </w:t>
            </w:r>
            <w:r w:rsidR="006C681C">
              <w:rPr>
                <w:b/>
                <w:bCs/>
                <w:sz w:val="22"/>
                <w:szCs w:val="22"/>
              </w:rPr>
              <w:t>September</w:t>
            </w:r>
            <w:r w:rsidRPr="00C03269">
              <w:rPr>
                <w:b/>
                <w:bCs/>
                <w:sz w:val="22"/>
                <w:szCs w:val="22"/>
              </w:rPr>
              <w:t xml:space="preserve"> 2023 from </w:t>
            </w:r>
            <w:r w:rsidR="006C681C">
              <w:rPr>
                <w:b/>
                <w:bCs/>
                <w:sz w:val="22"/>
                <w:szCs w:val="22"/>
              </w:rPr>
              <w:t>09</w:t>
            </w:r>
            <w:r w:rsidRPr="00C03269">
              <w:rPr>
                <w:b/>
                <w:bCs/>
                <w:sz w:val="22"/>
                <w:szCs w:val="22"/>
              </w:rPr>
              <w:t>h</w:t>
            </w:r>
            <w:r w:rsidR="006C681C">
              <w:rPr>
                <w:b/>
                <w:bCs/>
                <w:sz w:val="22"/>
                <w:szCs w:val="22"/>
              </w:rPr>
              <w:t>30</w:t>
            </w:r>
            <w:r w:rsidRPr="00C03269">
              <w:rPr>
                <w:b/>
                <w:bCs/>
                <w:sz w:val="22"/>
                <w:szCs w:val="22"/>
              </w:rPr>
              <w:t xml:space="preserve"> to </w:t>
            </w:r>
            <w:r w:rsidR="003F67BE" w:rsidRPr="00C03269">
              <w:rPr>
                <w:b/>
                <w:bCs/>
                <w:sz w:val="22"/>
                <w:szCs w:val="22"/>
              </w:rPr>
              <w:t>1</w:t>
            </w:r>
            <w:r w:rsidR="006C681C">
              <w:rPr>
                <w:b/>
                <w:bCs/>
                <w:sz w:val="22"/>
                <w:szCs w:val="22"/>
              </w:rPr>
              <w:t>1</w:t>
            </w:r>
            <w:r w:rsidRPr="00C03269">
              <w:rPr>
                <w:b/>
                <w:bCs/>
                <w:sz w:val="22"/>
                <w:szCs w:val="22"/>
              </w:rPr>
              <w:t>h</w:t>
            </w:r>
            <w:r w:rsidR="006C681C">
              <w:rPr>
                <w:b/>
                <w:bCs/>
                <w:sz w:val="22"/>
                <w:szCs w:val="22"/>
              </w:rPr>
              <w:t>00</w:t>
            </w:r>
            <w:r w:rsidRPr="00C03269">
              <w:rPr>
                <w:b/>
                <w:bCs/>
                <w:sz w:val="22"/>
                <w:szCs w:val="22"/>
              </w:rPr>
              <w:t xml:space="preserve"> CEST</w:t>
            </w:r>
            <w:r w:rsidR="006C681C">
              <w:rPr>
                <w:b/>
                <w:bCs/>
                <w:sz w:val="22"/>
                <w:szCs w:val="22"/>
              </w:rPr>
              <w:t xml:space="preserve"> and 17h00 to 18h30 CEST</w:t>
            </w:r>
            <w:r w:rsidRPr="00C03269">
              <w:rPr>
                <w:b/>
                <w:bCs/>
                <w:sz w:val="22"/>
                <w:szCs w:val="22"/>
              </w:rPr>
              <w:t>.</w:t>
            </w:r>
            <w:r w:rsidR="006C681C">
              <w:rPr>
                <w:b/>
                <w:bCs/>
                <w:sz w:val="22"/>
                <w:szCs w:val="22"/>
              </w:rPr>
              <w:t xml:space="preserve"> </w:t>
            </w:r>
            <w:r w:rsidR="006C681C" w:rsidRPr="006C681C">
              <w:rPr>
                <w:sz w:val="22"/>
                <w:szCs w:val="22"/>
              </w:rPr>
              <w:t xml:space="preserve">To enable the participation of experts from different time zones, two sessions </w:t>
            </w:r>
            <w:r w:rsidR="006C681C">
              <w:rPr>
                <w:sz w:val="22"/>
                <w:szCs w:val="22"/>
              </w:rPr>
              <w:t xml:space="preserve">will be </w:t>
            </w:r>
            <w:r w:rsidR="006C681C" w:rsidRPr="006C681C">
              <w:rPr>
                <w:sz w:val="22"/>
                <w:szCs w:val="22"/>
              </w:rPr>
              <w:t xml:space="preserve">held. The content of the two sessions </w:t>
            </w:r>
            <w:r w:rsidR="006C681C">
              <w:rPr>
                <w:sz w:val="22"/>
                <w:szCs w:val="22"/>
              </w:rPr>
              <w:t>will be</w:t>
            </w:r>
            <w:r w:rsidR="006C681C" w:rsidRPr="006C681C">
              <w:rPr>
                <w:sz w:val="22"/>
                <w:szCs w:val="22"/>
              </w:rPr>
              <w:t xml:space="preserve"> the same.</w:t>
            </w:r>
            <w:r w:rsidRPr="00C0326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16C1AF4" w14:textId="3172EC8C" w:rsidR="003F67BE" w:rsidRPr="00C03269" w:rsidRDefault="00E026FF" w:rsidP="003F67BE">
            <w:pPr>
              <w:rPr>
                <w:rFonts w:cs="Calibri"/>
                <w:sz w:val="22"/>
                <w:szCs w:val="22"/>
                <w:lang w:val="en-US"/>
              </w:rPr>
            </w:pPr>
            <w:r w:rsidRPr="00C03269">
              <w:rPr>
                <w:rFonts w:cs="Calibri"/>
                <w:sz w:val="22"/>
                <w:szCs w:val="22"/>
                <w:lang w:val="en-US"/>
              </w:rPr>
              <w:t>2</w:t>
            </w:r>
            <w:r w:rsidRPr="00C03269">
              <w:rPr>
                <w:rFonts w:cs="Calibri"/>
                <w:sz w:val="22"/>
                <w:szCs w:val="22"/>
                <w:lang w:val="en-US"/>
              </w:rPr>
              <w:tab/>
            </w:r>
            <w:r w:rsidR="006C681C" w:rsidRPr="006C681C">
              <w:rPr>
                <w:rFonts w:cs="Calibri"/>
                <w:sz w:val="22"/>
                <w:szCs w:val="22"/>
                <w:lang w:val="en-US"/>
              </w:rPr>
              <w:t xml:space="preserve">The </w:t>
            </w:r>
            <w:r w:rsidR="006C681C" w:rsidRPr="00A86EC9">
              <w:rPr>
                <w:rFonts w:cs="Calibri"/>
                <w:sz w:val="22"/>
                <w:szCs w:val="22"/>
                <w:lang w:val="en-US"/>
              </w:rPr>
              <w:t xml:space="preserve">new </w:t>
            </w:r>
            <w:hyperlink r:id="rId12" w:history="1">
              <w:r w:rsidR="006C681C" w:rsidRPr="00A86EC9">
                <w:rPr>
                  <w:rStyle w:val="Hyperlink"/>
                  <w:rFonts w:cs="Calibri"/>
                  <w:sz w:val="22"/>
                  <w:szCs w:val="22"/>
                  <w:lang w:val="en-US"/>
                </w:rPr>
                <w:t>Scope 3 Guidance for Telecommunication Operators</w:t>
              </w:r>
            </w:hyperlink>
            <w:r w:rsidR="006C681C" w:rsidRPr="006C681C">
              <w:rPr>
                <w:rFonts w:cs="Calibri"/>
                <w:sz w:val="22"/>
                <w:szCs w:val="22"/>
                <w:lang w:val="en-US"/>
              </w:rPr>
              <w:t xml:space="preserve">, developed by the </w:t>
            </w:r>
            <w:r w:rsidR="005612F3">
              <w:rPr>
                <w:rFonts w:cs="Calibri"/>
                <w:sz w:val="22"/>
                <w:szCs w:val="22"/>
                <w:lang w:val="en-US"/>
              </w:rPr>
              <w:t xml:space="preserve">ITU, </w:t>
            </w:r>
            <w:r w:rsidR="006C681C" w:rsidRPr="006C681C">
              <w:rPr>
                <w:rFonts w:cs="Calibri"/>
                <w:sz w:val="22"/>
                <w:szCs w:val="22"/>
                <w:lang w:val="en-US"/>
              </w:rPr>
              <w:t>GSMA</w:t>
            </w:r>
            <w:r w:rsidR="005612F3">
              <w:rPr>
                <w:rFonts w:cs="Calibri"/>
                <w:sz w:val="22"/>
                <w:szCs w:val="22"/>
                <w:lang w:val="en-US"/>
              </w:rPr>
              <w:t xml:space="preserve"> and </w:t>
            </w:r>
            <w:r w:rsidR="006C681C" w:rsidRPr="006C681C">
              <w:rPr>
                <w:rFonts w:cs="Calibri"/>
                <w:sz w:val="22"/>
                <w:szCs w:val="22"/>
                <w:lang w:val="en-US"/>
              </w:rPr>
              <w:t xml:space="preserve">GeSI was launched in July 2023. This guidance </w:t>
            </w:r>
            <w:proofErr w:type="spellStart"/>
            <w:r w:rsidR="006C681C" w:rsidRPr="006C681C">
              <w:rPr>
                <w:rFonts w:cs="Calibri"/>
                <w:sz w:val="22"/>
                <w:szCs w:val="22"/>
                <w:lang w:val="en-US"/>
              </w:rPr>
              <w:t>harmonises</w:t>
            </w:r>
            <w:proofErr w:type="spellEnd"/>
            <w:r w:rsidR="006C681C" w:rsidRPr="006C681C">
              <w:rPr>
                <w:rFonts w:cs="Calibri"/>
                <w:sz w:val="22"/>
                <w:szCs w:val="22"/>
                <w:lang w:val="en-US"/>
              </w:rPr>
              <w:t xml:space="preserve"> methods for telecommunication operators to assess and report their Scope 3 emissions and to increase coverage and transparency. Scope 3 emissions are the indirect emissions from a telecommunication operators value chain, including their supply chain and products used by customers. These emissions are much higher than a telecommunication operator’s own Scope 1 and 2 emissions. </w:t>
            </w:r>
            <w:r w:rsidR="001C1F97" w:rsidRPr="006C681C">
              <w:rPr>
                <w:sz w:val="22"/>
                <w:szCs w:val="22"/>
                <w:lang w:val="en-US"/>
              </w:rPr>
              <w:t>This guidance is intended to supplement, not supersede, existing standards.</w:t>
            </w:r>
            <w:r w:rsidR="001C1F97">
              <w:rPr>
                <w:sz w:val="22"/>
                <w:szCs w:val="22"/>
                <w:lang w:val="en-US"/>
              </w:rPr>
              <w:t xml:space="preserve"> </w:t>
            </w:r>
            <w:r w:rsidR="006C681C" w:rsidRPr="006C681C">
              <w:rPr>
                <w:rFonts w:cs="Calibri"/>
                <w:sz w:val="22"/>
                <w:szCs w:val="22"/>
                <w:lang w:val="en-US"/>
              </w:rPr>
              <w:t>With COP28 approaching, now more than ever telecommunication operators must work with suppliers to reduce Scope 3 emissions.</w:t>
            </w:r>
          </w:p>
          <w:p w14:paraId="42FD2E39" w14:textId="7B1ABE30" w:rsidR="006C681C" w:rsidRDefault="00E026FF" w:rsidP="003F67BE">
            <w:pPr>
              <w:rPr>
                <w:sz w:val="22"/>
                <w:szCs w:val="22"/>
                <w:lang w:val="en-US"/>
              </w:rPr>
            </w:pPr>
            <w:r w:rsidRPr="00C03269">
              <w:rPr>
                <w:rFonts w:cs="Calibri"/>
                <w:sz w:val="22"/>
                <w:szCs w:val="22"/>
                <w:lang w:val="en-US"/>
              </w:rPr>
              <w:t>3</w:t>
            </w:r>
            <w:r w:rsidRPr="00C03269">
              <w:rPr>
                <w:rFonts w:cs="Calibri"/>
                <w:sz w:val="22"/>
                <w:szCs w:val="22"/>
                <w:lang w:val="en-US"/>
              </w:rPr>
              <w:tab/>
            </w:r>
            <w:r w:rsidR="003F67BE" w:rsidRPr="00C03269">
              <w:rPr>
                <w:sz w:val="22"/>
                <w:szCs w:val="22"/>
                <w:lang w:val="en-US"/>
              </w:rPr>
              <w:t xml:space="preserve">This event </w:t>
            </w:r>
            <w:r w:rsidR="00286EFB">
              <w:rPr>
                <w:sz w:val="22"/>
                <w:szCs w:val="22"/>
                <w:lang w:val="en-US"/>
              </w:rPr>
              <w:t xml:space="preserve">will </w:t>
            </w:r>
            <w:r w:rsidR="003F67BE" w:rsidRPr="00C03269">
              <w:rPr>
                <w:sz w:val="22"/>
                <w:szCs w:val="22"/>
                <w:lang w:val="en-US"/>
              </w:rPr>
              <w:t xml:space="preserve">bring together experts in the field to discuss </w:t>
            </w:r>
            <w:r w:rsidR="006C681C" w:rsidRPr="006C681C">
              <w:rPr>
                <w:sz w:val="22"/>
                <w:szCs w:val="22"/>
                <w:lang w:val="en-US"/>
              </w:rPr>
              <w:t xml:space="preserve">the challenges and opportunities for suppliers in calculating and reducing emissions in the goods and services they provide to telecommunication operators. </w:t>
            </w:r>
            <w:r w:rsidR="00646791">
              <w:rPr>
                <w:sz w:val="22"/>
                <w:szCs w:val="22"/>
                <w:lang w:val="en-US"/>
              </w:rPr>
              <w:t>It</w:t>
            </w:r>
            <w:r w:rsidR="006C681C" w:rsidRPr="006C681C">
              <w:rPr>
                <w:sz w:val="22"/>
                <w:szCs w:val="22"/>
                <w:lang w:val="en-US"/>
              </w:rPr>
              <w:t xml:space="preserve"> will provide a supplier outlook of the newly released guide on Scope 3 Guidance for telecommunication operators. </w:t>
            </w:r>
          </w:p>
          <w:p w14:paraId="1D2F72AF" w14:textId="0525AAB3" w:rsidR="00E026FF" w:rsidRPr="00C03269" w:rsidRDefault="00E026FF" w:rsidP="003F67BE">
            <w:pPr>
              <w:rPr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  <w:lang w:val="en-US"/>
              </w:rPr>
              <w:t>4</w:t>
            </w:r>
            <w:r w:rsidRPr="00C03269">
              <w:rPr>
                <w:rFonts w:cs="Calibri"/>
                <w:sz w:val="22"/>
                <w:szCs w:val="22"/>
                <w:lang w:val="en-US"/>
              </w:rPr>
              <w:tab/>
            </w:r>
            <w:r w:rsidR="006C681C" w:rsidRPr="006C681C">
              <w:rPr>
                <w:sz w:val="22"/>
                <w:szCs w:val="22"/>
              </w:rPr>
              <w:t>This event is expected to be attended by representatives from company’s supplying goods or services to telecommunication operators around the world.</w:t>
            </w:r>
          </w:p>
          <w:p w14:paraId="404F5AF2" w14:textId="39FFC30B" w:rsidR="00E026FF" w:rsidRPr="00C03269" w:rsidRDefault="003F67BE" w:rsidP="00E026FF">
            <w:pPr>
              <w:tabs>
                <w:tab w:val="clear" w:pos="1191"/>
              </w:tabs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5</w:t>
            </w:r>
            <w:r w:rsidR="00E026FF" w:rsidRPr="00C03269">
              <w:rPr>
                <w:rFonts w:cs="Calibri"/>
                <w:sz w:val="22"/>
                <w:szCs w:val="22"/>
              </w:rPr>
              <w:tab/>
              <w:t>Participation in the workshop is free of charge and open to all.</w:t>
            </w:r>
          </w:p>
          <w:p w14:paraId="3781A1B3" w14:textId="71F992B5" w:rsidR="003F67BE" w:rsidRPr="00C03269" w:rsidRDefault="00256879" w:rsidP="003F67BE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="00E026FF" w:rsidRPr="00C03269">
              <w:rPr>
                <w:rFonts w:cs="Calibri"/>
                <w:sz w:val="22"/>
                <w:szCs w:val="22"/>
              </w:rPr>
              <w:tab/>
            </w:r>
            <w:r w:rsidR="003F67BE" w:rsidRPr="00C03269">
              <w:rPr>
                <w:sz w:val="22"/>
                <w:szCs w:val="22"/>
              </w:rPr>
              <w:t xml:space="preserve">All relevant Information </w:t>
            </w:r>
            <w:r w:rsidR="003F67BE" w:rsidRPr="006C681C">
              <w:rPr>
                <w:sz w:val="22"/>
                <w:szCs w:val="22"/>
              </w:rPr>
              <w:t>pertaining to the workshop including the draft programme will be made available on the event website here:</w:t>
            </w:r>
            <w:r w:rsidR="006C681C" w:rsidRPr="006C681C">
              <w:rPr>
                <w:sz w:val="22"/>
                <w:szCs w:val="22"/>
              </w:rPr>
              <w:t xml:space="preserve"> </w:t>
            </w:r>
            <w:hyperlink r:id="rId13" w:history="1">
              <w:r w:rsidR="00DB4C01" w:rsidRPr="008C79F4">
                <w:rPr>
                  <w:rStyle w:val="Hyperlink"/>
                  <w:sz w:val="22"/>
                  <w:szCs w:val="22"/>
                </w:rPr>
                <w:t>https://www.itu.int/en/ITU-T/Workshops-and-Seminars/2023/0914</w:t>
              </w:r>
            </w:hyperlink>
            <w:r w:rsidR="00DF7403" w:rsidRPr="006C681C">
              <w:rPr>
                <w:sz w:val="22"/>
                <w:szCs w:val="22"/>
              </w:rPr>
              <w:t>.</w:t>
            </w:r>
            <w:r w:rsidR="00DF7403">
              <w:rPr>
                <w:sz w:val="22"/>
                <w:szCs w:val="22"/>
              </w:rPr>
              <w:t xml:space="preserve"> </w:t>
            </w:r>
            <w:r w:rsidR="003F67BE" w:rsidRPr="00C03269">
              <w:rPr>
                <w:sz w:val="22"/>
                <w:szCs w:val="22"/>
              </w:rPr>
              <w:t>The event webpage will be updated regularly as more information becomes available. Participants are encouraged to check the webpage periodically for updates.</w:t>
            </w:r>
          </w:p>
          <w:p w14:paraId="7CADBC0C" w14:textId="75E03A81" w:rsidR="003F67BE" w:rsidRPr="00C03269" w:rsidRDefault="00256879" w:rsidP="007E6F4B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67BE" w:rsidRPr="00C03269">
              <w:rPr>
                <w:sz w:val="22"/>
                <w:szCs w:val="22"/>
              </w:rPr>
              <w:tab/>
              <w:t xml:space="preserve">To enable TSB to make the necessary arrangements concerning the organization of the workshop, I should be grateful if you would </w:t>
            </w:r>
            <w:r w:rsidR="003F67BE" w:rsidRPr="00F37275">
              <w:rPr>
                <w:sz w:val="22"/>
                <w:szCs w:val="22"/>
              </w:rPr>
              <w:t>register</w:t>
            </w:r>
            <w:r w:rsidR="003F67BE" w:rsidRPr="00C03269">
              <w:rPr>
                <w:sz w:val="22"/>
                <w:szCs w:val="22"/>
              </w:rPr>
              <w:t xml:space="preserve"> via the </w:t>
            </w:r>
            <w:hyperlink r:id="rId14" w:history="1">
              <w:r w:rsidR="003F67BE" w:rsidRPr="00B06B4A">
                <w:rPr>
                  <w:rStyle w:val="Hyperlink"/>
                  <w:sz w:val="22"/>
                  <w:szCs w:val="22"/>
                </w:rPr>
                <w:t>online form</w:t>
              </w:r>
            </w:hyperlink>
            <w:r w:rsidR="003F67BE" w:rsidRPr="00C03269">
              <w:rPr>
                <w:sz w:val="22"/>
                <w:szCs w:val="22"/>
              </w:rPr>
              <w:t xml:space="preserve"> available on the website page as soon as </w:t>
            </w:r>
            <w:r w:rsidR="003F67BE" w:rsidRPr="00C03269">
              <w:rPr>
                <w:sz w:val="22"/>
                <w:szCs w:val="22"/>
              </w:rPr>
              <w:lastRenderedPageBreak/>
              <w:t>possible</w:t>
            </w:r>
            <w:r w:rsidR="003F67BE" w:rsidRPr="00C03269">
              <w:rPr>
                <w:b/>
                <w:bCs/>
                <w:sz w:val="22"/>
                <w:szCs w:val="22"/>
              </w:rPr>
              <w:t xml:space="preserve">. Please note that pre-registration of participants for workshops is mandatory and carried out online. </w:t>
            </w:r>
          </w:p>
          <w:p w14:paraId="3641BD65" w14:textId="5B00F140" w:rsidR="00E026FF" w:rsidRPr="00C03269" w:rsidRDefault="00E026FF" w:rsidP="007E6F4B">
            <w:pPr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sz w:val="22"/>
                <w:szCs w:val="22"/>
              </w:rPr>
              <w:t>Yours faithfully,</w:t>
            </w:r>
          </w:p>
          <w:p w14:paraId="7CB5A7B2" w14:textId="5A60808F" w:rsidR="00E026FF" w:rsidRPr="007E6F4B" w:rsidRDefault="00535010" w:rsidP="007E6F4B">
            <w:pPr>
              <w:spacing w:before="960"/>
              <w:jc w:val="both"/>
              <w:rPr>
                <w:rFonts w:cs="Calibri"/>
                <w:sz w:val="22"/>
                <w:szCs w:val="22"/>
              </w:rPr>
            </w:pPr>
            <w:r w:rsidRPr="00C03269">
              <w:rPr>
                <w:rFonts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330C64A" wp14:editId="124E73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603250" cy="254635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6FF" w:rsidRPr="00C03269">
              <w:rPr>
                <w:rFonts w:cs="Calibri"/>
                <w:sz w:val="22"/>
                <w:szCs w:val="22"/>
              </w:rPr>
              <w:t>Seizo Onoe</w:t>
            </w:r>
            <w:r w:rsidR="00E026FF" w:rsidRPr="00C03269">
              <w:rPr>
                <w:rFonts w:cs="Calibri"/>
                <w:sz w:val="22"/>
                <w:szCs w:val="22"/>
              </w:rPr>
              <w:br/>
              <w:t>Director of the Telecommunication</w:t>
            </w:r>
            <w:r w:rsidR="00E026FF" w:rsidRPr="00C03269">
              <w:rPr>
                <w:rFonts w:cs="Calibri"/>
                <w:sz w:val="22"/>
                <w:szCs w:val="22"/>
              </w:rPr>
              <w:br/>
              <w:t>Standardization Bureau</w:t>
            </w:r>
          </w:p>
        </w:tc>
      </w:tr>
    </w:tbl>
    <w:p w14:paraId="04B2F906" w14:textId="72F75177" w:rsidR="006377FC" w:rsidRPr="00C03269" w:rsidRDefault="006377FC" w:rsidP="00E026FF">
      <w:pPr>
        <w:jc w:val="both"/>
        <w:rPr>
          <w:rFonts w:cs="Calibri"/>
          <w:sz w:val="22"/>
          <w:szCs w:val="22"/>
        </w:rPr>
      </w:pPr>
    </w:p>
    <w:sectPr w:rsidR="006377FC" w:rsidRPr="00C03269" w:rsidSect="00A27839">
      <w:headerReference w:type="default" r:id="rId16"/>
      <w:footerReference w:type="first" r:id="rId17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785B" w14:textId="77777777" w:rsidR="002323CF" w:rsidRDefault="002323CF">
      <w:pPr>
        <w:spacing w:before="0"/>
      </w:pPr>
      <w:r>
        <w:separator/>
      </w:r>
    </w:p>
  </w:endnote>
  <w:endnote w:type="continuationSeparator" w:id="0">
    <w:p w14:paraId="172AE431" w14:textId="77777777" w:rsidR="002323CF" w:rsidRDefault="002323CF">
      <w:pPr>
        <w:spacing w:before="0"/>
      </w:pPr>
      <w:r>
        <w:continuationSeparator/>
      </w:r>
    </w:p>
  </w:endnote>
  <w:endnote w:type="continuationNotice" w:id="1">
    <w:p w14:paraId="65B42DEA" w14:textId="77777777" w:rsidR="002323CF" w:rsidRDefault="002323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3444" w14:textId="30C52F73" w:rsidR="00FA46A0" w:rsidRPr="00854BCC" w:rsidRDefault="00CE3398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2EC3" w14:textId="77777777" w:rsidR="002323CF" w:rsidRDefault="002323CF">
      <w:pPr>
        <w:spacing w:before="0"/>
      </w:pPr>
      <w:r>
        <w:separator/>
      </w:r>
    </w:p>
  </w:footnote>
  <w:footnote w:type="continuationSeparator" w:id="0">
    <w:p w14:paraId="7DFE6064" w14:textId="77777777" w:rsidR="002323CF" w:rsidRDefault="002323CF">
      <w:pPr>
        <w:spacing w:before="0"/>
      </w:pPr>
      <w:r>
        <w:continuationSeparator/>
      </w:r>
    </w:p>
  </w:footnote>
  <w:footnote w:type="continuationNotice" w:id="1">
    <w:p w14:paraId="75869C90" w14:textId="77777777" w:rsidR="002323CF" w:rsidRDefault="002323C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366F" w14:textId="516D1162" w:rsidR="00FA46A0" w:rsidRDefault="00CE339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1466F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  <w:t>TSB Circular</w:t>
    </w:r>
    <w:r w:rsidR="00EE41D7">
      <w:rPr>
        <w:noProof/>
      </w:rPr>
      <w:t xml:space="preserve"> 1</w:t>
    </w:r>
    <w:r w:rsidR="00B06B4A">
      <w:rPr>
        <w:noProof/>
      </w:rPr>
      <w:t>33</w:t>
    </w:r>
  </w:p>
  <w:p w14:paraId="6E5310CB" w14:textId="77777777" w:rsidR="00FA46A0" w:rsidRDefault="00535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AF1"/>
    <w:multiLevelType w:val="hybridMultilevel"/>
    <w:tmpl w:val="8272C126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8FE"/>
    <w:multiLevelType w:val="hybridMultilevel"/>
    <w:tmpl w:val="1CE27818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67E"/>
    <w:multiLevelType w:val="hybridMultilevel"/>
    <w:tmpl w:val="ECBA4B80"/>
    <w:lvl w:ilvl="0" w:tplc="85F0D74A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981E97"/>
    <w:multiLevelType w:val="hybridMultilevel"/>
    <w:tmpl w:val="3DB4AE0A"/>
    <w:lvl w:ilvl="0" w:tplc="97FAE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8176">
    <w:abstractNumId w:val="3"/>
  </w:num>
  <w:num w:numId="2" w16cid:durableId="997533295">
    <w:abstractNumId w:val="4"/>
  </w:num>
  <w:num w:numId="3" w16cid:durableId="703091069">
    <w:abstractNumId w:val="1"/>
  </w:num>
  <w:num w:numId="4" w16cid:durableId="331760602">
    <w:abstractNumId w:val="2"/>
  </w:num>
  <w:num w:numId="5" w16cid:durableId="25316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zQwNjS0MDA2NrNQ0lEKTi0uzszPAykwrAUA6sWOwSwAAAA="/>
  </w:docVars>
  <w:rsids>
    <w:rsidRoot w:val="00A27839"/>
    <w:rsid w:val="0000382D"/>
    <w:rsid w:val="00040CA5"/>
    <w:rsid w:val="00081064"/>
    <w:rsid w:val="00092867"/>
    <w:rsid w:val="000D0825"/>
    <w:rsid w:val="0010364E"/>
    <w:rsid w:val="0011584E"/>
    <w:rsid w:val="00136E73"/>
    <w:rsid w:val="001415AC"/>
    <w:rsid w:val="00180F8A"/>
    <w:rsid w:val="00183D40"/>
    <w:rsid w:val="001A0FE6"/>
    <w:rsid w:val="001C1F97"/>
    <w:rsid w:val="001C7F55"/>
    <w:rsid w:val="001E74C1"/>
    <w:rsid w:val="001F6A30"/>
    <w:rsid w:val="00217A39"/>
    <w:rsid w:val="00226C92"/>
    <w:rsid w:val="002323CF"/>
    <w:rsid w:val="002527F0"/>
    <w:rsid w:val="00256879"/>
    <w:rsid w:val="002569A8"/>
    <w:rsid w:val="00286EFB"/>
    <w:rsid w:val="0029338C"/>
    <w:rsid w:val="002A076D"/>
    <w:rsid w:val="002A5214"/>
    <w:rsid w:val="002C1E60"/>
    <w:rsid w:val="002D46F1"/>
    <w:rsid w:val="002D6AAE"/>
    <w:rsid w:val="0030772A"/>
    <w:rsid w:val="003132DD"/>
    <w:rsid w:val="003312CC"/>
    <w:rsid w:val="00344E1C"/>
    <w:rsid w:val="003A20E9"/>
    <w:rsid w:val="003B7FD4"/>
    <w:rsid w:val="003D0AC6"/>
    <w:rsid w:val="003D5E87"/>
    <w:rsid w:val="003F67BE"/>
    <w:rsid w:val="004003B2"/>
    <w:rsid w:val="004102C5"/>
    <w:rsid w:val="00426031"/>
    <w:rsid w:val="00432197"/>
    <w:rsid w:val="004528F2"/>
    <w:rsid w:val="00482B9A"/>
    <w:rsid w:val="0049137E"/>
    <w:rsid w:val="004C277A"/>
    <w:rsid w:val="004C3C0B"/>
    <w:rsid w:val="0053097D"/>
    <w:rsid w:val="00535010"/>
    <w:rsid w:val="005528B1"/>
    <w:rsid w:val="005612F3"/>
    <w:rsid w:val="005850D9"/>
    <w:rsid w:val="005A694A"/>
    <w:rsid w:val="00607FC7"/>
    <w:rsid w:val="00611889"/>
    <w:rsid w:val="006377FC"/>
    <w:rsid w:val="00646791"/>
    <w:rsid w:val="00654577"/>
    <w:rsid w:val="00654FB9"/>
    <w:rsid w:val="006764F9"/>
    <w:rsid w:val="00687F9B"/>
    <w:rsid w:val="00697100"/>
    <w:rsid w:val="006A04E7"/>
    <w:rsid w:val="006A780C"/>
    <w:rsid w:val="006C65B3"/>
    <w:rsid w:val="006C681C"/>
    <w:rsid w:val="006E4624"/>
    <w:rsid w:val="006F4D41"/>
    <w:rsid w:val="00702A50"/>
    <w:rsid w:val="0071466F"/>
    <w:rsid w:val="007261B9"/>
    <w:rsid w:val="007316DD"/>
    <w:rsid w:val="007465DF"/>
    <w:rsid w:val="00770E88"/>
    <w:rsid w:val="007E6F4B"/>
    <w:rsid w:val="007F3846"/>
    <w:rsid w:val="008062F0"/>
    <w:rsid w:val="008073D9"/>
    <w:rsid w:val="0081325A"/>
    <w:rsid w:val="00822242"/>
    <w:rsid w:val="00826359"/>
    <w:rsid w:val="008516FD"/>
    <w:rsid w:val="00872583"/>
    <w:rsid w:val="008A6F4D"/>
    <w:rsid w:val="008D005D"/>
    <w:rsid w:val="0091067E"/>
    <w:rsid w:val="00916950"/>
    <w:rsid w:val="00982881"/>
    <w:rsid w:val="00983C16"/>
    <w:rsid w:val="00991C6A"/>
    <w:rsid w:val="00996ED4"/>
    <w:rsid w:val="009F7995"/>
    <w:rsid w:val="00A2119E"/>
    <w:rsid w:val="00A27839"/>
    <w:rsid w:val="00A34082"/>
    <w:rsid w:val="00A66D78"/>
    <w:rsid w:val="00A76327"/>
    <w:rsid w:val="00A83E73"/>
    <w:rsid w:val="00A84949"/>
    <w:rsid w:val="00A86EC9"/>
    <w:rsid w:val="00AE5CFF"/>
    <w:rsid w:val="00AF3756"/>
    <w:rsid w:val="00AF39EC"/>
    <w:rsid w:val="00B02826"/>
    <w:rsid w:val="00B05439"/>
    <w:rsid w:val="00B06B4A"/>
    <w:rsid w:val="00B23A24"/>
    <w:rsid w:val="00B341C1"/>
    <w:rsid w:val="00B35316"/>
    <w:rsid w:val="00B35435"/>
    <w:rsid w:val="00B419D3"/>
    <w:rsid w:val="00B44098"/>
    <w:rsid w:val="00B863EE"/>
    <w:rsid w:val="00B97B87"/>
    <w:rsid w:val="00BD0F01"/>
    <w:rsid w:val="00BE082D"/>
    <w:rsid w:val="00C03269"/>
    <w:rsid w:val="00C131EE"/>
    <w:rsid w:val="00C227FD"/>
    <w:rsid w:val="00C31176"/>
    <w:rsid w:val="00C43EB2"/>
    <w:rsid w:val="00C773C4"/>
    <w:rsid w:val="00CB0059"/>
    <w:rsid w:val="00CC7BFD"/>
    <w:rsid w:val="00CE3398"/>
    <w:rsid w:val="00D01E3E"/>
    <w:rsid w:val="00D1059B"/>
    <w:rsid w:val="00D51A51"/>
    <w:rsid w:val="00D76954"/>
    <w:rsid w:val="00D9411D"/>
    <w:rsid w:val="00DA7E54"/>
    <w:rsid w:val="00DB4C01"/>
    <w:rsid w:val="00DC16F2"/>
    <w:rsid w:val="00DD386E"/>
    <w:rsid w:val="00DF7403"/>
    <w:rsid w:val="00E026FF"/>
    <w:rsid w:val="00E035B9"/>
    <w:rsid w:val="00E052DB"/>
    <w:rsid w:val="00E063D6"/>
    <w:rsid w:val="00E82B9C"/>
    <w:rsid w:val="00EB0408"/>
    <w:rsid w:val="00EB2858"/>
    <w:rsid w:val="00EC078E"/>
    <w:rsid w:val="00EE41D7"/>
    <w:rsid w:val="00EF1E7C"/>
    <w:rsid w:val="00F3215D"/>
    <w:rsid w:val="00F32C84"/>
    <w:rsid w:val="00F346E9"/>
    <w:rsid w:val="00F37275"/>
    <w:rsid w:val="00F70312"/>
    <w:rsid w:val="00F94093"/>
    <w:rsid w:val="00FB68A0"/>
    <w:rsid w:val="00FC45A3"/>
    <w:rsid w:val="00FC47AB"/>
    <w:rsid w:val="00FC61DC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34C8"/>
  <w15:docId w15:val="{7162C953-8693-41BE-8222-99D6B3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A27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Footer">
    <w:name w:val="footer"/>
    <w:basedOn w:val="Normal"/>
    <w:link w:val="FooterChar"/>
    <w:rsid w:val="00A2783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27839"/>
    <w:rPr>
      <w:rFonts w:ascii="Calibri" w:hAnsi="Calibri" w:cs="Times New Roman"/>
      <w:caps/>
      <w:noProof/>
      <w:kern w:val="0"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A2783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27839"/>
    <w:rPr>
      <w:rFonts w:ascii="Calibri" w:hAnsi="Calibri" w:cs="Times New Roman"/>
      <w:kern w:val="0"/>
      <w:sz w:val="18"/>
      <w:szCs w:val="20"/>
      <w:lang w:val="en-GB" w:eastAsia="en-US"/>
    </w:rPr>
  </w:style>
  <w:style w:type="character" w:styleId="Hyperlink">
    <w:name w:val="Hyperlink"/>
    <w:aliases w:val="超级链接,Style 58,超????,超?级链,하이퍼링크2"/>
    <w:uiPriority w:val="99"/>
    <w:rsid w:val="00A278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408"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E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46E9"/>
    <w:rPr>
      <w:rFonts w:ascii="Calibri" w:hAnsi="Calibri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9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9"/>
    <w:rPr>
      <w:rFonts w:ascii="Calibri" w:hAnsi="Calibri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C"/>
    <w:rPr>
      <w:rFonts w:ascii="Tahoma" w:hAnsi="Tahoma" w:cs="Tahoma"/>
      <w:kern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408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D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23/09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action/environment-and-climate-change/Documents/publications/2023/Scope-3-Guidance-2023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zoom.us/webinar/register/WN_2VW3CXrSTRWtjE0FRdIbX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D31C7D-8853-AC42-AA09-0D0B74A0F835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5" ma:contentTypeDescription="Create a new document." ma:contentTypeScope="" ma:versionID="e736715d20ba77032c81a1c8dc61a466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5f9d047324df5addc71ae2703891792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  <SharedWithUsers xmlns="b4ecfbc6-16ba-4348-96d4-7b09f2f75cd9">
      <UserInfo>
        <DisplayName>Ubeda, Reyna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716B6E-DF08-4D46-8E63-BA72D2A0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944BF-4897-4C43-AA15-482917895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E710A-3737-472C-A57F-BA09CF854622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Zihao Qi</dc:creator>
  <cp:lastModifiedBy>Braud, Olivia</cp:lastModifiedBy>
  <cp:revision>14</cp:revision>
  <cp:lastPrinted>2023-08-21T09:22:00Z</cp:lastPrinted>
  <dcterms:created xsi:type="dcterms:W3CDTF">2023-08-18T14:19:00Z</dcterms:created>
  <dcterms:modified xsi:type="dcterms:W3CDTF">2023-08-21T09:22:00Z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  <property fmtid="{D5CDD505-2E9C-101B-9397-08002B2CF9AE}" pid="4" name="grammarly_documentId">
    <vt:lpwstr>documentId_3863</vt:lpwstr>
  </property>
  <property fmtid="{D5CDD505-2E9C-101B-9397-08002B2CF9AE}" pid="5" name="grammarly_documentContext">
    <vt:lpwstr>{"goals":[],"domain":"general","emotions":[],"dialect":"british"}</vt:lpwstr>
  </property>
</Properties>
</file>