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CA73ED" w14:paraId="08F435E8" w14:textId="77777777" w:rsidTr="007B6316">
        <w:trPr>
          <w:cantSplit/>
          <w:trHeight w:val="340"/>
        </w:trPr>
        <w:tc>
          <w:tcPr>
            <w:tcW w:w="1410" w:type="dxa"/>
            <w:gridSpan w:val="2"/>
          </w:tcPr>
          <w:p w14:paraId="68D14AA4" w14:textId="77777777" w:rsidR="007B6316" w:rsidRPr="00CA73ED" w:rsidRDefault="007B6316" w:rsidP="00303D62">
            <w:pPr>
              <w:tabs>
                <w:tab w:val="left" w:pos="4111"/>
              </w:tabs>
              <w:spacing w:before="10"/>
              <w:ind w:left="57"/>
              <w:rPr>
                <w:sz w:val="22"/>
              </w:rPr>
            </w:pPr>
            <w:r w:rsidRPr="00CA73ED">
              <w:rPr>
                <w:noProof/>
                <w:lang w:val="en-ZW" w:eastAsia="en-ZW"/>
              </w:rPr>
              <w:drawing>
                <wp:inline distT="0" distB="0" distL="0" distR="0" wp14:anchorId="2DFFAC2D" wp14:editId="447CF86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02970FC" w14:textId="77777777" w:rsidR="007B6316" w:rsidRPr="00CA73ED" w:rsidRDefault="007B6316" w:rsidP="007B6316">
            <w:pPr>
              <w:spacing w:before="0"/>
              <w:rPr>
                <w:rFonts w:cs="Times New Roman Bold"/>
                <w:b/>
                <w:bCs/>
                <w:smallCaps/>
                <w:sz w:val="26"/>
                <w:szCs w:val="26"/>
              </w:rPr>
            </w:pPr>
            <w:r w:rsidRPr="00CA73ED">
              <w:rPr>
                <w:rFonts w:cs="Times New Roman Bold"/>
                <w:b/>
                <w:bCs/>
                <w:smallCaps/>
                <w:sz w:val="36"/>
                <w:szCs w:val="36"/>
              </w:rPr>
              <w:t>Unión Internacional de Telecomunicaciones</w:t>
            </w:r>
          </w:p>
          <w:p w14:paraId="10E0539C" w14:textId="77777777" w:rsidR="007B6316" w:rsidRPr="00CA73ED" w:rsidRDefault="007B6316" w:rsidP="007B6316">
            <w:pPr>
              <w:spacing w:before="0"/>
            </w:pPr>
            <w:r w:rsidRPr="00CA73ED">
              <w:rPr>
                <w:rFonts w:cs="Times New Roman Bold"/>
                <w:b/>
                <w:bCs/>
                <w:smallCaps/>
                <w:sz w:val="28"/>
                <w:szCs w:val="28"/>
              </w:rPr>
              <w:t>Oficina</w:t>
            </w:r>
            <w:r w:rsidRPr="00CA73ED">
              <w:rPr>
                <w:rFonts w:cs="Times New Roman Bold"/>
                <w:b/>
                <w:bCs/>
                <w:iCs/>
                <w:smallCaps/>
                <w:sz w:val="22"/>
                <w:szCs w:val="22"/>
              </w:rPr>
              <w:t xml:space="preserve"> </w:t>
            </w:r>
            <w:r w:rsidRPr="00CA73ED">
              <w:rPr>
                <w:rFonts w:cs="Times New Roman Bold"/>
                <w:b/>
                <w:bCs/>
                <w:iCs/>
                <w:smallCaps/>
                <w:sz w:val="28"/>
                <w:szCs w:val="28"/>
              </w:rPr>
              <w:t>de Normalización de las Telecomunicaciones</w:t>
            </w:r>
          </w:p>
        </w:tc>
      </w:tr>
      <w:tr w:rsidR="007B6316" w:rsidRPr="00A30980" w14:paraId="6B49FEE4" w14:textId="77777777" w:rsidTr="00400ED8">
        <w:trPr>
          <w:cantSplit/>
          <w:trHeight w:val="340"/>
        </w:trPr>
        <w:tc>
          <w:tcPr>
            <w:tcW w:w="1126" w:type="dxa"/>
          </w:tcPr>
          <w:p w14:paraId="1BC4BB88" w14:textId="77777777" w:rsidR="007B6316" w:rsidRPr="00A30980" w:rsidRDefault="007B6316" w:rsidP="00303D62">
            <w:pPr>
              <w:tabs>
                <w:tab w:val="left" w:pos="4111"/>
              </w:tabs>
              <w:spacing w:before="10"/>
              <w:ind w:left="57"/>
              <w:rPr>
                <w:b/>
                <w:bCs/>
                <w:sz w:val="22"/>
                <w:szCs w:val="22"/>
              </w:rPr>
            </w:pPr>
          </w:p>
        </w:tc>
        <w:tc>
          <w:tcPr>
            <w:tcW w:w="3751" w:type="dxa"/>
            <w:gridSpan w:val="2"/>
          </w:tcPr>
          <w:p w14:paraId="655B175D" w14:textId="77777777" w:rsidR="007B6316" w:rsidRPr="00A30980" w:rsidRDefault="007B6316" w:rsidP="00303D62">
            <w:pPr>
              <w:tabs>
                <w:tab w:val="left" w:pos="4111"/>
              </w:tabs>
              <w:spacing w:before="0"/>
              <w:ind w:left="57"/>
              <w:rPr>
                <w:b/>
                <w:sz w:val="22"/>
                <w:szCs w:val="22"/>
              </w:rPr>
            </w:pPr>
          </w:p>
        </w:tc>
        <w:tc>
          <w:tcPr>
            <w:tcW w:w="5329" w:type="dxa"/>
          </w:tcPr>
          <w:p w14:paraId="729C2525" w14:textId="17072A4F" w:rsidR="007B6316" w:rsidRPr="00A30980" w:rsidRDefault="007B6316" w:rsidP="007B6316">
            <w:pPr>
              <w:tabs>
                <w:tab w:val="clear" w:pos="794"/>
                <w:tab w:val="clear" w:pos="1191"/>
                <w:tab w:val="clear" w:pos="1588"/>
                <w:tab w:val="clear" w:pos="1985"/>
                <w:tab w:val="left" w:pos="284"/>
              </w:tabs>
              <w:spacing w:after="120"/>
              <w:ind w:left="284" w:hanging="227"/>
              <w:rPr>
                <w:sz w:val="22"/>
                <w:szCs w:val="22"/>
              </w:rPr>
            </w:pPr>
            <w:r w:rsidRPr="00A30980">
              <w:rPr>
                <w:sz w:val="22"/>
                <w:szCs w:val="22"/>
              </w:rPr>
              <w:t>Ginebra,</w:t>
            </w:r>
            <w:r w:rsidR="005E6ED1" w:rsidRPr="00A30980">
              <w:rPr>
                <w:sz w:val="22"/>
                <w:szCs w:val="22"/>
              </w:rPr>
              <w:t xml:space="preserve"> 5 de septiembre de 2023</w:t>
            </w:r>
          </w:p>
        </w:tc>
      </w:tr>
      <w:tr w:rsidR="005E6ED1" w:rsidRPr="00A30980" w14:paraId="756ACBEA" w14:textId="77777777" w:rsidTr="00400ED8">
        <w:trPr>
          <w:cantSplit/>
          <w:trHeight w:val="340"/>
        </w:trPr>
        <w:tc>
          <w:tcPr>
            <w:tcW w:w="1126" w:type="dxa"/>
          </w:tcPr>
          <w:p w14:paraId="10C453D0" w14:textId="77777777" w:rsidR="005E6ED1" w:rsidRPr="00A30980" w:rsidRDefault="005E6ED1" w:rsidP="005E6ED1">
            <w:pPr>
              <w:tabs>
                <w:tab w:val="left" w:pos="4111"/>
              </w:tabs>
              <w:spacing w:before="10"/>
              <w:ind w:left="57"/>
              <w:rPr>
                <w:b/>
                <w:bCs/>
                <w:sz w:val="22"/>
                <w:szCs w:val="22"/>
              </w:rPr>
            </w:pPr>
            <w:r w:rsidRPr="00A30980">
              <w:rPr>
                <w:b/>
                <w:bCs/>
                <w:sz w:val="22"/>
                <w:szCs w:val="22"/>
              </w:rPr>
              <w:t>Ref.:</w:t>
            </w:r>
          </w:p>
          <w:p w14:paraId="124F7C81" w14:textId="77777777" w:rsidR="005E6ED1" w:rsidRPr="00A30980" w:rsidRDefault="005E6ED1" w:rsidP="005E6ED1">
            <w:pPr>
              <w:tabs>
                <w:tab w:val="left" w:pos="4111"/>
              </w:tabs>
              <w:spacing w:before="10"/>
              <w:ind w:left="57"/>
              <w:rPr>
                <w:b/>
                <w:bCs/>
                <w:sz w:val="22"/>
                <w:szCs w:val="22"/>
              </w:rPr>
            </w:pPr>
          </w:p>
          <w:p w14:paraId="56D00417" w14:textId="06CDAC9F" w:rsidR="005E6ED1" w:rsidRPr="00A30980" w:rsidRDefault="005E6ED1" w:rsidP="005E6ED1">
            <w:pPr>
              <w:tabs>
                <w:tab w:val="left" w:pos="4111"/>
              </w:tabs>
              <w:spacing w:before="10"/>
              <w:ind w:left="57"/>
              <w:rPr>
                <w:b/>
                <w:bCs/>
                <w:sz w:val="22"/>
                <w:szCs w:val="22"/>
              </w:rPr>
            </w:pPr>
            <w:r w:rsidRPr="00A30980">
              <w:rPr>
                <w:b/>
                <w:bCs/>
                <w:sz w:val="22"/>
                <w:szCs w:val="22"/>
              </w:rPr>
              <w:t>Contacto</w:t>
            </w:r>
          </w:p>
        </w:tc>
        <w:tc>
          <w:tcPr>
            <w:tcW w:w="3751" w:type="dxa"/>
            <w:gridSpan w:val="2"/>
          </w:tcPr>
          <w:p w14:paraId="0539C2AC" w14:textId="62B0D607" w:rsidR="005E6ED1" w:rsidRPr="00A30980" w:rsidRDefault="005E6ED1" w:rsidP="00400ED8">
            <w:pPr>
              <w:tabs>
                <w:tab w:val="left" w:pos="4111"/>
              </w:tabs>
              <w:spacing w:before="10"/>
              <w:ind w:left="57"/>
              <w:rPr>
                <w:b/>
                <w:sz w:val="22"/>
                <w:szCs w:val="22"/>
              </w:rPr>
            </w:pPr>
            <w:r w:rsidRPr="00A30980">
              <w:rPr>
                <w:b/>
                <w:sz w:val="22"/>
                <w:szCs w:val="22"/>
              </w:rPr>
              <w:t>Circular TSB 135</w:t>
            </w:r>
          </w:p>
          <w:p w14:paraId="13EDEB92" w14:textId="541A08A6" w:rsidR="005E6ED1" w:rsidRPr="00A30980" w:rsidRDefault="005E6ED1" w:rsidP="00400ED8">
            <w:pPr>
              <w:tabs>
                <w:tab w:val="left" w:pos="4111"/>
              </w:tabs>
              <w:spacing w:before="10"/>
              <w:ind w:left="57"/>
              <w:rPr>
                <w:b/>
                <w:bCs/>
                <w:sz w:val="22"/>
                <w:szCs w:val="22"/>
              </w:rPr>
            </w:pPr>
            <w:r w:rsidRPr="00A30980">
              <w:rPr>
                <w:b/>
                <w:bCs/>
                <w:sz w:val="22"/>
                <w:szCs w:val="22"/>
              </w:rPr>
              <w:t>TSB Events/SC</w:t>
            </w:r>
          </w:p>
          <w:p w14:paraId="29730486" w14:textId="73E3C41C" w:rsidR="005E6ED1" w:rsidRPr="00A30980" w:rsidRDefault="005E6ED1" w:rsidP="00400ED8">
            <w:pPr>
              <w:tabs>
                <w:tab w:val="left" w:pos="4111"/>
              </w:tabs>
              <w:spacing w:before="10"/>
              <w:ind w:left="57"/>
              <w:rPr>
                <w:sz w:val="22"/>
                <w:szCs w:val="22"/>
              </w:rPr>
            </w:pPr>
            <w:r w:rsidRPr="00A30980">
              <w:rPr>
                <w:sz w:val="22"/>
                <w:szCs w:val="22"/>
              </w:rPr>
              <w:t>Simao Campos</w:t>
            </w:r>
          </w:p>
        </w:tc>
        <w:tc>
          <w:tcPr>
            <w:tcW w:w="5329" w:type="dxa"/>
            <w:vMerge w:val="restart"/>
          </w:tcPr>
          <w:p w14:paraId="079B456E" w14:textId="77777777" w:rsidR="005E6ED1" w:rsidRPr="00A30980" w:rsidRDefault="005E6ED1" w:rsidP="005E6ED1">
            <w:pPr>
              <w:tabs>
                <w:tab w:val="clear" w:pos="794"/>
                <w:tab w:val="clear" w:pos="1191"/>
                <w:tab w:val="clear" w:pos="1588"/>
                <w:tab w:val="clear" w:pos="1985"/>
              </w:tabs>
              <w:spacing w:before="40" w:after="40"/>
              <w:ind w:left="504" w:hanging="391"/>
              <w:jc w:val="both"/>
              <w:rPr>
                <w:rFonts w:cs="Calibri"/>
                <w:sz w:val="22"/>
                <w:szCs w:val="22"/>
              </w:rPr>
            </w:pPr>
            <w:bookmarkStart w:id="0" w:name="Addressee_S"/>
            <w:bookmarkEnd w:id="0"/>
            <w:r w:rsidRPr="00A30980">
              <w:rPr>
                <w:rFonts w:cs="Calibri"/>
                <w:b/>
                <w:sz w:val="22"/>
                <w:szCs w:val="22"/>
              </w:rPr>
              <w:t>A:</w:t>
            </w:r>
          </w:p>
          <w:p w14:paraId="6AC34382" w14:textId="77777777" w:rsidR="005E6ED1" w:rsidRPr="00A30980" w:rsidRDefault="005E6ED1" w:rsidP="005E6ED1">
            <w:pPr>
              <w:tabs>
                <w:tab w:val="clear" w:pos="794"/>
                <w:tab w:val="clear" w:pos="1191"/>
                <w:tab w:val="clear" w:pos="1588"/>
                <w:tab w:val="clear" w:pos="1985"/>
              </w:tabs>
              <w:spacing w:before="40" w:after="40"/>
              <w:ind w:left="504" w:hanging="391"/>
              <w:rPr>
                <w:rFonts w:cs="Calibri"/>
                <w:sz w:val="22"/>
                <w:szCs w:val="22"/>
              </w:rPr>
            </w:pPr>
            <w:r w:rsidRPr="00A30980">
              <w:rPr>
                <w:rFonts w:cs="Calibri"/>
                <w:sz w:val="22"/>
                <w:szCs w:val="22"/>
              </w:rPr>
              <w:t>-</w:t>
            </w:r>
            <w:r w:rsidRPr="00A30980">
              <w:rPr>
                <w:rFonts w:cs="Calibri"/>
                <w:sz w:val="22"/>
                <w:szCs w:val="22"/>
              </w:rPr>
              <w:tab/>
            </w:r>
            <w:r w:rsidRPr="00A30980">
              <w:rPr>
                <w:sz w:val="22"/>
                <w:szCs w:val="22"/>
              </w:rPr>
              <w:t>las Administraciones de los Estados Miembros de la Unión;</w:t>
            </w:r>
          </w:p>
          <w:p w14:paraId="6001B50E" w14:textId="77777777" w:rsidR="005E6ED1" w:rsidRPr="00A30980" w:rsidRDefault="005E6ED1" w:rsidP="005E6ED1">
            <w:pPr>
              <w:tabs>
                <w:tab w:val="clear" w:pos="794"/>
                <w:tab w:val="clear" w:pos="1191"/>
                <w:tab w:val="clear" w:pos="1588"/>
                <w:tab w:val="clear" w:pos="1985"/>
              </w:tabs>
              <w:spacing w:before="40" w:after="40"/>
              <w:ind w:left="504" w:hanging="391"/>
              <w:rPr>
                <w:rFonts w:cs="Calibri"/>
                <w:sz w:val="22"/>
                <w:szCs w:val="22"/>
              </w:rPr>
            </w:pPr>
            <w:r w:rsidRPr="00A30980">
              <w:rPr>
                <w:rFonts w:cs="Calibri"/>
                <w:sz w:val="22"/>
                <w:szCs w:val="22"/>
              </w:rPr>
              <w:t>-</w:t>
            </w:r>
            <w:r w:rsidRPr="00A30980">
              <w:rPr>
                <w:rFonts w:cs="Calibri"/>
                <w:sz w:val="22"/>
                <w:szCs w:val="22"/>
              </w:rPr>
              <w:tab/>
            </w:r>
            <w:r w:rsidRPr="00A30980">
              <w:rPr>
                <w:sz w:val="22"/>
                <w:szCs w:val="22"/>
              </w:rPr>
              <w:t>los Miembros de Sector del UIT-T;</w:t>
            </w:r>
          </w:p>
          <w:p w14:paraId="3C8BCA54" w14:textId="77777777" w:rsidR="005E6ED1" w:rsidRPr="00A30980" w:rsidRDefault="005E6ED1" w:rsidP="005E6ED1">
            <w:pPr>
              <w:tabs>
                <w:tab w:val="clear" w:pos="794"/>
                <w:tab w:val="clear" w:pos="1191"/>
                <w:tab w:val="clear" w:pos="1588"/>
                <w:tab w:val="clear" w:pos="1985"/>
              </w:tabs>
              <w:spacing w:before="40" w:after="40"/>
              <w:ind w:left="504" w:hanging="391"/>
              <w:rPr>
                <w:rFonts w:cs="Calibri"/>
                <w:sz w:val="22"/>
                <w:szCs w:val="22"/>
              </w:rPr>
            </w:pPr>
            <w:r w:rsidRPr="00A30980">
              <w:rPr>
                <w:rFonts w:cs="Calibri"/>
                <w:sz w:val="22"/>
                <w:szCs w:val="22"/>
              </w:rPr>
              <w:t>-</w:t>
            </w:r>
            <w:r w:rsidRPr="00A30980">
              <w:rPr>
                <w:rFonts w:cs="Calibri"/>
                <w:sz w:val="22"/>
                <w:szCs w:val="22"/>
              </w:rPr>
              <w:tab/>
              <w:t>los Asociados del UIT-T;</w:t>
            </w:r>
          </w:p>
          <w:p w14:paraId="4B221A0C" w14:textId="77777777" w:rsidR="005E6ED1" w:rsidRPr="00A30980" w:rsidRDefault="005E6ED1" w:rsidP="00400ED8">
            <w:pPr>
              <w:pStyle w:val="Tabletext0"/>
              <w:tabs>
                <w:tab w:val="clear" w:pos="284"/>
              </w:tabs>
              <w:spacing w:before="0" w:after="0"/>
              <w:ind w:left="504" w:hanging="391"/>
              <w:rPr>
                <w:szCs w:val="22"/>
              </w:rPr>
            </w:pPr>
            <w:r w:rsidRPr="00A30980">
              <w:rPr>
                <w:rFonts w:cs="Calibri"/>
                <w:szCs w:val="22"/>
              </w:rPr>
              <w:t>-</w:t>
            </w:r>
            <w:r w:rsidRPr="00A30980">
              <w:rPr>
                <w:rFonts w:cs="Calibri"/>
                <w:szCs w:val="22"/>
              </w:rPr>
              <w:tab/>
            </w:r>
            <w:r w:rsidRPr="00A30980">
              <w:rPr>
                <w:szCs w:val="22"/>
              </w:rPr>
              <w:t>las Instituciones Académicas de la UIT;</w:t>
            </w:r>
          </w:p>
          <w:p w14:paraId="03C39831" w14:textId="77777777" w:rsidR="005E6ED1" w:rsidRPr="00A30980" w:rsidRDefault="005E6ED1" w:rsidP="005E6ED1">
            <w:pPr>
              <w:pStyle w:val="Tabletext0"/>
              <w:tabs>
                <w:tab w:val="clear" w:pos="284"/>
              </w:tabs>
              <w:ind w:left="504" w:hanging="391"/>
              <w:jc w:val="both"/>
              <w:rPr>
                <w:rFonts w:cs="Calibri"/>
                <w:szCs w:val="22"/>
              </w:rPr>
            </w:pPr>
            <w:r w:rsidRPr="00A30980">
              <w:rPr>
                <w:b/>
                <w:szCs w:val="22"/>
              </w:rPr>
              <w:t>Copia a</w:t>
            </w:r>
            <w:r w:rsidRPr="00A30980">
              <w:rPr>
                <w:rFonts w:cs="Calibri"/>
                <w:b/>
                <w:szCs w:val="22"/>
              </w:rPr>
              <w:t>:</w:t>
            </w:r>
          </w:p>
          <w:p w14:paraId="01B24993" w14:textId="77777777" w:rsidR="005E6ED1" w:rsidRPr="00A30980" w:rsidRDefault="005E6ED1" w:rsidP="005E6ED1">
            <w:pPr>
              <w:pStyle w:val="Tabletext0"/>
              <w:tabs>
                <w:tab w:val="clear" w:pos="284"/>
              </w:tabs>
              <w:ind w:left="504" w:hanging="391"/>
              <w:rPr>
                <w:rFonts w:cs="Calibri"/>
                <w:szCs w:val="22"/>
              </w:rPr>
            </w:pPr>
            <w:r w:rsidRPr="00A30980">
              <w:rPr>
                <w:rFonts w:cs="Calibri"/>
                <w:szCs w:val="22"/>
              </w:rPr>
              <w:t>-</w:t>
            </w:r>
            <w:r w:rsidRPr="00A30980">
              <w:rPr>
                <w:rFonts w:cs="Calibri"/>
                <w:szCs w:val="22"/>
              </w:rPr>
              <w:tab/>
            </w:r>
            <w:r w:rsidRPr="00A30980">
              <w:rPr>
                <w:szCs w:val="22"/>
              </w:rPr>
              <w:t>los Presidentes y Vicepresidentes de las Comisiones de Estudio</w:t>
            </w:r>
            <w:r w:rsidRPr="00A30980">
              <w:rPr>
                <w:rFonts w:cs="Calibri"/>
                <w:szCs w:val="22"/>
              </w:rPr>
              <w:t>;</w:t>
            </w:r>
          </w:p>
          <w:p w14:paraId="2FBD419A" w14:textId="77777777" w:rsidR="005E6ED1" w:rsidRPr="00A30980" w:rsidRDefault="005E6ED1" w:rsidP="005E6ED1">
            <w:pPr>
              <w:pStyle w:val="Tabletext0"/>
              <w:tabs>
                <w:tab w:val="clear" w:pos="284"/>
              </w:tabs>
              <w:spacing w:before="0" w:after="0"/>
              <w:ind w:left="504" w:hanging="391"/>
              <w:rPr>
                <w:szCs w:val="22"/>
              </w:rPr>
            </w:pPr>
            <w:r w:rsidRPr="00A30980">
              <w:rPr>
                <w:rFonts w:cs="Calibri"/>
                <w:szCs w:val="22"/>
              </w:rPr>
              <w:t>-</w:t>
            </w:r>
            <w:r w:rsidRPr="00A30980">
              <w:rPr>
                <w:rFonts w:cs="Calibri"/>
                <w:szCs w:val="22"/>
              </w:rPr>
              <w:tab/>
            </w:r>
            <w:r w:rsidRPr="00A30980">
              <w:rPr>
                <w:szCs w:val="22"/>
              </w:rPr>
              <w:t>el Director de la Oficina de Desarrollo de las Telecomunicaciones;</w:t>
            </w:r>
          </w:p>
          <w:p w14:paraId="3C110E9F" w14:textId="0A8A8971" w:rsidR="005E6ED1" w:rsidRPr="00A30980" w:rsidRDefault="005E6ED1" w:rsidP="00400ED8">
            <w:pPr>
              <w:pStyle w:val="Tabletext0"/>
              <w:tabs>
                <w:tab w:val="clear" w:pos="284"/>
              </w:tabs>
              <w:spacing w:before="0" w:after="0"/>
              <w:ind w:left="504" w:hanging="391"/>
              <w:rPr>
                <w:szCs w:val="22"/>
              </w:rPr>
            </w:pPr>
            <w:r w:rsidRPr="00A30980">
              <w:rPr>
                <w:rFonts w:cs="Calibri"/>
                <w:szCs w:val="22"/>
              </w:rPr>
              <w:t>-</w:t>
            </w:r>
            <w:r w:rsidRPr="00A30980">
              <w:rPr>
                <w:rFonts w:cs="Calibri"/>
                <w:szCs w:val="22"/>
              </w:rPr>
              <w:tab/>
            </w:r>
            <w:r w:rsidRPr="00A30980">
              <w:rPr>
                <w:szCs w:val="22"/>
              </w:rPr>
              <w:t>el Director de la Oficina de Radiocomunicaciones.</w:t>
            </w:r>
          </w:p>
        </w:tc>
      </w:tr>
      <w:tr w:rsidR="005E6ED1" w:rsidRPr="00A30980" w14:paraId="6F74C145" w14:textId="77777777" w:rsidTr="00400ED8">
        <w:trPr>
          <w:cantSplit/>
        </w:trPr>
        <w:tc>
          <w:tcPr>
            <w:tcW w:w="1126" w:type="dxa"/>
          </w:tcPr>
          <w:p w14:paraId="1D1DCE44" w14:textId="77777777" w:rsidR="005E6ED1" w:rsidRPr="00A30980" w:rsidRDefault="005E6ED1" w:rsidP="005E6ED1">
            <w:pPr>
              <w:tabs>
                <w:tab w:val="left" w:pos="4111"/>
              </w:tabs>
              <w:spacing w:before="10"/>
              <w:ind w:left="57"/>
              <w:rPr>
                <w:b/>
                <w:bCs/>
                <w:sz w:val="22"/>
                <w:szCs w:val="22"/>
              </w:rPr>
            </w:pPr>
            <w:r w:rsidRPr="00A30980">
              <w:rPr>
                <w:b/>
                <w:bCs/>
                <w:sz w:val="22"/>
                <w:szCs w:val="22"/>
              </w:rPr>
              <w:t>Tel.:</w:t>
            </w:r>
          </w:p>
        </w:tc>
        <w:tc>
          <w:tcPr>
            <w:tcW w:w="3751" w:type="dxa"/>
            <w:gridSpan w:val="2"/>
          </w:tcPr>
          <w:p w14:paraId="1B7EBCBB" w14:textId="603009CD" w:rsidR="005E6ED1" w:rsidRPr="00A30980" w:rsidRDefault="005E6ED1" w:rsidP="005E6ED1">
            <w:pPr>
              <w:tabs>
                <w:tab w:val="left" w:pos="4111"/>
              </w:tabs>
              <w:spacing w:before="0"/>
              <w:ind w:left="57"/>
              <w:rPr>
                <w:rStyle w:val="Hyperlink"/>
                <w:sz w:val="22"/>
                <w:szCs w:val="22"/>
              </w:rPr>
            </w:pPr>
            <w:r w:rsidRPr="00A30980">
              <w:rPr>
                <w:sz w:val="22"/>
                <w:szCs w:val="22"/>
              </w:rPr>
              <w:t>+41 22 730</w:t>
            </w:r>
            <w:r w:rsidR="00400ED8" w:rsidRPr="00A30980">
              <w:rPr>
                <w:sz w:val="22"/>
                <w:szCs w:val="22"/>
              </w:rPr>
              <w:t xml:space="preserve"> 6805</w:t>
            </w:r>
          </w:p>
        </w:tc>
        <w:tc>
          <w:tcPr>
            <w:tcW w:w="5329" w:type="dxa"/>
            <w:vMerge/>
          </w:tcPr>
          <w:p w14:paraId="681B03FC" w14:textId="77777777" w:rsidR="005E6ED1" w:rsidRPr="00A30980" w:rsidRDefault="005E6ED1" w:rsidP="005E6ED1">
            <w:pPr>
              <w:tabs>
                <w:tab w:val="left" w:pos="226"/>
                <w:tab w:val="left" w:pos="510"/>
              </w:tabs>
              <w:spacing w:before="0"/>
              <w:ind w:left="226" w:hanging="169"/>
              <w:rPr>
                <w:b/>
                <w:sz w:val="22"/>
                <w:szCs w:val="22"/>
              </w:rPr>
            </w:pPr>
          </w:p>
        </w:tc>
      </w:tr>
      <w:tr w:rsidR="005E6ED1" w:rsidRPr="00A30980" w14:paraId="69AFCFA4" w14:textId="77777777" w:rsidTr="00400ED8">
        <w:trPr>
          <w:cantSplit/>
        </w:trPr>
        <w:tc>
          <w:tcPr>
            <w:tcW w:w="1126" w:type="dxa"/>
          </w:tcPr>
          <w:p w14:paraId="6D277564" w14:textId="77777777" w:rsidR="005E6ED1" w:rsidRPr="00A30980" w:rsidRDefault="005E6ED1" w:rsidP="005E6ED1">
            <w:pPr>
              <w:tabs>
                <w:tab w:val="left" w:pos="4111"/>
              </w:tabs>
              <w:spacing w:before="10"/>
              <w:ind w:left="57"/>
              <w:rPr>
                <w:b/>
                <w:bCs/>
                <w:sz w:val="22"/>
                <w:szCs w:val="22"/>
              </w:rPr>
            </w:pPr>
            <w:r w:rsidRPr="00A30980">
              <w:rPr>
                <w:b/>
                <w:bCs/>
                <w:sz w:val="22"/>
                <w:szCs w:val="22"/>
              </w:rPr>
              <w:t>Fax:</w:t>
            </w:r>
          </w:p>
        </w:tc>
        <w:tc>
          <w:tcPr>
            <w:tcW w:w="3751" w:type="dxa"/>
            <w:gridSpan w:val="2"/>
          </w:tcPr>
          <w:p w14:paraId="1DCF6AF3" w14:textId="77777777" w:rsidR="005E6ED1" w:rsidRPr="00A30980" w:rsidRDefault="005E6ED1" w:rsidP="005E6ED1">
            <w:pPr>
              <w:tabs>
                <w:tab w:val="left" w:pos="4111"/>
              </w:tabs>
              <w:spacing w:before="0"/>
              <w:ind w:left="57"/>
              <w:rPr>
                <w:rStyle w:val="Hyperlink"/>
                <w:sz w:val="22"/>
                <w:szCs w:val="22"/>
              </w:rPr>
            </w:pPr>
            <w:r w:rsidRPr="00A30980">
              <w:rPr>
                <w:sz w:val="22"/>
                <w:szCs w:val="22"/>
              </w:rPr>
              <w:t>+41 22 730 5853</w:t>
            </w:r>
          </w:p>
        </w:tc>
        <w:tc>
          <w:tcPr>
            <w:tcW w:w="5329" w:type="dxa"/>
            <w:vMerge/>
          </w:tcPr>
          <w:p w14:paraId="3946BC3A" w14:textId="77777777" w:rsidR="005E6ED1" w:rsidRPr="00A30980" w:rsidRDefault="005E6ED1" w:rsidP="005E6ED1">
            <w:pPr>
              <w:tabs>
                <w:tab w:val="left" w:pos="226"/>
                <w:tab w:val="left" w:pos="510"/>
              </w:tabs>
              <w:spacing w:before="0"/>
              <w:ind w:left="226" w:hanging="169"/>
              <w:rPr>
                <w:b/>
                <w:sz w:val="22"/>
                <w:szCs w:val="22"/>
              </w:rPr>
            </w:pPr>
          </w:p>
        </w:tc>
      </w:tr>
      <w:tr w:rsidR="005E6ED1" w:rsidRPr="00A30980" w14:paraId="4F08E721" w14:textId="77777777" w:rsidTr="003B6161">
        <w:trPr>
          <w:cantSplit/>
          <w:trHeight w:val="2340"/>
        </w:trPr>
        <w:tc>
          <w:tcPr>
            <w:tcW w:w="1126" w:type="dxa"/>
          </w:tcPr>
          <w:p w14:paraId="18BDA6DD" w14:textId="77777777" w:rsidR="005E6ED1" w:rsidRPr="00A30980" w:rsidRDefault="005E6ED1" w:rsidP="005E6ED1">
            <w:pPr>
              <w:tabs>
                <w:tab w:val="left" w:pos="4111"/>
              </w:tabs>
              <w:spacing w:before="10"/>
              <w:ind w:left="57"/>
              <w:rPr>
                <w:b/>
                <w:bCs/>
                <w:sz w:val="22"/>
                <w:szCs w:val="22"/>
              </w:rPr>
            </w:pPr>
            <w:r w:rsidRPr="00A30980">
              <w:rPr>
                <w:b/>
                <w:bCs/>
                <w:sz w:val="22"/>
                <w:szCs w:val="22"/>
              </w:rPr>
              <w:t>Correo-e:</w:t>
            </w:r>
          </w:p>
        </w:tc>
        <w:tc>
          <w:tcPr>
            <w:tcW w:w="3751" w:type="dxa"/>
            <w:gridSpan w:val="2"/>
          </w:tcPr>
          <w:p w14:paraId="3EB72F6C" w14:textId="1B55B37C" w:rsidR="005E6ED1" w:rsidRPr="00A30980" w:rsidRDefault="00C04269" w:rsidP="005E6ED1">
            <w:pPr>
              <w:tabs>
                <w:tab w:val="left" w:pos="4111"/>
              </w:tabs>
              <w:spacing w:before="0"/>
              <w:ind w:left="57"/>
              <w:rPr>
                <w:sz w:val="22"/>
                <w:szCs w:val="22"/>
              </w:rPr>
            </w:pPr>
            <w:hyperlink r:id="rId9" w:history="1">
              <w:r w:rsidR="005E6ED1" w:rsidRPr="00A30980">
                <w:rPr>
                  <w:rStyle w:val="Hyperlink"/>
                  <w:sz w:val="22"/>
                  <w:szCs w:val="22"/>
                </w:rPr>
                <w:t>tsbevents@itu.int</w:t>
              </w:r>
            </w:hyperlink>
          </w:p>
        </w:tc>
        <w:tc>
          <w:tcPr>
            <w:tcW w:w="5329" w:type="dxa"/>
            <w:vMerge/>
          </w:tcPr>
          <w:p w14:paraId="14A3127C" w14:textId="77777777" w:rsidR="005E6ED1" w:rsidRPr="00A30980" w:rsidRDefault="005E6ED1" w:rsidP="005E6ED1">
            <w:pPr>
              <w:tabs>
                <w:tab w:val="clear" w:pos="794"/>
                <w:tab w:val="clear" w:pos="1191"/>
                <w:tab w:val="clear" w:pos="1588"/>
                <w:tab w:val="clear" w:pos="1985"/>
                <w:tab w:val="left" w:pos="226"/>
                <w:tab w:val="left" w:pos="510"/>
              </w:tabs>
              <w:spacing w:before="0"/>
              <w:ind w:left="226" w:hanging="169"/>
              <w:rPr>
                <w:sz w:val="22"/>
                <w:szCs w:val="22"/>
              </w:rPr>
            </w:pPr>
          </w:p>
        </w:tc>
      </w:tr>
      <w:tr w:rsidR="005E6ED1" w:rsidRPr="00A30980" w14:paraId="1D3E2FFB" w14:textId="77777777" w:rsidTr="00400ED8">
        <w:trPr>
          <w:cantSplit/>
        </w:trPr>
        <w:tc>
          <w:tcPr>
            <w:tcW w:w="1126" w:type="dxa"/>
          </w:tcPr>
          <w:p w14:paraId="2397ACCA" w14:textId="55829A0D" w:rsidR="005E6ED1" w:rsidRPr="00A30980" w:rsidRDefault="00400ED8" w:rsidP="005E6ED1">
            <w:pPr>
              <w:tabs>
                <w:tab w:val="left" w:pos="4111"/>
              </w:tabs>
              <w:spacing w:before="10"/>
              <w:ind w:left="57"/>
              <w:rPr>
                <w:b/>
                <w:bCs/>
                <w:sz w:val="22"/>
                <w:szCs w:val="22"/>
              </w:rPr>
            </w:pPr>
            <w:r w:rsidRPr="00A30980">
              <w:rPr>
                <w:b/>
                <w:bCs/>
                <w:sz w:val="22"/>
                <w:szCs w:val="22"/>
              </w:rPr>
              <w:t>Asunto:</w:t>
            </w:r>
          </w:p>
        </w:tc>
        <w:tc>
          <w:tcPr>
            <w:tcW w:w="9080" w:type="dxa"/>
            <w:gridSpan w:val="3"/>
          </w:tcPr>
          <w:p w14:paraId="0CCC8605" w14:textId="2BA427C8" w:rsidR="005E6ED1" w:rsidRPr="00A30980" w:rsidRDefault="00400ED8" w:rsidP="005E6ED1">
            <w:pPr>
              <w:tabs>
                <w:tab w:val="left" w:pos="4111"/>
              </w:tabs>
              <w:spacing w:before="0"/>
              <w:rPr>
                <w:bCs/>
                <w:sz w:val="22"/>
                <w:szCs w:val="22"/>
              </w:rPr>
            </w:pPr>
            <w:r w:rsidRPr="00A30980">
              <w:rPr>
                <w:b/>
                <w:bCs/>
                <w:sz w:val="22"/>
                <w:szCs w:val="22"/>
              </w:rPr>
              <w:t xml:space="preserve">Taller conjunto UIT/OMS </w:t>
            </w:r>
            <w:r w:rsidR="00CA73ED" w:rsidRPr="00A30980">
              <w:rPr>
                <w:b/>
                <w:bCs/>
                <w:sz w:val="22"/>
                <w:szCs w:val="22"/>
              </w:rPr>
              <w:t>"</w:t>
            </w:r>
            <w:proofErr w:type="spellStart"/>
            <w:r w:rsidRPr="00A30980">
              <w:rPr>
                <w:b/>
                <w:bCs/>
                <w:sz w:val="22"/>
                <w:szCs w:val="22"/>
              </w:rPr>
              <w:t>Developing</w:t>
            </w:r>
            <w:proofErr w:type="spellEnd"/>
            <w:r w:rsidRPr="00A30980">
              <w:rPr>
                <w:b/>
                <w:bCs/>
                <w:sz w:val="22"/>
                <w:szCs w:val="22"/>
              </w:rPr>
              <w:t xml:space="preserve"> </w:t>
            </w:r>
            <w:proofErr w:type="spellStart"/>
            <w:r w:rsidRPr="00A30980">
              <w:rPr>
                <w:b/>
                <w:bCs/>
                <w:sz w:val="22"/>
                <w:szCs w:val="22"/>
              </w:rPr>
              <w:t>standards</w:t>
            </w:r>
            <w:proofErr w:type="spellEnd"/>
            <w:r w:rsidRPr="00A30980">
              <w:rPr>
                <w:b/>
                <w:bCs/>
                <w:sz w:val="22"/>
                <w:szCs w:val="22"/>
              </w:rPr>
              <w:t xml:space="preserve"> for </w:t>
            </w:r>
            <w:proofErr w:type="spellStart"/>
            <w:r w:rsidRPr="00A30980">
              <w:rPr>
                <w:b/>
                <w:bCs/>
                <w:sz w:val="22"/>
                <w:szCs w:val="22"/>
              </w:rPr>
              <w:t>safe</w:t>
            </w:r>
            <w:proofErr w:type="spellEnd"/>
            <w:r w:rsidRPr="00A30980">
              <w:rPr>
                <w:b/>
                <w:bCs/>
                <w:sz w:val="22"/>
                <w:szCs w:val="22"/>
              </w:rPr>
              <w:t xml:space="preserve"> </w:t>
            </w:r>
            <w:proofErr w:type="spellStart"/>
            <w:r w:rsidRPr="00A30980">
              <w:rPr>
                <w:b/>
                <w:bCs/>
                <w:sz w:val="22"/>
                <w:szCs w:val="22"/>
              </w:rPr>
              <w:t>listening</w:t>
            </w:r>
            <w:proofErr w:type="spellEnd"/>
            <w:r w:rsidRPr="00A30980">
              <w:rPr>
                <w:b/>
                <w:bCs/>
                <w:sz w:val="22"/>
                <w:szCs w:val="22"/>
              </w:rPr>
              <w:t xml:space="preserve"> in video </w:t>
            </w:r>
            <w:proofErr w:type="spellStart"/>
            <w:r w:rsidRPr="00A30980">
              <w:rPr>
                <w:b/>
                <w:bCs/>
                <w:sz w:val="22"/>
                <w:szCs w:val="22"/>
              </w:rPr>
              <w:t>gaming</w:t>
            </w:r>
            <w:proofErr w:type="spellEnd"/>
            <w:r w:rsidRPr="00A30980">
              <w:rPr>
                <w:b/>
                <w:bCs/>
                <w:sz w:val="22"/>
                <w:szCs w:val="22"/>
              </w:rPr>
              <w:t xml:space="preserve"> and </w:t>
            </w:r>
            <w:proofErr w:type="spellStart"/>
            <w:r w:rsidRPr="00A30980">
              <w:rPr>
                <w:b/>
                <w:bCs/>
                <w:sz w:val="22"/>
                <w:szCs w:val="22"/>
              </w:rPr>
              <w:t>esports</w:t>
            </w:r>
            <w:proofErr w:type="spellEnd"/>
            <w:r w:rsidRPr="00A30980">
              <w:rPr>
                <w:b/>
                <w:bCs/>
                <w:sz w:val="22"/>
                <w:szCs w:val="22"/>
              </w:rPr>
              <w:t xml:space="preserve"> </w:t>
            </w:r>
            <w:proofErr w:type="spellStart"/>
            <w:r w:rsidRPr="00A30980">
              <w:rPr>
                <w:b/>
                <w:bCs/>
                <w:sz w:val="22"/>
                <w:szCs w:val="22"/>
              </w:rPr>
              <w:t>activities</w:t>
            </w:r>
            <w:proofErr w:type="spellEnd"/>
            <w:r w:rsidR="00CA73ED" w:rsidRPr="00A30980">
              <w:rPr>
                <w:b/>
                <w:bCs/>
                <w:sz w:val="22"/>
                <w:szCs w:val="22"/>
              </w:rPr>
              <w:t>"</w:t>
            </w:r>
            <w:r w:rsidRPr="00A30980">
              <w:rPr>
                <w:b/>
                <w:bCs/>
                <w:sz w:val="22"/>
                <w:szCs w:val="22"/>
              </w:rPr>
              <w:t xml:space="preserve"> (Ginebra (Suiza), 28-29 de septiembre de 2023)</w:t>
            </w:r>
          </w:p>
        </w:tc>
      </w:tr>
    </w:tbl>
    <w:p w14:paraId="697A6E1F" w14:textId="77777777" w:rsidR="00C34772" w:rsidRPr="00A30980" w:rsidRDefault="00C34772" w:rsidP="00400ED8">
      <w:pPr>
        <w:pStyle w:val="Normalaftertitle"/>
        <w:rPr>
          <w:sz w:val="22"/>
          <w:szCs w:val="22"/>
        </w:rPr>
      </w:pPr>
      <w:bookmarkStart w:id="1" w:name="StartTyping_S"/>
      <w:bookmarkStart w:id="2" w:name="suitetext"/>
      <w:bookmarkStart w:id="3" w:name="text"/>
      <w:bookmarkEnd w:id="1"/>
      <w:bookmarkEnd w:id="2"/>
      <w:bookmarkEnd w:id="3"/>
      <w:r w:rsidRPr="00A30980">
        <w:rPr>
          <w:sz w:val="22"/>
          <w:szCs w:val="22"/>
        </w:rPr>
        <w:t>Muy Señora mía/Muy Señor mío:</w:t>
      </w:r>
    </w:p>
    <w:p w14:paraId="74C97486" w14:textId="666DB8DE" w:rsidR="00400ED8" w:rsidRPr="00A30980" w:rsidRDefault="00400ED8" w:rsidP="00400ED8">
      <w:pPr>
        <w:rPr>
          <w:sz w:val="22"/>
          <w:szCs w:val="22"/>
        </w:rPr>
      </w:pPr>
      <w:r w:rsidRPr="00A30980">
        <w:rPr>
          <w:rFonts w:eastAsiaTheme="minorEastAsia"/>
          <w:sz w:val="22"/>
          <w:szCs w:val="22"/>
        </w:rPr>
        <w:t>1</w:t>
      </w:r>
      <w:r w:rsidRPr="00A30980">
        <w:rPr>
          <w:sz w:val="22"/>
          <w:szCs w:val="22"/>
        </w:rPr>
        <w:tab/>
        <w:t>La Unión Internacional de Telecomunicaciones (UIT), en colaboración con la Organización Mundial de la Salud (OMS)</w:t>
      </w:r>
      <w:r w:rsidRPr="00A30980">
        <w:rPr>
          <w:rFonts w:eastAsiaTheme="minorEastAsia"/>
          <w:sz w:val="22"/>
          <w:szCs w:val="22"/>
        </w:rPr>
        <w:t>, está organizando un taller titulado</w:t>
      </w:r>
      <w:r w:rsidRPr="00A30980">
        <w:rPr>
          <w:sz w:val="22"/>
          <w:szCs w:val="22"/>
        </w:rPr>
        <w:t xml:space="preserve"> </w:t>
      </w:r>
      <w:r w:rsidR="00CA73ED" w:rsidRPr="00A30980">
        <w:rPr>
          <w:b/>
          <w:bCs/>
          <w:sz w:val="22"/>
          <w:szCs w:val="22"/>
        </w:rPr>
        <w:t>"</w:t>
      </w:r>
      <w:proofErr w:type="spellStart"/>
      <w:r w:rsidRPr="00A30980">
        <w:rPr>
          <w:rFonts w:eastAsiaTheme="minorEastAsia"/>
          <w:b/>
          <w:bCs/>
          <w:sz w:val="22"/>
          <w:szCs w:val="22"/>
        </w:rPr>
        <w:t>Developing</w:t>
      </w:r>
      <w:proofErr w:type="spellEnd"/>
      <w:r w:rsidRPr="00A30980">
        <w:rPr>
          <w:rFonts w:eastAsiaTheme="minorEastAsia"/>
          <w:b/>
          <w:bCs/>
          <w:sz w:val="22"/>
          <w:szCs w:val="22"/>
        </w:rPr>
        <w:t xml:space="preserve"> </w:t>
      </w:r>
      <w:proofErr w:type="spellStart"/>
      <w:r w:rsidRPr="00A30980">
        <w:rPr>
          <w:rFonts w:eastAsiaTheme="minorEastAsia"/>
          <w:b/>
          <w:bCs/>
          <w:sz w:val="22"/>
          <w:szCs w:val="22"/>
        </w:rPr>
        <w:t>standards</w:t>
      </w:r>
      <w:proofErr w:type="spellEnd"/>
      <w:r w:rsidRPr="00A30980">
        <w:rPr>
          <w:rFonts w:eastAsiaTheme="minorEastAsia"/>
          <w:b/>
          <w:bCs/>
          <w:sz w:val="22"/>
          <w:szCs w:val="22"/>
        </w:rPr>
        <w:t xml:space="preserve"> for </w:t>
      </w:r>
      <w:proofErr w:type="spellStart"/>
      <w:r w:rsidRPr="00A30980">
        <w:rPr>
          <w:rFonts w:eastAsiaTheme="minorEastAsia"/>
          <w:b/>
          <w:bCs/>
          <w:sz w:val="22"/>
          <w:szCs w:val="22"/>
        </w:rPr>
        <w:t>safe</w:t>
      </w:r>
      <w:proofErr w:type="spellEnd"/>
      <w:r w:rsidRPr="00A30980">
        <w:rPr>
          <w:rFonts w:eastAsiaTheme="minorEastAsia"/>
          <w:b/>
          <w:bCs/>
          <w:sz w:val="22"/>
          <w:szCs w:val="22"/>
        </w:rPr>
        <w:t xml:space="preserve"> </w:t>
      </w:r>
      <w:proofErr w:type="spellStart"/>
      <w:r w:rsidRPr="00A30980">
        <w:rPr>
          <w:rFonts w:eastAsiaTheme="minorEastAsia"/>
          <w:b/>
          <w:bCs/>
          <w:sz w:val="22"/>
          <w:szCs w:val="22"/>
        </w:rPr>
        <w:t>listening</w:t>
      </w:r>
      <w:proofErr w:type="spellEnd"/>
      <w:r w:rsidRPr="00A30980">
        <w:rPr>
          <w:rFonts w:eastAsiaTheme="minorEastAsia"/>
          <w:b/>
          <w:bCs/>
          <w:sz w:val="22"/>
          <w:szCs w:val="22"/>
        </w:rPr>
        <w:t xml:space="preserve"> in video </w:t>
      </w:r>
      <w:proofErr w:type="spellStart"/>
      <w:r w:rsidRPr="00A30980">
        <w:rPr>
          <w:rFonts w:eastAsiaTheme="minorEastAsia"/>
          <w:b/>
          <w:bCs/>
          <w:sz w:val="22"/>
          <w:szCs w:val="22"/>
        </w:rPr>
        <w:t>gaming</w:t>
      </w:r>
      <w:proofErr w:type="spellEnd"/>
      <w:r w:rsidRPr="00A30980">
        <w:rPr>
          <w:rFonts w:eastAsiaTheme="minorEastAsia"/>
          <w:b/>
          <w:bCs/>
          <w:sz w:val="22"/>
          <w:szCs w:val="22"/>
        </w:rPr>
        <w:t xml:space="preserve"> and</w:t>
      </w:r>
      <w:r w:rsidRPr="00A30980">
        <w:rPr>
          <w:sz w:val="22"/>
          <w:szCs w:val="22"/>
        </w:rPr>
        <w:t xml:space="preserve"> </w:t>
      </w:r>
      <w:proofErr w:type="spellStart"/>
      <w:r w:rsidRPr="00A30980">
        <w:rPr>
          <w:rFonts w:eastAsiaTheme="minorEastAsia"/>
          <w:b/>
          <w:bCs/>
          <w:sz w:val="22"/>
          <w:szCs w:val="22"/>
        </w:rPr>
        <w:t>esports</w:t>
      </w:r>
      <w:proofErr w:type="spellEnd"/>
      <w:r w:rsidRPr="00A30980">
        <w:rPr>
          <w:rFonts w:eastAsiaTheme="minorEastAsia"/>
          <w:b/>
          <w:bCs/>
          <w:sz w:val="22"/>
          <w:szCs w:val="22"/>
        </w:rPr>
        <w:t xml:space="preserve"> </w:t>
      </w:r>
      <w:proofErr w:type="spellStart"/>
      <w:r w:rsidRPr="00A30980">
        <w:rPr>
          <w:rFonts w:eastAsiaTheme="minorEastAsia"/>
          <w:b/>
          <w:bCs/>
          <w:sz w:val="22"/>
          <w:szCs w:val="22"/>
        </w:rPr>
        <w:t>activities</w:t>
      </w:r>
      <w:proofErr w:type="spellEnd"/>
      <w:r w:rsidR="00CA73ED" w:rsidRPr="00A30980">
        <w:rPr>
          <w:b/>
          <w:bCs/>
          <w:sz w:val="22"/>
          <w:szCs w:val="22"/>
        </w:rPr>
        <w:t>"</w:t>
      </w:r>
      <w:r w:rsidRPr="00A30980">
        <w:rPr>
          <w:sz w:val="22"/>
          <w:szCs w:val="22"/>
        </w:rPr>
        <w:t>, que se impartirá en la Sede de la UIT en Ginebra</w:t>
      </w:r>
      <w:r w:rsidRPr="00A30980">
        <w:rPr>
          <w:rFonts w:eastAsiaTheme="minorEastAsia"/>
          <w:sz w:val="22"/>
          <w:szCs w:val="22"/>
        </w:rPr>
        <w:t xml:space="preserve"> </w:t>
      </w:r>
      <w:r w:rsidRPr="00A30980">
        <w:rPr>
          <w:rFonts w:eastAsiaTheme="minorEastAsia"/>
          <w:b/>
          <w:bCs/>
          <w:sz w:val="22"/>
          <w:szCs w:val="22"/>
        </w:rPr>
        <w:t xml:space="preserve">del </w:t>
      </w:r>
      <w:r w:rsidRPr="00A30980">
        <w:rPr>
          <w:b/>
          <w:bCs/>
          <w:sz w:val="22"/>
          <w:szCs w:val="22"/>
        </w:rPr>
        <w:t xml:space="preserve">28 al 29 de septiembre de 2023. </w:t>
      </w:r>
      <w:r w:rsidRPr="00A30980">
        <w:rPr>
          <w:sz w:val="22"/>
          <w:szCs w:val="22"/>
        </w:rPr>
        <w:t>Para este taller se facilitará la participación a distancia.</w:t>
      </w:r>
    </w:p>
    <w:p w14:paraId="6F882300" w14:textId="77777777" w:rsidR="00400ED8" w:rsidRPr="00A30980" w:rsidRDefault="00400ED8" w:rsidP="00400ED8">
      <w:pPr>
        <w:rPr>
          <w:sz w:val="22"/>
          <w:szCs w:val="22"/>
        </w:rPr>
      </w:pPr>
      <w:r w:rsidRPr="00A30980">
        <w:rPr>
          <w:sz w:val="22"/>
          <w:szCs w:val="22"/>
        </w:rPr>
        <w:t>2</w:t>
      </w:r>
      <w:r w:rsidRPr="00A30980">
        <w:rPr>
          <w:sz w:val="22"/>
          <w:szCs w:val="22"/>
        </w:rPr>
        <w:tab/>
        <w:t xml:space="preserve">Los videojuegos y los deportes electrónicos han aumentado su popularidad en todo el mundo y han cautivado a más de 3 000 millones de aficionados. Con una base de usuarios de 600 millones en plataformas de consola y 1 100 millones en ordenadores personales, estas actividades han consolidado su estatus como formas predilectas de entretenimiento y han dado origen a nuevas corrientes de juego competitivo, denominadas deportes electrónicos o </w:t>
      </w:r>
      <w:proofErr w:type="spellStart"/>
      <w:r w:rsidRPr="00A30980">
        <w:rPr>
          <w:sz w:val="22"/>
          <w:szCs w:val="22"/>
        </w:rPr>
        <w:t>esports</w:t>
      </w:r>
      <w:proofErr w:type="spellEnd"/>
      <w:r w:rsidRPr="00A30980">
        <w:rPr>
          <w:sz w:val="22"/>
          <w:szCs w:val="22"/>
        </w:rPr>
        <w:t xml:space="preserve"> (videojuegos competitivos y organizados, en los que dos o más partes (de forma individual o en equipo) se enfrentan en condiciones reguladas y estructuradas). Sin embargo, la creciente prevalencia de la exposición prolongada a ruidos intensos en estas actividades ha suscitado serias inquietudes en materia de salud, sobre todo en relación con las lesiones auditivas y la pérdida de audición inducida por el ruido.</w:t>
      </w:r>
    </w:p>
    <w:p w14:paraId="54B3AD9C" w14:textId="39F8996B" w:rsidR="00400ED8" w:rsidRPr="00A30980" w:rsidRDefault="00400ED8" w:rsidP="00400ED8">
      <w:pPr>
        <w:rPr>
          <w:sz w:val="22"/>
          <w:szCs w:val="22"/>
        </w:rPr>
      </w:pPr>
      <w:r w:rsidRPr="00A30980">
        <w:rPr>
          <w:sz w:val="22"/>
          <w:szCs w:val="22"/>
        </w:rPr>
        <w:t>3</w:t>
      </w:r>
      <w:r w:rsidRPr="00A30980">
        <w:rPr>
          <w:sz w:val="22"/>
          <w:szCs w:val="22"/>
        </w:rPr>
        <w:tab/>
        <w:t>En respuesta a este problema de salud pública, la UIT y la OMS están iniciando un tema de estudio dedicado a elaborar una norma para la escucha segura en actividades de videojuegos y deportes electrónicos. El tema de estudio, propuesto por la OMS y aceptado por la UIT en julio de 2023, incluye una serie de talleres técnicos imprescindibles. Estos talleres servirán como plataformas en las que se reunirán expertos competentes, partes interesadas y representantes de la industria, a fin de fomentar acciones concertadas y la formulación de directrices y normas para la escucha segura en actividades de videojuegos y deportes electrónicos.</w:t>
      </w:r>
    </w:p>
    <w:p w14:paraId="0C182832" w14:textId="192C6C32" w:rsidR="00400ED8" w:rsidRPr="00A30980" w:rsidRDefault="00400ED8" w:rsidP="00400ED8">
      <w:pPr>
        <w:rPr>
          <w:sz w:val="22"/>
          <w:szCs w:val="22"/>
        </w:rPr>
      </w:pPr>
      <w:r w:rsidRPr="00A30980">
        <w:rPr>
          <w:sz w:val="22"/>
          <w:szCs w:val="22"/>
        </w:rPr>
        <w:t>4</w:t>
      </w:r>
      <w:r w:rsidRPr="00A30980">
        <w:rPr>
          <w:sz w:val="22"/>
          <w:szCs w:val="22"/>
        </w:rPr>
        <w:tab/>
        <w:t>El tema específico de este episodio es la elaboración de normas para una escucha segura en los videojuegos y los deportes electrónicos, como paso para salvaguardar la salud auditiva de millones de jugadores y aficionados a los deportes electrónicos de todo el mundo.</w:t>
      </w:r>
    </w:p>
    <w:p w14:paraId="15CAB692" w14:textId="5EB9F6C2" w:rsidR="00400ED8" w:rsidRPr="00A30980" w:rsidRDefault="00400ED8" w:rsidP="00400ED8">
      <w:pPr>
        <w:rPr>
          <w:sz w:val="22"/>
          <w:szCs w:val="22"/>
        </w:rPr>
      </w:pPr>
      <w:r w:rsidRPr="00A30980">
        <w:rPr>
          <w:sz w:val="22"/>
          <w:szCs w:val="22"/>
        </w:rPr>
        <w:t>5</w:t>
      </w:r>
      <w:r w:rsidRPr="00A30980">
        <w:rPr>
          <w:sz w:val="22"/>
          <w:szCs w:val="22"/>
        </w:rPr>
        <w:tab/>
        <w:t xml:space="preserve">En este evento participarán expertos en el campo de la audiología, los videojuegos, los deportes electrónicos, la tecnología y la salud pública para pasar revista a las normas de escucha segura existentes (por ejemplo, </w:t>
      </w:r>
      <w:hyperlink r:id="rId10" w:history="1">
        <w:r w:rsidRPr="00A30980">
          <w:rPr>
            <w:rStyle w:val="Hyperlink"/>
            <w:rFonts w:cs="Calibri"/>
            <w:sz w:val="22"/>
            <w:szCs w:val="22"/>
          </w:rPr>
          <w:t>ITU-T H.870</w:t>
        </w:r>
      </w:hyperlink>
      <w:r w:rsidRPr="00A30980">
        <w:rPr>
          <w:sz w:val="22"/>
          <w:szCs w:val="22"/>
        </w:rPr>
        <w:t>), y abordar los retos y las oportunidades de una escucha segura en los videojuegos y los deportes electrónicos.</w:t>
      </w:r>
    </w:p>
    <w:p w14:paraId="1CCABF8E" w14:textId="77777777" w:rsidR="00400ED8" w:rsidRPr="00A30980" w:rsidRDefault="00400ED8" w:rsidP="00400ED8">
      <w:pPr>
        <w:rPr>
          <w:sz w:val="22"/>
          <w:szCs w:val="22"/>
        </w:rPr>
      </w:pPr>
      <w:r w:rsidRPr="00A30980">
        <w:rPr>
          <w:sz w:val="22"/>
          <w:szCs w:val="22"/>
        </w:rPr>
        <w:lastRenderedPageBreak/>
        <w:t>6</w:t>
      </w:r>
      <w:r w:rsidRPr="00A30980">
        <w:rPr>
          <w:sz w:val="22"/>
          <w:szCs w:val="22"/>
        </w:rPr>
        <w:tab/>
        <w:t>La participación en el taller es gratuita y está abierta a los Miembros de la UIT y a los expertos invitados, pero es obligatorio inscribirse para asistir de manera presencial o en línea (véase el §8).</w:t>
      </w:r>
    </w:p>
    <w:p w14:paraId="29236D20" w14:textId="77777777" w:rsidR="00400ED8" w:rsidRPr="00A30980" w:rsidRDefault="00400ED8" w:rsidP="00400ED8">
      <w:pPr>
        <w:rPr>
          <w:sz w:val="22"/>
          <w:szCs w:val="22"/>
        </w:rPr>
      </w:pPr>
      <w:r w:rsidRPr="00A30980">
        <w:rPr>
          <w:sz w:val="22"/>
          <w:szCs w:val="22"/>
        </w:rPr>
        <w:t>7</w:t>
      </w:r>
      <w:r w:rsidRPr="00A30980">
        <w:rPr>
          <w:sz w:val="22"/>
          <w:szCs w:val="22"/>
        </w:rPr>
        <w:tab/>
        <w:t xml:space="preserve">Toda la información relativa al taller, incluido el proyecto de programa, estará disponible en el sitio web del evento, en la dirección: </w:t>
      </w:r>
      <w:hyperlink r:id="rId11" w:history="1">
        <w:r w:rsidRPr="00A30980">
          <w:rPr>
            <w:rStyle w:val="Hyperlink"/>
            <w:rFonts w:cs="Calibri"/>
            <w:sz w:val="22"/>
            <w:szCs w:val="22"/>
          </w:rPr>
          <w:t>https://www.itu.int/en/ITU-T/Workshops-and-Seminars/2023/0928/Pages/default.aspx</w:t>
        </w:r>
      </w:hyperlink>
      <w:r w:rsidRPr="00A30980">
        <w:rPr>
          <w:sz w:val="22"/>
          <w:szCs w:val="22"/>
        </w:rPr>
        <w:t>. La página web del evento se actualizará periódicamente a medida que se disponga de información nueva o modificada. Se recomienda a los participantes que consulten periódicamente el sitio web para conocer las últimas actualizaciones.</w:t>
      </w:r>
    </w:p>
    <w:p w14:paraId="4F1E237D" w14:textId="77777777" w:rsidR="00400ED8" w:rsidRPr="00A30980" w:rsidRDefault="00400ED8" w:rsidP="00400ED8">
      <w:pPr>
        <w:rPr>
          <w:b/>
          <w:bCs/>
          <w:sz w:val="22"/>
          <w:szCs w:val="22"/>
        </w:rPr>
      </w:pPr>
      <w:r w:rsidRPr="00A30980">
        <w:rPr>
          <w:sz w:val="22"/>
          <w:szCs w:val="22"/>
        </w:rPr>
        <w:t>8</w:t>
      </w:r>
      <w:r w:rsidRPr="00A30980">
        <w:rPr>
          <w:sz w:val="22"/>
          <w:szCs w:val="22"/>
        </w:rPr>
        <w:tab/>
        <w:t xml:space="preserve">Para que la TSB pueda tomar las disposiciones necesarias sobre la organización del Taller, mucho le agradecería que se inscribiese a la mayor brevedad en la dirección: </w:t>
      </w:r>
      <w:hyperlink r:id="rId12" w:history="1">
        <w:r w:rsidRPr="00A30980">
          <w:rPr>
            <w:rStyle w:val="Hyperlink"/>
            <w:rFonts w:cs="Calibri"/>
            <w:sz w:val="22"/>
            <w:szCs w:val="22"/>
          </w:rPr>
          <w:t>https://itu.int/net4/CRM/xreg/web/Registration.aspx?Event=C-00013061</w:t>
        </w:r>
      </w:hyperlink>
      <w:r w:rsidRPr="00A30980">
        <w:rPr>
          <w:rFonts w:cs="Calibri"/>
          <w:b/>
          <w:bCs/>
          <w:sz w:val="22"/>
          <w:szCs w:val="22"/>
        </w:rPr>
        <w:t>.</w:t>
      </w:r>
      <w:r w:rsidRPr="00A30980">
        <w:rPr>
          <w:b/>
          <w:bCs/>
          <w:sz w:val="22"/>
          <w:szCs w:val="22"/>
        </w:rPr>
        <w:t xml:space="preserve"> Le ruego que tenga presente que la preinscripción de los participantes en los talleres es obligatoria y se lleva a cabo exclusivamente en línea.</w:t>
      </w:r>
    </w:p>
    <w:p w14:paraId="5117A70C" w14:textId="6B5F883E" w:rsidR="007B6316" w:rsidRPr="00A30980" w:rsidRDefault="00400ED8" w:rsidP="003B6161">
      <w:pPr>
        <w:tabs>
          <w:tab w:val="left" w:pos="900"/>
        </w:tabs>
        <w:rPr>
          <w:sz w:val="22"/>
          <w:szCs w:val="22"/>
        </w:rPr>
      </w:pPr>
      <w:r w:rsidRPr="00A30980">
        <w:rPr>
          <w:sz w:val="22"/>
          <w:szCs w:val="22"/>
        </w:rPr>
        <w:t>9</w:t>
      </w:r>
      <w:r w:rsidRPr="00A30980">
        <w:rPr>
          <w:sz w:val="22"/>
          <w:szCs w:val="22"/>
        </w:rPr>
        <w:tab/>
        <w:t>Le recordamos que los ciudadanos de algunos países necesitan obtener un visado para entrar y permanecer en Suiza. El visado debe solicitarse y obtenerse en la oficina (Embajada o Consulado) que representa a Suiza en su país, o, si no existiera dicha oficina en su país, en la que esté más cerca del país de salida. Si un Estado Miembro, un Miembro de Sector, un Asociado o una Institución Académica de la UIT experimenta dificultades, y previa solicitud oficial del interesado a la TSB, la Unión puede intervenir ante las autoridades suizas competentes para facilitar la expedición de ese visado. Las consultas deben remitirse a la Sección de Viajes de la UIT (</w:t>
      </w:r>
      <w:hyperlink r:id="rId13" w:history="1">
        <w:r w:rsidRPr="00A30980">
          <w:rPr>
            <w:rStyle w:val="Hyperlink"/>
            <w:rFonts w:cs="Calibri"/>
            <w:sz w:val="22"/>
            <w:szCs w:val="22"/>
          </w:rPr>
          <w:t>travel@itu.int</w:t>
        </w:r>
      </w:hyperlink>
      <w:r w:rsidRPr="00A30980">
        <w:rPr>
          <w:sz w:val="22"/>
          <w:szCs w:val="22"/>
        </w:rPr>
        <w:t xml:space="preserve">) con la indicación </w:t>
      </w:r>
      <w:r w:rsidR="00CA73ED" w:rsidRPr="00A30980">
        <w:rPr>
          <w:sz w:val="22"/>
          <w:szCs w:val="22"/>
        </w:rPr>
        <w:t>"</w:t>
      </w:r>
      <w:r w:rsidRPr="00A30980">
        <w:rPr>
          <w:sz w:val="22"/>
          <w:szCs w:val="22"/>
        </w:rPr>
        <w:t>apoyo para la obtención de visado</w:t>
      </w:r>
      <w:r w:rsidR="00CA73ED" w:rsidRPr="00A30980">
        <w:rPr>
          <w:sz w:val="22"/>
          <w:szCs w:val="22"/>
        </w:rPr>
        <w:t>"</w:t>
      </w:r>
      <w:r w:rsidRPr="00A30980">
        <w:rPr>
          <w:sz w:val="22"/>
          <w:szCs w:val="22"/>
        </w:rPr>
        <w:t>.</w:t>
      </w:r>
    </w:p>
    <w:p w14:paraId="137049DC" w14:textId="1EB5BF97" w:rsidR="007B6316" w:rsidRPr="00A30980" w:rsidRDefault="007B6316" w:rsidP="007B6316">
      <w:pPr>
        <w:rPr>
          <w:sz w:val="22"/>
          <w:szCs w:val="22"/>
        </w:rPr>
      </w:pPr>
      <w:r w:rsidRPr="00A30980">
        <w:rPr>
          <w:sz w:val="22"/>
          <w:szCs w:val="22"/>
        </w:rPr>
        <w:t>Atentamente,</w:t>
      </w:r>
    </w:p>
    <w:p w14:paraId="04A0F5BB" w14:textId="4CD5BAD9" w:rsidR="00401C20" w:rsidRPr="00A30980" w:rsidRDefault="00C04269" w:rsidP="003B6161">
      <w:pPr>
        <w:spacing w:before="840"/>
        <w:rPr>
          <w:sz w:val="22"/>
          <w:szCs w:val="22"/>
        </w:rPr>
      </w:pPr>
      <w:r>
        <w:rPr>
          <w:rFonts w:cstheme="minorHAnsi"/>
          <w:noProof/>
          <w:sz w:val="22"/>
          <w:szCs w:val="22"/>
        </w:rPr>
        <w:drawing>
          <wp:anchor distT="0" distB="0" distL="114300" distR="114300" simplePos="0" relativeHeight="251658240" behindDoc="1" locked="0" layoutInCell="1" allowOverlap="1" wp14:anchorId="3E6DFD2F" wp14:editId="0AF71F61">
            <wp:simplePos x="0" y="0"/>
            <wp:positionH relativeFrom="column">
              <wp:posOffset>-1905</wp:posOffset>
            </wp:positionH>
            <wp:positionV relativeFrom="paragraph">
              <wp:posOffset>161925</wp:posOffset>
            </wp:positionV>
            <wp:extent cx="669710" cy="301625"/>
            <wp:effectExtent l="0" t="0" r="0" b="3175"/>
            <wp:wrapNone/>
            <wp:docPr id="205783979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39794" name="Picture 1" descr="A black and blu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9710" cy="301625"/>
                    </a:xfrm>
                    <a:prstGeom prst="rect">
                      <a:avLst/>
                    </a:prstGeom>
                  </pic:spPr>
                </pic:pic>
              </a:graphicData>
            </a:graphic>
            <wp14:sizeRelH relativeFrom="margin">
              <wp14:pctWidth>0</wp14:pctWidth>
            </wp14:sizeRelH>
            <wp14:sizeRelV relativeFrom="margin">
              <wp14:pctHeight>0</wp14:pctHeight>
            </wp14:sizeRelV>
          </wp:anchor>
        </w:drawing>
      </w:r>
      <w:r w:rsidR="001350B9" w:rsidRPr="00A30980">
        <w:rPr>
          <w:rFonts w:cstheme="minorHAnsi"/>
          <w:sz w:val="22"/>
          <w:szCs w:val="22"/>
        </w:rPr>
        <w:t>Seizo Onoe</w:t>
      </w:r>
      <w:r w:rsidR="007B6316" w:rsidRPr="00A30980">
        <w:rPr>
          <w:sz w:val="22"/>
          <w:szCs w:val="22"/>
        </w:rPr>
        <w:br/>
      </w:r>
      <w:proofErr w:type="gramStart"/>
      <w:r w:rsidR="007B6316" w:rsidRPr="00A30980">
        <w:rPr>
          <w:sz w:val="22"/>
          <w:szCs w:val="22"/>
        </w:rPr>
        <w:t>Director</w:t>
      </w:r>
      <w:proofErr w:type="gramEnd"/>
      <w:r w:rsidR="007B6316" w:rsidRPr="00A30980">
        <w:rPr>
          <w:sz w:val="22"/>
          <w:szCs w:val="22"/>
        </w:rPr>
        <w:t xml:space="preserve"> de la Oficina de </w:t>
      </w:r>
      <w:r w:rsidR="007B6316" w:rsidRPr="00A30980">
        <w:rPr>
          <w:sz w:val="22"/>
          <w:szCs w:val="22"/>
        </w:rPr>
        <w:br/>
        <w:t>Normalización de las Telecomunicaciones</w:t>
      </w:r>
    </w:p>
    <w:sectPr w:rsidR="00401C20" w:rsidRPr="00A30980" w:rsidSect="00B87E9E">
      <w:headerReference w:type="default" r:id="rId15"/>
      <w:foot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E594" w14:textId="77777777" w:rsidR="001D56BE" w:rsidRDefault="001D56BE">
      <w:r>
        <w:separator/>
      </w:r>
    </w:p>
  </w:endnote>
  <w:endnote w:type="continuationSeparator" w:id="0">
    <w:p w14:paraId="08E96D5A" w14:textId="77777777" w:rsidR="001D56BE" w:rsidRDefault="001D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AB0E" w14:textId="30937C2A" w:rsidR="006969B4" w:rsidRPr="00C04269" w:rsidRDefault="00F14380" w:rsidP="009A0BA0">
    <w:pPr>
      <w:pStyle w:val="Footer"/>
      <w:rPr>
        <w:sz w:val="16"/>
        <w:szCs w:val="16"/>
        <w:lang w:val="en-GB"/>
      </w:rPr>
    </w:pPr>
    <w:r>
      <w:fldChar w:fldCharType="begin"/>
    </w:r>
    <w:r w:rsidRPr="00C04269">
      <w:rPr>
        <w:lang w:val="en-GB"/>
      </w:rPr>
      <w:instrText xml:space="preserve"> FILENAME \p  \* MERGEFORMAT </w:instrText>
    </w:r>
    <w:r>
      <w:fldChar w:fldCharType="separate"/>
    </w:r>
    <w:r w:rsidR="00C04269" w:rsidRPr="00C04269">
      <w:rPr>
        <w:noProof/>
        <w:sz w:val="16"/>
        <w:szCs w:val="16"/>
        <w:lang w:val="en-GB"/>
      </w:rPr>
      <w:t>V</w:t>
    </w:r>
    <w:r w:rsidR="00C04269" w:rsidRPr="00C04269">
      <w:rPr>
        <w:noProof/>
        <w:lang w:val="en-GB"/>
      </w:rPr>
      <w:t>:\OFFICE\Correspondence\Circular\Study Period 2022-2024\135 - ITU WHO Workshop on Safe Listening in Video Gaming and Esports Activities\135S.DOCX</w:t>
    </w:r>
    <w:r>
      <w:rPr>
        <w:noProof/>
        <w:sz w:val="16"/>
        <w:szCs w:val="16"/>
        <w:lang w:val="fr-CH"/>
      </w:rPr>
      <w:fldChar w:fldCharType="end"/>
    </w:r>
    <w:r w:rsidR="009A0BA0" w:rsidRPr="00C04269">
      <w:rPr>
        <w:noProof/>
        <w:sz w:val="16"/>
        <w:szCs w:val="16"/>
        <w:lang w:val="en-GB"/>
      </w:rPr>
      <w:t xml:space="preserve"> (</w:t>
    </w:r>
    <w:r w:rsidR="00400ED8" w:rsidRPr="00C04269">
      <w:rPr>
        <w:noProof/>
        <w:sz w:val="16"/>
        <w:szCs w:val="16"/>
        <w:lang w:val="en-GB"/>
      </w:rPr>
      <w:t>527523</w:t>
    </w:r>
    <w:r w:rsidR="009A0BA0" w:rsidRPr="00C04269">
      <w:rPr>
        <w:noProof/>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1B17"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6728" w14:textId="77777777" w:rsidR="001D56BE" w:rsidRDefault="001D56BE">
      <w:r>
        <w:t>____________________</w:t>
      </w:r>
    </w:p>
  </w:footnote>
  <w:footnote w:type="continuationSeparator" w:id="0">
    <w:p w14:paraId="3ABE377E" w14:textId="77777777" w:rsidR="001D56BE" w:rsidRDefault="001D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0881" w14:textId="5C030B21"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30980">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720597593">
    <w:abstractNumId w:val="0"/>
  </w:num>
  <w:num w:numId="2" w16cid:durableId="1288002200">
    <w:abstractNumId w:val="3"/>
  </w:num>
  <w:num w:numId="3" w16cid:durableId="350882667">
    <w:abstractNumId w:val="2"/>
  </w:num>
  <w:num w:numId="4" w16cid:durableId="20815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CE"/>
    <w:rsid w:val="00002529"/>
    <w:rsid w:val="00085662"/>
    <w:rsid w:val="000C382F"/>
    <w:rsid w:val="001173CC"/>
    <w:rsid w:val="001350B9"/>
    <w:rsid w:val="0014464D"/>
    <w:rsid w:val="001A54CC"/>
    <w:rsid w:val="001D56BE"/>
    <w:rsid w:val="00257FB4"/>
    <w:rsid w:val="002E496E"/>
    <w:rsid w:val="00303D62"/>
    <w:rsid w:val="00335367"/>
    <w:rsid w:val="00370C2D"/>
    <w:rsid w:val="003B6161"/>
    <w:rsid w:val="003D1E8D"/>
    <w:rsid w:val="003D673B"/>
    <w:rsid w:val="003F2855"/>
    <w:rsid w:val="00400ED8"/>
    <w:rsid w:val="00401C20"/>
    <w:rsid w:val="004A7957"/>
    <w:rsid w:val="004C4144"/>
    <w:rsid w:val="0055719E"/>
    <w:rsid w:val="005E6ED1"/>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30980"/>
    <w:rsid w:val="00A54E47"/>
    <w:rsid w:val="00AB6E3A"/>
    <w:rsid w:val="00AE7093"/>
    <w:rsid w:val="00B422BC"/>
    <w:rsid w:val="00B43F77"/>
    <w:rsid w:val="00B55A3E"/>
    <w:rsid w:val="00B87E9E"/>
    <w:rsid w:val="00B95F0A"/>
    <w:rsid w:val="00B96180"/>
    <w:rsid w:val="00C04269"/>
    <w:rsid w:val="00C116FE"/>
    <w:rsid w:val="00C17AC0"/>
    <w:rsid w:val="00C34772"/>
    <w:rsid w:val="00C5465A"/>
    <w:rsid w:val="00CA73ED"/>
    <w:rsid w:val="00CE3DCE"/>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81DA11"/>
  <w15:docId w15:val="{5454BED5-BE88-4CDB-8AC4-08840FAE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TabletextChar">
    <w:name w:val="Table_text Char"/>
    <w:basedOn w:val="DefaultParagraphFont"/>
    <w:link w:val="Tabletext0"/>
    <w:rsid w:val="005E6ED1"/>
    <w:rPr>
      <w:rFonts w:asciiTheme="minorHAnsi" w:hAnsiTheme="minorHAnsi"/>
      <w:sz w:val="22"/>
      <w:lang w:val="es-ES_tradnl" w:eastAsia="en-US"/>
    </w:rPr>
  </w:style>
  <w:style w:type="character" w:customStyle="1" w:styleId="UnresolvedMention1">
    <w:name w:val="Unresolved Mention1"/>
    <w:basedOn w:val="DefaultParagraphFont"/>
    <w:uiPriority w:val="99"/>
    <w:semiHidden/>
    <w:unhideWhenUsed/>
    <w:rsid w:val="005E6ED1"/>
    <w:rPr>
      <w:color w:val="605E5C"/>
      <w:shd w:val="clear" w:color="auto" w:fill="E1DFDD"/>
    </w:rPr>
  </w:style>
  <w:style w:type="paragraph" w:styleId="NormalWeb">
    <w:name w:val="Normal (Web)"/>
    <w:basedOn w:val="Normal"/>
    <w:uiPriority w:val="99"/>
    <w:unhideWhenUsed/>
    <w:rsid w:val="00400ED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net4/CRM/xreg/web/Registration.aspx?Event=C-0001306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928/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rec/T-REC-H.870-202203-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04D8-DAFC-4D2A-AEBA-4E6AFD47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806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5506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2023-12-06T15:01:00Z</cp:lastPrinted>
  <dcterms:created xsi:type="dcterms:W3CDTF">2023-12-06T11:37:00Z</dcterms:created>
  <dcterms:modified xsi:type="dcterms:W3CDTF">2023-12-06T15:09:00Z</dcterms:modified>
</cp:coreProperties>
</file>