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936DF85" w14:textId="77777777" w:rsidTr="00D517B2">
        <w:trPr>
          <w:cantSplit/>
          <w:trHeight w:val="1134"/>
        </w:trPr>
        <w:tc>
          <w:tcPr>
            <w:tcW w:w="798" w:type="pct"/>
          </w:tcPr>
          <w:p w14:paraId="63CBD0BD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07A7415" wp14:editId="74C3ED71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D13D322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C977381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3827"/>
        <w:gridCol w:w="4253"/>
      </w:tblGrid>
      <w:tr w:rsidR="00D517B2" w:rsidRPr="00D517B2" w14:paraId="56222135" w14:textId="77777777" w:rsidTr="00431E1C">
        <w:trPr>
          <w:cantSplit/>
          <w:trHeight w:val="142"/>
          <w:jc w:val="center"/>
        </w:trPr>
        <w:tc>
          <w:tcPr>
            <w:tcW w:w="809" w:type="pct"/>
          </w:tcPr>
          <w:p w14:paraId="4929F258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85" w:type="pct"/>
          </w:tcPr>
          <w:p w14:paraId="6942EBB7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759ABD7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0B41D6BA" w14:textId="77777777" w:rsidTr="00431E1C">
        <w:trPr>
          <w:cantSplit/>
          <w:trHeight w:val="148"/>
          <w:jc w:val="center"/>
        </w:trPr>
        <w:tc>
          <w:tcPr>
            <w:tcW w:w="809" w:type="pct"/>
          </w:tcPr>
          <w:p w14:paraId="7660E0B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85" w:type="pct"/>
          </w:tcPr>
          <w:p w14:paraId="7D9AC7D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35F175D2" w14:textId="7841644E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07069C">
              <w:rPr>
                <w:position w:val="2"/>
              </w:rPr>
              <w:t>9</w:t>
            </w:r>
            <w:r w:rsidR="00BC1417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07069C">
              <w:rPr>
                <w:rFonts w:hint="cs"/>
                <w:position w:val="2"/>
                <w:rtl/>
                <w:lang w:bidi="ar-EG"/>
              </w:rPr>
              <w:t>أكتوبر</w:t>
            </w:r>
            <w:r w:rsidR="00BC1417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BC1417">
              <w:rPr>
                <w:position w:val="2"/>
                <w:lang w:bidi="ar-EG"/>
              </w:rPr>
              <w:t>2023</w:t>
            </w:r>
          </w:p>
        </w:tc>
      </w:tr>
      <w:tr w:rsidR="00431E1C" w:rsidRPr="00BC1417" w14:paraId="4BDED462" w14:textId="77777777" w:rsidTr="00431E1C">
        <w:trPr>
          <w:cantSplit/>
          <w:trHeight w:val="397"/>
          <w:jc w:val="center"/>
        </w:trPr>
        <w:tc>
          <w:tcPr>
            <w:tcW w:w="809" w:type="pct"/>
          </w:tcPr>
          <w:p w14:paraId="77D76473" w14:textId="77777777" w:rsidR="00431E1C" w:rsidRPr="00BC1417" w:rsidRDefault="00431E1C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BC1417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85" w:type="pct"/>
          </w:tcPr>
          <w:p w14:paraId="1D35898A" w14:textId="33D29949" w:rsidR="00431E1C" w:rsidRPr="00BC1417" w:rsidRDefault="00431E1C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BC1417">
              <w:rPr>
                <w:b/>
                <w:position w:val="2"/>
              </w:rPr>
              <w:t xml:space="preserve">TSB Circular </w:t>
            </w:r>
            <w:r>
              <w:rPr>
                <w:b/>
                <w:position w:val="2"/>
              </w:rPr>
              <w:t>139</w:t>
            </w:r>
          </w:p>
        </w:tc>
        <w:tc>
          <w:tcPr>
            <w:tcW w:w="2206" w:type="pct"/>
            <w:vMerge w:val="restart"/>
          </w:tcPr>
          <w:p w14:paraId="29EA2D0E" w14:textId="77777777" w:rsidR="00431E1C" w:rsidRPr="00BC1417" w:rsidRDefault="00431E1C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C1417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17CF3539" w14:textId="77777777" w:rsidR="00431E1C" w:rsidRPr="00BC1417" w:rsidRDefault="00431E1C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BC1417">
              <w:rPr>
                <w:rFonts w:hint="cs"/>
                <w:position w:val="2"/>
                <w:rtl/>
              </w:rPr>
              <w:t>-</w:t>
            </w:r>
            <w:r w:rsidRPr="00BC1417">
              <w:rPr>
                <w:position w:val="2"/>
                <w:rtl/>
              </w:rPr>
              <w:tab/>
            </w:r>
            <w:r w:rsidRPr="00BC1417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3399BF6" w14:textId="77777777" w:rsidR="00431E1C" w:rsidRPr="00BC1417" w:rsidRDefault="00431E1C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BC1417">
              <w:rPr>
                <w:rFonts w:hint="cs"/>
                <w:position w:val="2"/>
                <w:rtl/>
              </w:rPr>
              <w:t>-</w:t>
            </w:r>
            <w:r w:rsidRPr="00BC1417">
              <w:rPr>
                <w:position w:val="2"/>
                <w:rtl/>
              </w:rPr>
              <w:tab/>
            </w:r>
            <w:r w:rsidRPr="00BC1417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5420CE16" w14:textId="77777777" w:rsidR="00431E1C" w:rsidRPr="00BC1417" w:rsidRDefault="00431E1C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BC1417">
              <w:rPr>
                <w:rFonts w:hint="cs"/>
                <w:position w:val="2"/>
                <w:rtl/>
              </w:rPr>
              <w:t>-</w:t>
            </w:r>
            <w:r w:rsidRPr="00BC1417">
              <w:rPr>
                <w:position w:val="2"/>
                <w:rtl/>
              </w:rPr>
              <w:tab/>
            </w:r>
            <w:r w:rsidRPr="00BC1417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098EF1CC" w14:textId="77777777" w:rsidR="00431E1C" w:rsidRPr="00BC1417" w:rsidRDefault="00431E1C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BC1417">
              <w:rPr>
                <w:rFonts w:hint="cs"/>
                <w:position w:val="2"/>
                <w:rtl/>
              </w:rPr>
              <w:t>-</w:t>
            </w:r>
            <w:r w:rsidRPr="00BC1417">
              <w:rPr>
                <w:position w:val="2"/>
                <w:rtl/>
              </w:rPr>
              <w:tab/>
            </w:r>
            <w:r w:rsidRPr="00BC1417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BC1417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431E1C" w:rsidRPr="00BC1417" w14:paraId="04CCC605" w14:textId="77777777" w:rsidTr="00431E1C">
        <w:trPr>
          <w:cantSplit/>
          <w:trHeight w:val="340"/>
          <w:jc w:val="center"/>
        </w:trPr>
        <w:tc>
          <w:tcPr>
            <w:tcW w:w="809" w:type="pct"/>
          </w:tcPr>
          <w:p w14:paraId="3E869310" w14:textId="3594BAE8" w:rsidR="00431E1C" w:rsidRPr="00BC1417" w:rsidRDefault="00431E1C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Pr="00BC1417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85" w:type="pct"/>
          </w:tcPr>
          <w:p w14:paraId="4BC49006" w14:textId="3D45A737" w:rsidR="00431E1C" w:rsidRPr="00BC1417" w:rsidRDefault="00431E1C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BC1417">
              <w:rPr>
                <w:position w:val="2"/>
              </w:rPr>
              <w:t>+41 22 730 6301</w:t>
            </w:r>
          </w:p>
        </w:tc>
        <w:tc>
          <w:tcPr>
            <w:tcW w:w="2206" w:type="pct"/>
            <w:vMerge/>
          </w:tcPr>
          <w:p w14:paraId="4ED60D65" w14:textId="77777777" w:rsidR="00431E1C" w:rsidRPr="00BC1417" w:rsidRDefault="00431E1C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431E1C" w:rsidRPr="00BC1417" w14:paraId="4FB74FE8" w14:textId="77777777" w:rsidTr="00431E1C">
        <w:trPr>
          <w:cantSplit/>
          <w:trHeight w:val="300"/>
          <w:jc w:val="center"/>
        </w:trPr>
        <w:tc>
          <w:tcPr>
            <w:tcW w:w="809" w:type="pct"/>
          </w:tcPr>
          <w:p w14:paraId="250121D1" w14:textId="77777777" w:rsidR="00431E1C" w:rsidRPr="00BC1417" w:rsidRDefault="00431E1C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C1417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85" w:type="pct"/>
          </w:tcPr>
          <w:p w14:paraId="198F7C9B" w14:textId="09BCA48B" w:rsidR="00431E1C" w:rsidRPr="00BC1417" w:rsidRDefault="00431E1C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BC1417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30ABF3DE" w14:textId="77777777" w:rsidR="00431E1C" w:rsidRPr="00BC1417" w:rsidRDefault="00431E1C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431E1C" w:rsidRPr="00BC1417" w14:paraId="546649EF" w14:textId="77777777" w:rsidTr="00431E1C">
        <w:trPr>
          <w:cantSplit/>
          <w:trHeight w:val="360"/>
          <w:jc w:val="center"/>
        </w:trPr>
        <w:tc>
          <w:tcPr>
            <w:tcW w:w="809" w:type="pct"/>
            <w:vMerge w:val="restart"/>
          </w:tcPr>
          <w:p w14:paraId="6D0591F0" w14:textId="4368BE63" w:rsidR="00431E1C" w:rsidRPr="00BC1417" w:rsidRDefault="00431E1C" w:rsidP="00431E1C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BC1417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85" w:type="pct"/>
            <w:vMerge w:val="restart"/>
          </w:tcPr>
          <w:p w14:paraId="53DC78AB" w14:textId="245CC6E4" w:rsidR="00431E1C" w:rsidRPr="00BC1417" w:rsidRDefault="003C2B85" w:rsidP="00431E1C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hyperlink r:id="rId9" w:history="1">
              <w:r w:rsidR="00431E1C" w:rsidRPr="003E7B2D">
                <w:rPr>
                  <w:rStyle w:val="Hyperlink"/>
                  <w:rFonts w:cs="Calibri"/>
                </w:rPr>
                <w:t>digitaltransformation@itu.int</w:t>
              </w:r>
            </w:hyperlink>
          </w:p>
        </w:tc>
        <w:tc>
          <w:tcPr>
            <w:tcW w:w="2206" w:type="pct"/>
            <w:vMerge/>
          </w:tcPr>
          <w:p w14:paraId="4C0E1C73" w14:textId="77777777" w:rsidR="00431E1C" w:rsidRPr="00BC1417" w:rsidRDefault="00431E1C" w:rsidP="00431E1C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431E1C" w:rsidRPr="00BC1417" w14:paraId="3C70F3B2" w14:textId="77777777" w:rsidTr="00431E1C">
        <w:trPr>
          <w:cantSplit/>
          <w:jc w:val="center"/>
        </w:trPr>
        <w:tc>
          <w:tcPr>
            <w:tcW w:w="809" w:type="pct"/>
            <w:vMerge/>
          </w:tcPr>
          <w:p w14:paraId="46816354" w14:textId="399B6BDD" w:rsidR="00431E1C" w:rsidRPr="00BC1417" w:rsidRDefault="00431E1C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  <w:tc>
          <w:tcPr>
            <w:tcW w:w="1985" w:type="pct"/>
            <w:vMerge/>
          </w:tcPr>
          <w:p w14:paraId="6CCC6481" w14:textId="19284994" w:rsidR="00431E1C" w:rsidRPr="00BC1417" w:rsidRDefault="00431E1C" w:rsidP="00CE1C0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2206" w:type="pct"/>
          </w:tcPr>
          <w:p w14:paraId="7838A4A4" w14:textId="77777777" w:rsidR="00431E1C" w:rsidRPr="00BC1417" w:rsidRDefault="00431E1C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BC1417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0112A7B" w14:textId="77777777" w:rsidR="00431E1C" w:rsidRPr="00BC1417" w:rsidRDefault="00431E1C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BC1417">
              <w:rPr>
                <w:rFonts w:hint="cs"/>
                <w:position w:val="2"/>
                <w:rtl/>
              </w:rPr>
              <w:t>-</w:t>
            </w:r>
            <w:r w:rsidRPr="00BC1417">
              <w:rPr>
                <w:position w:val="2"/>
                <w:rtl/>
              </w:rPr>
              <w:tab/>
            </w:r>
            <w:r w:rsidRPr="00BC1417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BC1417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Pr="00BC1417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1D9770C0" w14:textId="77777777" w:rsidR="00431E1C" w:rsidRPr="00BC1417" w:rsidRDefault="00431E1C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BC1417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BC1417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BC1417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5CD34D7" w14:textId="77777777" w:rsidR="00431E1C" w:rsidRPr="00BC1417" w:rsidRDefault="00431E1C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BC1417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BC1417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BC1417" w14:paraId="0BE83A5A" w14:textId="77777777" w:rsidTr="00431E1C">
        <w:trPr>
          <w:cantSplit/>
          <w:jc w:val="center"/>
        </w:trPr>
        <w:tc>
          <w:tcPr>
            <w:tcW w:w="809" w:type="pct"/>
          </w:tcPr>
          <w:p w14:paraId="5441DA77" w14:textId="77777777" w:rsidR="00CE1C08" w:rsidRPr="00BC1417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85" w:type="pct"/>
          </w:tcPr>
          <w:p w14:paraId="7D66E929" w14:textId="77777777" w:rsidR="00CE1C08" w:rsidRPr="00BC1417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00BB33E" w14:textId="77777777" w:rsidR="00CE1C08" w:rsidRPr="00BC1417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BC1417" w14:paraId="0F22CEDD" w14:textId="77777777" w:rsidTr="00431E1C">
        <w:trPr>
          <w:cantSplit/>
          <w:jc w:val="center"/>
        </w:trPr>
        <w:tc>
          <w:tcPr>
            <w:tcW w:w="809" w:type="pct"/>
          </w:tcPr>
          <w:p w14:paraId="671346AA" w14:textId="77777777" w:rsidR="00CE1C08" w:rsidRPr="00BC1417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C1417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1" w:type="pct"/>
            <w:gridSpan w:val="2"/>
          </w:tcPr>
          <w:p w14:paraId="698ADBE5" w14:textId="0A1E538E" w:rsidR="00CE1C08" w:rsidRPr="00BC1417" w:rsidRDefault="002716B2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سلسلة الحلقات الدراسية الإلكترونية بشأن التحول الرقمي</w:t>
            </w:r>
            <w:r w:rsidR="0007069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: </w:t>
            </w:r>
            <w:r w:rsidR="00757A2D">
              <w:rPr>
                <w:rFonts w:hint="cs"/>
                <w:b/>
                <w:bCs/>
                <w:position w:val="2"/>
                <w:rtl/>
                <w:lang w:bidi="ar-EG"/>
              </w:rPr>
              <w:t>حلقات إضافية</w:t>
            </w:r>
            <w:r w:rsidR="00757A2D">
              <w:rPr>
                <w:b/>
                <w:bCs/>
                <w:position w:val="2"/>
                <w:rtl/>
              </w:rPr>
              <w:t xml:space="preserve"> </w:t>
            </w:r>
            <w:r>
              <w:rPr>
                <w:b/>
                <w:bCs/>
                <w:position w:val="2"/>
                <w:rtl/>
              </w:rPr>
              <w:br/>
            </w:r>
            <w:r>
              <w:rPr>
                <w:rFonts w:hint="cs"/>
                <w:bCs/>
                <w:position w:val="2"/>
                <w:rtl/>
              </w:rPr>
              <w:t>(اجتماعات افتراضية بالكامل)</w:t>
            </w:r>
          </w:p>
        </w:tc>
      </w:tr>
    </w:tbl>
    <w:p w14:paraId="4566B2A0" w14:textId="77777777" w:rsidR="00D517B2" w:rsidRPr="00D517B2" w:rsidRDefault="00D517B2" w:rsidP="006635B2">
      <w:pPr>
        <w:spacing w:before="600"/>
        <w:rPr>
          <w:lang w:bidi="ar-SY"/>
        </w:rPr>
      </w:pPr>
      <w:r w:rsidRPr="00BC1417">
        <w:rPr>
          <w:rFonts w:hint="cs"/>
          <w:rtl/>
          <w:lang w:bidi="ar-SY"/>
        </w:rPr>
        <w:t>حضرات السادة والسيدات،</w:t>
      </w:r>
    </w:p>
    <w:p w14:paraId="0FDF82C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F2B0356" w14:textId="242DC828" w:rsidR="00E108E2" w:rsidRDefault="00381802" w:rsidP="00757A2D">
      <w:pPr>
        <w:rPr>
          <w:lang w:bidi="ar-EG"/>
        </w:rPr>
      </w:pPr>
      <w:r>
        <w:rPr>
          <w:lang w:bidi="ar-SY"/>
        </w:rPr>
        <w:t>1</w:t>
      </w:r>
      <w:r>
        <w:rPr>
          <w:rtl/>
          <w:lang w:bidi="ar-EG"/>
        </w:rPr>
        <w:tab/>
      </w:r>
      <w:r w:rsidR="00071104">
        <w:rPr>
          <w:rFonts w:hint="cs"/>
          <w:rtl/>
          <w:lang w:bidi="ar-EG"/>
        </w:rPr>
        <w:t>ينظم الاتحاد</w:t>
      </w:r>
      <w:r w:rsidR="00757A2D">
        <w:rPr>
          <w:rFonts w:hint="cs"/>
          <w:rtl/>
          <w:lang w:bidi="ar-EG"/>
        </w:rPr>
        <w:t xml:space="preserve"> الدولي للاتصالات</w:t>
      </w:r>
      <w:r w:rsidR="00F12BBA">
        <w:rPr>
          <w:rFonts w:hint="cs"/>
          <w:rtl/>
          <w:lang w:bidi="ar-EG"/>
        </w:rPr>
        <w:t xml:space="preserve"> </w:t>
      </w:r>
      <w:r w:rsidR="00F12BBA">
        <w:rPr>
          <w:lang w:bidi="ar-EG"/>
        </w:rPr>
        <w:t>(ITU)</w:t>
      </w:r>
      <w:r w:rsidR="00757A2D">
        <w:rPr>
          <w:rFonts w:hint="cs"/>
          <w:rtl/>
          <w:lang w:bidi="ar-EG"/>
        </w:rPr>
        <w:t xml:space="preserve"> بانتظام</w:t>
      </w:r>
      <w:r w:rsidR="00071104">
        <w:rPr>
          <w:rFonts w:hint="cs"/>
          <w:rtl/>
          <w:lang w:bidi="ar-EG"/>
        </w:rPr>
        <w:t xml:space="preserve">، بالتعاون مع </w:t>
      </w:r>
      <w:r w:rsidR="00757A2D">
        <w:rPr>
          <w:rFonts w:hint="cs"/>
          <w:rtl/>
          <w:lang w:bidi="ar-EG"/>
        </w:rPr>
        <w:t>أصحاب مصلحة آخرين</w:t>
      </w:r>
      <w:r w:rsidR="00071104">
        <w:rPr>
          <w:rFonts w:hint="cs"/>
          <w:rtl/>
          <w:lang w:bidi="ar-EG"/>
        </w:rPr>
        <w:t xml:space="preserve"> ووكالات أخرى تابعة للأمم المتحدة، حلقات دراسية إلكترونية </w:t>
      </w:r>
      <w:r w:rsidR="00757A2D">
        <w:rPr>
          <w:rFonts w:hint="cs"/>
          <w:rtl/>
          <w:lang w:bidi="ar-EG"/>
        </w:rPr>
        <w:t xml:space="preserve">في إطار </w:t>
      </w:r>
      <w:r w:rsidR="00757A2D" w:rsidRPr="00757A2D">
        <w:rPr>
          <w:rFonts w:hint="cs"/>
          <w:b/>
          <w:bCs/>
          <w:rtl/>
        </w:rPr>
        <w:t>سلسلة الحلقات الدراسية الإلكترونية بشأن التحول الرقمي</w:t>
      </w:r>
      <w:r w:rsidR="00757A2D">
        <w:rPr>
          <w:rFonts w:hint="cs"/>
          <w:rtl/>
        </w:rPr>
        <w:t>، من أجل دراسة أثر التكنولوجيات الناشئة والرقمية عبر المجالات في العصر الرقمي</w:t>
      </w:r>
      <w:r w:rsidR="001F7190">
        <w:rPr>
          <w:rFonts w:hint="cs"/>
          <w:rtl/>
        </w:rPr>
        <w:t xml:space="preserve">، </w:t>
      </w:r>
      <w:r w:rsidR="00F16793">
        <w:rPr>
          <w:rFonts w:hint="cs"/>
          <w:rtl/>
          <w:lang w:bidi="ar-EG"/>
        </w:rPr>
        <w:t xml:space="preserve">واستكشاف دور التقييس في </w:t>
      </w:r>
      <w:r w:rsidR="001F7190">
        <w:rPr>
          <w:rFonts w:hint="cs"/>
          <w:rtl/>
          <w:lang w:bidi="ar-EG"/>
        </w:rPr>
        <w:t>هذا الصدد</w:t>
      </w:r>
      <w:r w:rsidR="00F16793">
        <w:rPr>
          <w:rFonts w:hint="cs"/>
          <w:rtl/>
          <w:lang w:bidi="ar-EG"/>
        </w:rPr>
        <w:t>.</w:t>
      </w:r>
    </w:p>
    <w:p w14:paraId="0CA83621" w14:textId="7EA4179B" w:rsidR="00D517B2" w:rsidRDefault="001F7190" w:rsidP="00D517B2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1F7190">
        <w:rPr>
          <w:rtl/>
          <w:lang w:bidi="ar-EG"/>
        </w:rPr>
        <w:t xml:space="preserve">نظمت سلسلة </w:t>
      </w:r>
      <w:r>
        <w:rPr>
          <w:rFonts w:hint="cs"/>
          <w:rtl/>
          <w:lang w:bidi="ar-EG"/>
        </w:rPr>
        <w:t>الحلقات الدراسية الإلكترونية</w:t>
      </w:r>
      <w:r w:rsidRPr="001F7190">
        <w:rPr>
          <w:rtl/>
          <w:lang w:bidi="ar-EG"/>
        </w:rPr>
        <w:t xml:space="preserve"> هذه أكثر من 30 حلقة حتى الآن وكانت بمثابة منصة مثالية </w:t>
      </w:r>
      <w:r w:rsidR="00497153">
        <w:rPr>
          <w:rFonts w:hint="cs"/>
          <w:rtl/>
          <w:lang w:bidi="ar-EG"/>
        </w:rPr>
        <w:t>لتسليط الضوء على أحدث أعمال ونتائج لجان دراسات قطاع تقييس الاتصالات</w:t>
      </w:r>
      <w:r>
        <w:rPr>
          <w:rFonts w:hint="cs"/>
          <w:rtl/>
          <w:lang w:bidi="ar-EG"/>
        </w:rPr>
        <w:t xml:space="preserve"> وأفرقته المتخصصة ومبادراته</w:t>
      </w:r>
      <w:r w:rsidR="00497153">
        <w:rPr>
          <w:rFonts w:hint="cs"/>
          <w:rtl/>
          <w:lang w:bidi="ar-EG"/>
        </w:rPr>
        <w:t xml:space="preserve">، بما في ذلك </w:t>
      </w:r>
      <w:hyperlink r:id="rId10" w:history="1">
        <w:r w:rsidR="00497153" w:rsidRPr="00A57558">
          <w:rPr>
            <w:rStyle w:val="Hyperlink"/>
            <w:rFonts w:hint="cs"/>
            <w:rtl/>
            <w:lang w:bidi="ar-EG"/>
          </w:rPr>
          <w:t xml:space="preserve">لجنة الدراسات </w:t>
        </w:r>
        <w:r w:rsidR="00497153" w:rsidRPr="00A57558">
          <w:rPr>
            <w:rStyle w:val="Hyperlink"/>
            <w:lang w:bidi="ar-EG"/>
          </w:rPr>
          <w:t>20</w:t>
        </w:r>
        <w:r w:rsidR="00497153" w:rsidRPr="00A57558">
          <w:rPr>
            <w:rStyle w:val="Hyperlink"/>
            <w:rFonts w:hint="cs"/>
            <w:rtl/>
            <w:lang w:bidi="ar-EG"/>
          </w:rPr>
          <w:t xml:space="preserve"> لقطاع تقييس الاتصالات "إنترنت الأشياء </w:t>
        </w:r>
        <w:r w:rsidR="00497153" w:rsidRPr="00A57558">
          <w:rPr>
            <w:rStyle w:val="Hyperlink"/>
            <w:lang w:bidi="ar-EG"/>
          </w:rPr>
          <w:t>(IoT)</w:t>
        </w:r>
        <w:r w:rsidR="00497153" w:rsidRPr="00A57558">
          <w:rPr>
            <w:rStyle w:val="Hyperlink"/>
            <w:rFonts w:hint="cs"/>
            <w:rtl/>
            <w:lang w:bidi="ar-EG"/>
          </w:rPr>
          <w:t xml:space="preserve"> والمدن والمجتمعات الذكية </w:t>
        </w:r>
        <w:r w:rsidR="00497153" w:rsidRPr="00A57558">
          <w:rPr>
            <w:rStyle w:val="Hyperlink"/>
            <w:lang w:bidi="ar-EG"/>
          </w:rPr>
          <w:t>(SC&amp;C)</w:t>
        </w:r>
      </w:hyperlink>
      <w:r w:rsidR="00431E1C">
        <w:rPr>
          <w:rStyle w:val="Hyperlink"/>
          <w:rFonts w:hint="cs"/>
          <w:rtl/>
          <w:lang w:bidi="ar-EG"/>
        </w:rPr>
        <w:t>"</w:t>
      </w:r>
      <w:r w:rsidR="00497153">
        <w:rPr>
          <w:rFonts w:hint="cs"/>
          <w:rtl/>
          <w:lang w:bidi="ar-EG"/>
        </w:rPr>
        <w:t>.</w:t>
      </w:r>
    </w:p>
    <w:p w14:paraId="31A18463" w14:textId="3A84B999" w:rsidR="00867CC6" w:rsidRDefault="00381802" w:rsidP="00EB43A1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C76B3F">
        <w:rPr>
          <w:rFonts w:hint="cs"/>
          <w:rtl/>
          <w:lang w:bidi="ar-EG"/>
        </w:rPr>
        <w:t xml:space="preserve">إلى جانب الحلقات المعلن عنها في </w:t>
      </w:r>
      <w:hyperlink r:id="rId11" w:history="1">
        <w:r w:rsidR="00C76B3F" w:rsidRPr="00431E1C">
          <w:rPr>
            <w:rStyle w:val="Hyperlink"/>
            <w:rFonts w:hint="cs"/>
            <w:rtl/>
            <w:lang w:bidi="ar-EG"/>
          </w:rPr>
          <w:t>الرسالة المعممة 97 لمكتب تقييس الاتصالات</w:t>
        </w:r>
      </w:hyperlink>
      <w:r w:rsidR="00C76B3F">
        <w:rPr>
          <w:rFonts w:hint="cs"/>
          <w:rtl/>
          <w:lang w:bidi="ar-EG"/>
        </w:rPr>
        <w:t>،</w:t>
      </w:r>
      <w:r w:rsidR="00EB43A1">
        <w:rPr>
          <w:rFonts w:hint="cs"/>
          <w:rtl/>
          <w:lang w:bidi="ar-EG"/>
        </w:rPr>
        <w:t xml:space="preserve"> </w:t>
      </w:r>
      <w:r w:rsidR="00A53942">
        <w:rPr>
          <w:rFonts w:hint="cs"/>
          <w:rtl/>
          <w:lang w:bidi="ar-EG"/>
        </w:rPr>
        <w:t xml:space="preserve">من </w:t>
      </w:r>
      <w:r w:rsidR="00D22321">
        <w:rPr>
          <w:rFonts w:hint="cs"/>
          <w:rtl/>
          <w:lang w:bidi="ar-EG"/>
        </w:rPr>
        <w:t>المخطط</w:t>
      </w:r>
      <w:r w:rsidR="00A53942">
        <w:rPr>
          <w:rFonts w:hint="cs"/>
          <w:rtl/>
          <w:lang w:bidi="ar-EG"/>
        </w:rPr>
        <w:t xml:space="preserve"> عقد الحلقات التالية:</w:t>
      </w:r>
    </w:p>
    <w:p w14:paraId="0C6B72B9" w14:textId="10D0F89A" w:rsidR="00A53942" w:rsidRDefault="00EB43A1" w:rsidP="00D041C7">
      <w:pPr>
        <w:pStyle w:val="enumlev1"/>
        <w:rPr>
          <w:rtl/>
          <w:lang w:bidi="ar-EG"/>
        </w:rPr>
      </w:pPr>
      <w:r>
        <w:rPr>
          <w:rFonts w:hint="cs"/>
          <w:rtl/>
        </w:rPr>
        <w:t xml:space="preserve"> </w:t>
      </w:r>
      <w:r w:rsidR="00A53942">
        <w:rPr>
          <w:rFonts w:hint="cs"/>
          <w:rtl/>
        </w:rPr>
        <w:t>أ )</w:t>
      </w:r>
      <w:r w:rsidR="00A53942">
        <w:rPr>
          <w:rtl/>
        </w:rPr>
        <w:tab/>
      </w:r>
      <w:r w:rsidR="00A53942">
        <w:rPr>
          <w:rFonts w:hint="cs"/>
          <w:rtl/>
        </w:rPr>
        <w:t xml:space="preserve">من </w:t>
      </w:r>
      <w:r w:rsidR="00D22321">
        <w:rPr>
          <w:rFonts w:hint="cs"/>
          <w:rtl/>
        </w:rPr>
        <w:t>المخطط</w:t>
      </w:r>
      <w:r w:rsidR="00A53942">
        <w:rPr>
          <w:rFonts w:hint="cs"/>
          <w:rtl/>
        </w:rPr>
        <w:t xml:space="preserve"> أن تُعقد حلقة بشأن </w:t>
      </w:r>
      <w:r w:rsidR="00C76B3F">
        <w:rPr>
          <w:rFonts w:hint="cs"/>
          <w:b/>
          <w:bCs/>
          <w:rtl/>
        </w:rPr>
        <w:t>ماهي</w:t>
      </w:r>
      <w:r w:rsidR="00B3392B">
        <w:rPr>
          <w:rFonts w:hint="cs"/>
          <w:b/>
          <w:bCs/>
          <w:rtl/>
        </w:rPr>
        <w:t>ة</w:t>
      </w:r>
      <w:r w:rsidR="00C76B3F">
        <w:rPr>
          <w:rFonts w:hint="cs"/>
          <w:b/>
          <w:bCs/>
          <w:rtl/>
        </w:rPr>
        <w:t xml:space="preserve"> مدينة </w:t>
      </w:r>
      <w:proofErr w:type="spellStart"/>
      <w:r w:rsidR="00C76B3F">
        <w:rPr>
          <w:rFonts w:hint="cs"/>
          <w:b/>
          <w:bCs/>
          <w:rtl/>
        </w:rPr>
        <w:t>الميتافرس</w:t>
      </w:r>
      <w:proofErr w:type="spellEnd"/>
      <w:r w:rsidR="00C76B3F">
        <w:rPr>
          <w:rFonts w:hint="cs"/>
          <w:b/>
          <w:bCs/>
          <w:rtl/>
        </w:rPr>
        <w:t>، وكيف يمكنها أن تسهم في تطوير المدن المستدامة؟: التحديات والفرص</w:t>
      </w:r>
      <w:r w:rsidR="00A53942">
        <w:rPr>
          <w:rFonts w:hint="cs"/>
          <w:rtl/>
        </w:rPr>
        <w:t xml:space="preserve"> </w:t>
      </w:r>
      <w:r w:rsidR="00717C6B">
        <w:rPr>
          <w:rFonts w:hint="cs"/>
          <w:rtl/>
        </w:rPr>
        <w:t xml:space="preserve">في </w:t>
      </w:r>
      <w:r w:rsidR="002F1892">
        <w:t>24</w:t>
      </w:r>
      <w:r w:rsidR="00717C6B">
        <w:rPr>
          <w:rFonts w:hint="cs"/>
          <w:rtl/>
        </w:rPr>
        <w:t xml:space="preserve"> </w:t>
      </w:r>
      <w:r w:rsidR="002F1892">
        <w:rPr>
          <w:rFonts w:hint="cs"/>
          <w:rtl/>
        </w:rPr>
        <w:t>أكتوبر</w:t>
      </w:r>
      <w:r w:rsidR="00717C6B">
        <w:rPr>
          <w:rFonts w:hint="cs"/>
          <w:rtl/>
        </w:rPr>
        <w:t xml:space="preserve"> </w:t>
      </w:r>
      <w:r w:rsidR="00717C6B">
        <w:t>2023</w:t>
      </w:r>
      <w:r w:rsidR="00717C6B">
        <w:rPr>
          <w:rFonts w:hint="cs"/>
          <w:rtl/>
        </w:rPr>
        <w:t xml:space="preserve">. </w:t>
      </w:r>
      <w:r w:rsidR="00C76B3F">
        <w:rPr>
          <w:rFonts w:hint="cs"/>
          <w:rtl/>
        </w:rPr>
        <w:t xml:space="preserve">وستنظر في مفهوم مدينة </w:t>
      </w:r>
      <w:proofErr w:type="spellStart"/>
      <w:r w:rsidR="00C76B3F">
        <w:rPr>
          <w:rFonts w:hint="cs"/>
          <w:rtl/>
        </w:rPr>
        <w:t>الميتافرس</w:t>
      </w:r>
      <w:proofErr w:type="spellEnd"/>
      <w:r w:rsidR="00C76B3F">
        <w:rPr>
          <w:rFonts w:hint="cs"/>
          <w:rtl/>
        </w:rPr>
        <w:t xml:space="preserve"> وكيف يمكنها أن تسهم في </w:t>
      </w:r>
      <w:r w:rsidR="00B9079D">
        <w:rPr>
          <w:rFonts w:hint="cs"/>
          <w:rtl/>
        </w:rPr>
        <w:t xml:space="preserve">الحكومات المحلية والإقليمية </w:t>
      </w:r>
      <w:r w:rsidR="00B9079D">
        <w:t>(LRG)</w:t>
      </w:r>
      <w:r w:rsidR="00B9079D">
        <w:rPr>
          <w:rFonts w:hint="cs"/>
          <w:rtl/>
          <w:lang w:bidi="ar-EG"/>
        </w:rPr>
        <w:t xml:space="preserve"> بتقديم خدمات مستدامة، ومن ثم تحقيق خطة عام 2030. وستتطرق الحلقة أيضاً إلى المنافع الاجتماعية-الاقتصادية التي يمكن لمدينة </w:t>
      </w:r>
      <w:proofErr w:type="spellStart"/>
      <w:r w:rsidR="00B9079D">
        <w:rPr>
          <w:rFonts w:hint="cs"/>
          <w:rtl/>
          <w:lang w:bidi="ar-EG"/>
        </w:rPr>
        <w:t>الميتافرس</w:t>
      </w:r>
      <w:proofErr w:type="spellEnd"/>
      <w:r w:rsidR="00B9079D">
        <w:rPr>
          <w:rFonts w:hint="cs"/>
          <w:rtl/>
          <w:lang w:bidi="ar-EG"/>
        </w:rPr>
        <w:t xml:space="preserve"> أن تجلبها ل</w:t>
      </w:r>
      <w:r w:rsidR="00B9079D" w:rsidRPr="00B9079D">
        <w:rPr>
          <w:rtl/>
          <w:lang w:bidi="ar-EG"/>
        </w:rPr>
        <w:t>لحكومات المحلية والإقليمية</w:t>
      </w:r>
      <w:r w:rsidR="00B9079D">
        <w:rPr>
          <w:rFonts w:hint="cs"/>
          <w:rtl/>
          <w:lang w:bidi="ar-EG"/>
        </w:rPr>
        <w:t>.</w:t>
      </w:r>
    </w:p>
    <w:p w14:paraId="72D7846D" w14:textId="3BDDF381" w:rsidR="00A906BF" w:rsidRDefault="00D041C7" w:rsidP="00B3392B">
      <w:pPr>
        <w:pStyle w:val="enumlev1"/>
        <w:rPr>
          <w:rtl/>
        </w:rPr>
      </w:pPr>
      <w:r w:rsidRPr="00235A9F">
        <w:rPr>
          <w:rFonts w:hint="cs"/>
          <w:rtl/>
        </w:rPr>
        <w:t>ب)</w:t>
      </w:r>
      <w:r w:rsidRPr="00235A9F">
        <w:rPr>
          <w:rtl/>
        </w:rPr>
        <w:tab/>
      </w:r>
      <w:r w:rsidR="00B3392B">
        <w:rPr>
          <w:rFonts w:hint="cs"/>
          <w:rtl/>
        </w:rPr>
        <w:t>من المخطط أن تُعقد</w:t>
      </w:r>
      <w:r w:rsidR="00431E1C">
        <w:rPr>
          <w:rFonts w:hint="cs"/>
          <w:rtl/>
        </w:rPr>
        <w:t xml:space="preserve"> </w:t>
      </w:r>
      <w:r w:rsidR="00B3392B">
        <w:rPr>
          <w:rFonts w:hint="cs"/>
          <w:rtl/>
        </w:rPr>
        <w:t xml:space="preserve">حلقة بشأن </w:t>
      </w:r>
      <w:r w:rsidR="00B3392B" w:rsidRPr="00B3392B">
        <w:rPr>
          <w:rFonts w:hint="cs"/>
          <w:b/>
          <w:bCs/>
          <w:rtl/>
          <w:lang w:bidi="ar-SA"/>
        </w:rPr>
        <w:t xml:space="preserve">ماهية مدينة </w:t>
      </w:r>
      <w:proofErr w:type="spellStart"/>
      <w:r w:rsidR="00B3392B" w:rsidRPr="00B3392B">
        <w:rPr>
          <w:rFonts w:hint="cs"/>
          <w:b/>
          <w:bCs/>
          <w:rtl/>
          <w:lang w:bidi="ar-SA"/>
        </w:rPr>
        <w:t>الميتافرس</w:t>
      </w:r>
      <w:proofErr w:type="spellEnd"/>
      <w:r w:rsidR="00B3392B" w:rsidRPr="00B3392B">
        <w:rPr>
          <w:rFonts w:hint="cs"/>
          <w:b/>
          <w:bCs/>
          <w:rtl/>
          <w:lang w:bidi="ar-SA"/>
        </w:rPr>
        <w:t>، وكيف يمكنها أن تسهم في تطوير المدن المستدامة؟:</w:t>
      </w:r>
      <w:r w:rsidR="00B3392B">
        <w:rPr>
          <w:rFonts w:hint="cs"/>
          <w:b/>
          <w:bCs/>
          <w:rtl/>
          <w:lang w:bidi="ar-SA"/>
        </w:rPr>
        <w:t xml:space="preserve"> مشاريع وخطط مستقبلية ملموسة </w:t>
      </w:r>
      <w:r w:rsidR="00B3392B" w:rsidRPr="00B3392B">
        <w:rPr>
          <w:rFonts w:hint="cs"/>
          <w:rtl/>
          <w:lang w:bidi="ar-SA"/>
        </w:rPr>
        <w:t>في 23 نوفمبر 2023.</w:t>
      </w:r>
      <w:r w:rsidR="00B3392B">
        <w:rPr>
          <w:rFonts w:hint="cs"/>
          <w:rtl/>
          <w:lang w:bidi="ar-SA"/>
        </w:rPr>
        <w:t xml:space="preserve"> </w:t>
      </w:r>
      <w:r w:rsidR="00B3392B" w:rsidRPr="00B3392B">
        <w:rPr>
          <w:rtl/>
          <w:lang w:bidi="ar-SA"/>
        </w:rPr>
        <w:t xml:space="preserve">وسوف </w:t>
      </w:r>
      <w:r w:rsidR="00B3392B">
        <w:rPr>
          <w:rFonts w:hint="cs"/>
          <w:rtl/>
          <w:lang w:bidi="ar-SA"/>
        </w:rPr>
        <w:t>تتناول</w:t>
      </w:r>
      <w:r w:rsidR="00B3392B" w:rsidRPr="00B3392B">
        <w:rPr>
          <w:rtl/>
          <w:lang w:bidi="ar-SA"/>
        </w:rPr>
        <w:t xml:space="preserve"> بالتفصيل الأمثلة والإغراءات </w:t>
      </w:r>
      <w:r w:rsidR="00B3392B">
        <w:rPr>
          <w:rFonts w:hint="cs"/>
          <w:rtl/>
          <w:lang w:bidi="ar-SA"/>
        </w:rPr>
        <w:t>غير الحقيقية</w:t>
      </w:r>
      <w:r w:rsidR="00B3392B" w:rsidRPr="00B3392B">
        <w:rPr>
          <w:rtl/>
          <w:lang w:bidi="ar-SA"/>
        </w:rPr>
        <w:t xml:space="preserve"> في سياق مدينة</w:t>
      </w:r>
      <w:r w:rsidR="00B3392B">
        <w:rPr>
          <w:rFonts w:hint="cs"/>
          <w:rtl/>
          <w:lang w:bidi="ar-SA"/>
        </w:rPr>
        <w:t xml:space="preserve"> </w:t>
      </w:r>
      <w:proofErr w:type="spellStart"/>
      <w:r w:rsidR="00B3392B">
        <w:rPr>
          <w:rFonts w:hint="cs"/>
          <w:rtl/>
          <w:lang w:bidi="ar-SA"/>
        </w:rPr>
        <w:t>الميتافرس</w:t>
      </w:r>
      <w:proofErr w:type="spellEnd"/>
      <w:r w:rsidR="00B3392B" w:rsidRPr="00B3392B">
        <w:rPr>
          <w:rtl/>
          <w:lang w:bidi="ar-SA"/>
        </w:rPr>
        <w:t xml:space="preserve">. وسوف </w:t>
      </w:r>
      <w:r w:rsidR="00B3392B">
        <w:rPr>
          <w:rFonts w:hint="cs"/>
          <w:rtl/>
          <w:lang w:bidi="ar-SA"/>
        </w:rPr>
        <w:t>ت</w:t>
      </w:r>
      <w:r w:rsidR="00B3392B" w:rsidRPr="00B3392B">
        <w:rPr>
          <w:rtl/>
          <w:lang w:bidi="ar-SA"/>
        </w:rPr>
        <w:t>جيب أيضا</w:t>
      </w:r>
      <w:r w:rsidR="00B3392B">
        <w:rPr>
          <w:rFonts w:hint="cs"/>
          <w:rtl/>
          <w:lang w:bidi="ar-SA"/>
        </w:rPr>
        <w:t>ً</w:t>
      </w:r>
      <w:r w:rsidR="00B3392B" w:rsidRPr="00B3392B">
        <w:rPr>
          <w:rtl/>
          <w:lang w:bidi="ar-SA"/>
        </w:rPr>
        <w:t xml:space="preserve"> على </w:t>
      </w:r>
      <w:r w:rsidR="00B3392B">
        <w:rPr>
          <w:rFonts w:hint="cs"/>
          <w:rtl/>
          <w:lang w:bidi="ar-SA"/>
        </w:rPr>
        <w:t>مسألة</w:t>
      </w:r>
      <w:r w:rsidR="00B3392B" w:rsidRPr="00B3392B">
        <w:rPr>
          <w:rtl/>
          <w:lang w:bidi="ar-SA"/>
        </w:rPr>
        <w:t xml:space="preserve"> اختيار النهج الصحيح </w:t>
      </w:r>
      <w:r w:rsidR="004B465D">
        <w:rPr>
          <w:rFonts w:hint="cs"/>
          <w:rtl/>
          <w:lang w:bidi="ar-SA"/>
        </w:rPr>
        <w:t xml:space="preserve">لتطوير مدينة </w:t>
      </w:r>
      <w:proofErr w:type="spellStart"/>
      <w:r w:rsidR="004B465D">
        <w:rPr>
          <w:rFonts w:hint="cs"/>
          <w:rtl/>
          <w:lang w:bidi="ar-SA"/>
        </w:rPr>
        <w:t>الميتافرس</w:t>
      </w:r>
      <w:proofErr w:type="spellEnd"/>
      <w:r w:rsidR="00B3392B" w:rsidRPr="00B3392B">
        <w:rPr>
          <w:rtl/>
          <w:lang w:bidi="ar-SA"/>
        </w:rPr>
        <w:t xml:space="preserve"> من أجل المرونة الحضرية.</w:t>
      </w:r>
    </w:p>
    <w:p w14:paraId="1819387E" w14:textId="5E19B024" w:rsidR="004D038C" w:rsidRPr="00020F19" w:rsidRDefault="002E64E3" w:rsidP="004D038C">
      <w:pPr>
        <w:rPr>
          <w:rtl/>
          <w:lang w:bidi="ar-EG"/>
        </w:rPr>
      </w:pPr>
      <w:r>
        <w:rPr>
          <w:lang w:bidi="ar-EG"/>
        </w:rPr>
        <w:t>3</w:t>
      </w:r>
      <w:r w:rsidR="004D038C" w:rsidRPr="00020F19">
        <w:rPr>
          <w:rtl/>
          <w:lang w:bidi="ar-EG"/>
        </w:rPr>
        <w:tab/>
      </w:r>
      <w:r w:rsidR="004D038C" w:rsidRPr="00020F19">
        <w:rPr>
          <w:rFonts w:hint="cs"/>
          <w:rtl/>
          <w:lang w:bidi="ar-EG"/>
        </w:rPr>
        <w:t xml:space="preserve">وباب المشاركة في الحلقات مفتوح أمام الدول الأعضاء في الاتحاد وأعضاء القطاعات والمنتسبين والمؤسسات الأكاديمية وأمام أي شخص من بلد عضو في الاتحاد يرغب في المساهمة في العمل. </w:t>
      </w:r>
      <w:r w:rsidR="00FC6947" w:rsidRPr="00020F19">
        <w:rPr>
          <w:rFonts w:hint="cs"/>
          <w:rtl/>
          <w:lang w:bidi="ar-EG"/>
        </w:rPr>
        <w:t>ويشمل ذلك الأفراد الذين هم أعضاء في</w:t>
      </w:r>
      <w:r w:rsidR="007855D1" w:rsidRPr="00020F19">
        <w:rPr>
          <w:rFonts w:hint="eastAsia"/>
          <w:rtl/>
          <w:lang w:bidi="ar-EG"/>
        </w:rPr>
        <w:t> </w:t>
      </w:r>
      <w:r w:rsidR="00FC6947" w:rsidRPr="00020F19">
        <w:rPr>
          <w:rFonts w:hint="cs"/>
          <w:rtl/>
          <w:lang w:bidi="ar-EG"/>
        </w:rPr>
        <w:t xml:space="preserve">منظمات دولية وإقليمية ووطنية. والمشاركة </w:t>
      </w:r>
      <w:r w:rsidR="007E4663" w:rsidRPr="00020F19">
        <w:rPr>
          <w:rFonts w:hint="cs"/>
          <w:rtl/>
          <w:lang w:bidi="ar-EG"/>
        </w:rPr>
        <w:t xml:space="preserve">في الحلقات </w:t>
      </w:r>
      <w:r w:rsidR="007855D1" w:rsidRPr="00020F19">
        <w:rPr>
          <w:rFonts w:hint="cs"/>
          <w:rtl/>
          <w:lang w:bidi="ar-EG"/>
        </w:rPr>
        <w:t>مجانية.</w:t>
      </w:r>
    </w:p>
    <w:p w14:paraId="3D397891" w14:textId="2FC439B2" w:rsidR="007855D1" w:rsidRDefault="002E64E3" w:rsidP="00431E1C">
      <w:pPr>
        <w:rPr>
          <w:rStyle w:val="Hyperlink"/>
          <w:rFonts w:asciiTheme="minorHAnsi" w:hAnsiTheme="minorHAnsi" w:cstheme="minorHAnsi"/>
          <w:color w:val="auto"/>
          <w:u w:val="none"/>
          <w:rtl/>
        </w:rPr>
      </w:pPr>
      <w:r>
        <w:rPr>
          <w:lang w:bidi="ar-EG"/>
        </w:rPr>
        <w:lastRenderedPageBreak/>
        <w:t>4</w:t>
      </w:r>
      <w:r w:rsidR="008A2100">
        <w:rPr>
          <w:rtl/>
          <w:lang w:bidi="ar-EG"/>
        </w:rPr>
        <w:tab/>
      </w:r>
      <w:r w:rsidR="008A2100">
        <w:rPr>
          <w:rFonts w:hint="cs"/>
          <w:rtl/>
          <w:lang w:bidi="ar-EG"/>
        </w:rPr>
        <w:t xml:space="preserve">وستتاح المعلومات </w:t>
      </w:r>
      <w:r w:rsidR="007E4663">
        <w:rPr>
          <w:rFonts w:hint="cs"/>
          <w:rtl/>
          <w:lang w:bidi="ar-EG"/>
        </w:rPr>
        <w:t>المتعلقة</w:t>
      </w:r>
      <w:r w:rsidR="008A2100">
        <w:rPr>
          <w:rFonts w:hint="cs"/>
          <w:rtl/>
          <w:lang w:bidi="ar-EG"/>
        </w:rPr>
        <w:t xml:space="preserve"> بهذه الحلقات، بما في ذلك مشروع البرنامج والمتحدثون ورابط التسجيل في الصفحة الإلكترونية للحلقة المعنية في صفحة الاستقبال الرئيسية في العنوان: </w:t>
      </w:r>
      <w:hyperlink r:id="rId12" w:history="1">
        <w:r w:rsidR="00A906BF" w:rsidRPr="00D026FF">
          <w:rPr>
            <w:rStyle w:val="Hyperlink"/>
            <w:rFonts w:asciiTheme="minorHAnsi" w:hAnsiTheme="minorHAnsi" w:cstheme="minorHAnsi"/>
          </w:rPr>
          <w:t>https://www.itu.int/cities/standards4dt/</w:t>
        </w:r>
      </w:hyperlink>
      <w:r w:rsidR="008A2100" w:rsidRPr="008A2100">
        <w:rPr>
          <w:rStyle w:val="Hyperlink"/>
          <w:rFonts w:asciiTheme="minorHAnsi" w:hAnsiTheme="minorHAnsi" w:cstheme="minorHAnsi" w:hint="cs"/>
          <w:color w:val="auto"/>
          <w:u w:val="none"/>
          <w:rtl/>
        </w:rPr>
        <w:t>.</w:t>
      </w:r>
    </w:p>
    <w:p w14:paraId="04AA8EBE" w14:textId="0AD4B31F" w:rsidR="005C4350" w:rsidRDefault="005C4350" w:rsidP="004D038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وسيتم تحديث هذه المواقع الإلكترونية بانتظام كلما توفرت معلومات جديدة أو معدَّلة. ويُرجى من المشاركين المواظبة على زيارة الصفحة الإلكترونية </w:t>
      </w:r>
      <w:r w:rsidR="00BE399B">
        <w:rPr>
          <w:rFonts w:hint="cs"/>
          <w:rtl/>
          <w:lang w:bidi="ar-EG"/>
        </w:rPr>
        <w:t>للحلقات</w:t>
      </w:r>
      <w:r>
        <w:rPr>
          <w:rFonts w:hint="cs"/>
          <w:rtl/>
          <w:lang w:bidi="ar-EG"/>
        </w:rPr>
        <w:t xml:space="preserve"> للاطلاع على أحدث المعلومات.</w:t>
      </w:r>
    </w:p>
    <w:p w14:paraId="63E3E678" w14:textId="35838B09" w:rsidR="001F64E4" w:rsidRPr="007B3DB0" w:rsidRDefault="002E64E3" w:rsidP="004D038C">
      <w:pPr>
        <w:rPr>
          <w:spacing w:val="-4"/>
          <w:rtl/>
          <w:lang w:bidi="ar-EG"/>
        </w:rPr>
      </w:pPr>
      <w:r>
        <w:rPr>
          <w:spacing w:val="-4"/>
          <w:lang w:bidi="ar-EG"/>
        </w:rPr>
        <w:t>5</w:t>
      </w:r>
      <w:r w:rsidR="001F64E4" w:rsidRPr="007B3DB0">
        <w:rPr>
          <w:spacing w:val="-4"/>
          <w:rtl/>
          <w:lang w:bidi="ar-EG"/>
        </w:rPr>
        <w:tab/>
      </w:r>
      <w:r w:rsidR="001F64E4" w:rsidRPr="007B3DB0">
        <w:rPr>
          <w:rFonts w:hint="cs"/>
          <w:spacing w:val="-4"/>
          <w:rtl/>
          <w:lang w:bidi="ar-EG"/>
        </w:rPr>
        <w:t xml:space="preserve">والتسجيل عبر الإنترنت إلزامي لجميع المشاركين. </w:t>
      </w:r>
      <w:r w:rsidR="000A7A40">
        <w:rPr>
          <w:rFonts w:hint="cs"/>
          <w:spacing w:val="-4"/>
          <w:rtl/>
          <w:lang w:bidi="ar-EG"/>
        </w:rPr>
        <w:t>وسيتاح</w:t>
      </w:r>
      <w:r w:rsidR="001F64E4" w:rsidRPr="007B3DB0">
        <w:rPr>
          <w:rFonts w:hint="cs"/>
          <w:spacing w:val="-4"/>
          <w:rtl/>
          <w:lang w:bidi="ar-EG"/>
        </w:rPr>
        <w:t xml:space="preserve"> المزيد من المعلومات بشأن التسجيل في </w:t>
      </w:r>
      <w:hyperlink r:id="rId13" w:history="1">
        <w:r w:rsidR="001F64E4" w:rsidRPr="007B3DB0">
          <w:rPr>
            <w:rStyle w:val="Hyperlink"/>
            <w:rFonts w:hint="cs"/>
            <w:spacing w:val="-4"/>
            <w:rtl/>
            <w:lang w:bidi="ar-EG"/>
          </w:rPr>
          <w:t>الصفحة الرئيسية</w:t>
        </w:r>
      </w:hyperlink>
      <w:r w:rsidR="001F64E4" w:rsidRPr="007B3DB0">
        <w:rPr>
          <w:rFonts w:hint="cs"/>
          <w:spacing w:val="-4"/>
          <w:rtl/>
          <w:lang w:bidi="ar-EG"/>
        </w:rPr>
        <w:t xml:space="preserve"> </w:t>
      </w:r>
      <w:r w:rsidR="00E358BC" w:rsidRPr="007B3DB0">
        <w:rPr>
          <w:rFonts w:hint="cs"/>
          <w:spacing w:val="-4"/>
          <w:rtl/>
          <w:lang w:bidi="ar-EG"/>
        </w:rPr>
        <w:t>لسلسلة</w:t>
      </w:r>
      <w:r w:rsidR="001F64E4" w:rsidRPr="007B3DB0">
        <w:rPr>
          <w:rFonts w:hint="cs"/>
          <w:spacing w:val="-4"/>
          <w:rtl/>
          <w:lang w:bidi="ar-EG"/>
        </w:rPr>
        <w:t xml:space="preserve"> الحلقات الدراسية الإلكترونية.</w:t>
      </w:r>
    </w:p>
    <w:p w14:paraId="29D368C4" w14:textId="0A32D521" w:rsidR="001F64E4" w:rsidRDefault="002E64E3" w:rsidP="00E358BC">
      <w:pPr>
        <w:spacing w:after="120"/>
        <w:rPr>
          <w:rtl/>
          <w:lang w:bidi="ar-EG"/>
        </w:rPr>
      </w:pPr>
      <w:r>
        <w:rPr>
          <w:lang w:bidi="ar-EG"/>
        </w:rPr>
        <w:t>6</w:t>
      </w:r>
      <w:r w:rsidR="0065628E">
        <w:rPr>
          <w:rtl/>
          <w:lang w:bidi="ar-EG"/>
        </w:rPr>
        <w:tab/>
      </w:r>
      <w:r w:rsidR="00E358BC">
        <w:rPr>
          <w:rFonts w:hint="cs"/>
          <w:rtl/>
          <w:lang w:bidi="ar-EG"/>
        </w:rPr>
        <w:t xml:space="preserve">جميع الحلقات السابقة من </w:t>
      </w:r>
      <w:r w:rsidR="00E358BC" w:rsidRPr="00A756E8">
        <w:rPr>
          <w:rFonts w:hint="cs"/>
          <w:b/>
          <w:bCs/>
          <w:rtl/>
          <w:lang w:bidi="ar-EG"/>
        </w:rPr>
        <w:t>سلسلة الحلقات الدراسية الإلكترونية</w:t>
      </w:r>
      <w:r w:rsidR="00E358BC">
        <w:rPr>
          <w:rFonts w:hint="cs"/>
          <w:rtl/>
          <w:lang w:bidi="ar-EG"/>
        </w:rPr>
        <w:t xml:space="preserve"> هذه متاحة في صفحة الاستقبال الرئيسية </w:t>
      </w:r>
      <w:hyperlink r:id="rId14" w:history="1">
        <w:r w:rsidR="00E358BC" w:rsidRPr="00E358BC">
          <w:rPr>
            <w:rStyle w:val="Hyperlink"/>
            <w:rFonts w:hint="cs"/>
            <w:rtl/>
            <w:lang w:bidi="ar-EG"/>
          </w:rPr>
          <w:t>هنا</w:t>
        </w:r>
      </w:hyperlink>
      <w:r w:rsidR="00E358BC">
        <w:rPr>
          <w:rFonts w:hint="cs"/>
          <w:rtl/>
          <w:lang w:bidi="ar-EG"/>
        </w:rPr>
        <w:t>.</w:t>
      </w:r>
    </w:p>
    <w:tbl>
      <w:tblPr>
        <w:tblStyle w:val="TableGrid1"/>
        <w:bidiVisual/>
        <w:tblW w:w="0" w:type="auto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6"/>
        <w:gridCol w:w="3093"/>
      </w:tblGrid>
      <w:tr w:rsidR="00431E1C" w:rsidRPr="001B7E42" w14:paraId="580A816D" w14:textId="77777777" w:rsidTr="00431E1C">
        <w:trPr>
          <w:cantSplit/>
          <w:trHeight w:val="2034"/>
        </w:trPr>
        <w:tc>
          <w:tcPr>
            <w:tcW w:w="6546" w:type="dxa"/>
            <w:tcBorders>
              <w:right w:val="single" w:sz="4" w:space="0" w:color="auto"/>
            </w:tcBorders>
          </w:tcPr>
          <w:p w14:paraId="7FA56270" w14:textId="77777777" w:rsidR="00431E1C" w:rsidRPr="00034457" w:rsidRDefault="00431E1C" w:rsidP="0048606C">
            <w:pPr>
              <w:spacing w:before="240"/>
              <w:ind w:left="-57"/>
              <w:jc w:val="left"/>
              <w:rPr>
                <w:sz w:val="22"/>
                <w:szCs w:val="22"/>
                <w:rtl/>
                <w:lang w:bidi="ar-EG"/>
              </w:rPr>
            </w:pPr>
            <w:r w:rsidRPr="00034457">
              <w:rPr>
                <w:rFonts w:hint="cs"/>
                <w:sz w:val="22"/>
                <w:szCs w:val="22"/>
                <w:rtl/>
                <w:lang w:bidi="ar-EG"/>
              </w:rPr>
              <w:t>وتفضلوا بقبول فائق التقدير والاحترام.</w:t>
            </w:r>
          </w:p>
          <w:p w14:paraId="1F26DE7A" w14:textId="71B22BE2" w:rsidR="00431E1C" w:rsidRPr="00034457" w:rsidRDefault="003C2B85" w:rsidP="00034457">
            <w:pPr>
              <w:spacing w:before="960"/>
              <w:jc w:val="left"/>
              <w:rPr>
                <w:sz w:val="22"/>
                <w:szCs w:val="22"/>
              </w:rPr>
            </w:pPr>
            <w:r>
              <w:rPr>
                <w:rFonts w:hint="cs"/>
                <w:noProof/>
                <w:sz w:val="22"/>
                <w:szCs w:val="22"/>
                <w:rtl/>
                <w:lang w:val="ar-SY" w:bidi="ar-SY"/>
              </w:rPr>
              <w:drawing>
                <wp:anchor distT="0" distB="0" distL="114300" distR="114300" simplePos="0" relativeHeight="251658240" behindDoc="1" locked="0" layoutInCell="1" allowOverlap="1" wp14:anchorId="5B4A6507" wp14:editId="786BA3DA">
                  <wp:simplePos x="0" y="0"/>
                  <wp:positionH relativeFrom="column">
                    <wp:posOffset>3257550</wp:posOffset>
                  </wp:positionH>
                  <wp:positionV relativeFrom="paragraph">
                    <wp:posOffset>139065</wp:posOffset>
                  </wp:positionV>
                  <wp:extent cx="701675" cy="485775"/>
                  <wp:effectExtent l="0" t="0" r="3175" b="9525"/>
                  <wp:wrapNone/>
                  <wp:docPr id="1209509296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509296" name="Picture 1" descr="A black and white text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431E1C" w:rsidRPr="00034457">
              <w:rPr>
                <w:rFonts w:hint="cs"/>
                <w:sz w:val="22"/>
                <w:szCs w:val="22"/>
                <w:rtl/>
                <w:lang w:bidi="ar-SY"/>
              </w:rPr>
              <w:t>سيزو</w:t>
            </w:r>
            <w:proofErr w:type="spellEnd"/>
            <w:r w:rsidR="00431E1C" w:rsidRPr="00034457">
              <w:rPr>
                <w:rFonts w:hint="cs"/>
                <w:sz w:val="22"/>
                <w:szCs w:val="22"/>
                <w:rtl/>
                <w:lang w:bidi="ar-SY"/>
              </w:rPr>
              <w:t xml:space="preserve"> </w:t>
            </w:r>
            <w:proofErr w:type="spellStart"/>
            <w:r w:rsidR="00431E1C" w:rsidRPr="00034457">
              <w:rPr>
                <w:rFonts w:hint="cs"/>
                <w:sz w:val="22"/>
                <w:szCs w:val="22"/>
                <w:rtl/>
                <w:lang w:bidi="ar-SY"/>
              </w:rPr>
              <w:t>أونوي</w:t>
            </w:r>
            <w:proofErr w:type="spellEnd"/>
            <w:r w:rsidR="00431E1C" w:rsidRPr="00034457">
              <w:rPr>
                <w:sz w:val="22"/>
                <w:szCs w:val="22"/>
                <w:rtl/>
                <w:lang w:bidi="ar-SY"/>
              </w:rPr>
              <w:br/>
            </w:r>
            <w:r w:rsidR="00431E1C" w:rsidRPr="00034457">
              <w:rPr>
                <w:rFonts w:hint="cs"/>
                <w:sz w:val="22"/>
                <w:szCs w:val="22"/>
                <w:rtl/>
                <w:lang w:bidi="ar-SY"/>
              </w:rPr>
              <w:t>مدير</w:t>
            </w:r>
            <w:r w:rsidR="00431E1C" w:rsidRPr="00034457">
              <w:rPr>
                <w:sz w:val="22"/>
                <w:szCs w:val="22"/>
                <w:rtl/>
                <w:lang w:bidi="ar-SY"/>
              </w:rPr>
              <w:t xml:space="preserve"> </w:t>
            </w:r>
            <w:r w:rsidR="00431E1C" w:rsidRPr="00034457">
              <w:rPr>
                <w:rFonts w:hint="cs"/>
                <w:sz w:val="22"/>
                <w:szCs w:val="22"/>
                <w:rtl/>
                <w:lang w:bidi="ar-SY"/>
              </w:rPr>
              <w:t>مكتب</w:t>
            </w:r>
            <w:r w:rsidR="00431E1C" w:rsidRPr="00034457">
              <w:rPr>
                <w:sz w:val="22"/>
                <w:szCs w:val="22"/>
                <w:rtl/>
                <w:lang w:bidi="ar-SY"/>
              </w:rPr>
              <w:t xml:space="preserve"> </w:t>
            </w:r>
            <w:r w:rsidR="00431E1C" w:rsidRPr="00034457">
              <w:rPr>
                <w:rFonts w:hint="cs"/>
                <w:sz w:val="22"/>
                <w:szCs w:val="22"/>
                <w:rtl/>
                <w:lang w:bidi="ar-SY"/>
              </w:rPr>
              <w:t>تقييس</w:t>
            </w:r>
            <w:r w:rsidR="00431E1C" w:rsidRPr="00034457">
              <w:rPr>
                <w:sz w:val="22"/>
                <w:szCs w:val="22"/>
                <w:rtl/>
                <w:lang w:bidi="ar-SY"/>
              </w:rPr>
              <w:t xml:space="preserve"> </w:t>
            </w:r>
            <w:r w:rsidR="00431E1C" w:rsidRPr="00034457">
              <w:rPr>
                <w:rFonts w:hint="cs"/>
                <w:sz w:val="22"/>
                <w:szCs w:val="22"/>
                <w:rtl/>
                <w:lang w:bidi="ar-SY"/>
              </w:rPr>
              <w:t>الاتصالات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421C6" w14:textId="77777777" w:rsidR="00431E1C" w:rsidRPr="001B7E42" w:rsidRDefault="00431E1C" w:rsidP="00431E1C">
            <w:pPr>
              <w:keepNext/>
              <w:keepLines/>
              <w:spacing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7E42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9F2915E" wp14:editId="29BFA42F">
                  <wp:extent cx="1049572" cy="1049572"/>
                  <wp:effectExtent l="0" t="0" r="0" b="0"/>
                  <wp:docPr id="1674465767" name="Picture 1674465767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465767" name="Picture 1" descr="Qr cod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57515" cy="105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31A16C" w14:textId="7AAA0B13" w:rsidR="00431E1C" w:rsidRPr="001B7E42" w:rsidRDefault="00431E1C" w:rsidP="00F12BBA">
            <w:pPr>
              <w:keepNext/>
              <w:keepLines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58BC">
              <w:rPr>
                <w:sz w:val="18"/>
                <w:szCs w:val="18"/>
                <w:rtl/>
              </w:rPr>
              <w:t>سلسلة الحلقات الدراسية الإلكترونية بشأن</w:t>
            </w:r>
            <w:r>
              <w:rPr>
                <w:rFonts w:hint="cs"/>
                <w:sz w:val="18"/>
                <w:szCs w:val="18"/>
                <w:rtl/>
              </w:rPr>
              <w:t> </w:t>
            </w:r>
            <w:r w:rsidRPr="00E358BC">
              <w:rPr>
                <w:sz w:val="18"/>
                <w:szCs w:val="18"/>
                <w:rtl/>
              </w:rPr>
              <w:t>التحول الرقمي</w:t>
            </w:r>
          </w:p>
        </w:tc>
      </w:tr>
    </w:tbl>
    <w:p w14:paraId="4A462807" w14:textId="0B64706A" w:rsidR="00596808" w:rsidRPr="00D517B2" w:rsidRDefault="00596808" w:rsidP="00F12BBA">
      <w:pPr>
        <w:rPr>
          <w:lang w:bidi="ar-EG"/>
        </w:rPr>
      </w:pPr>
    </w:p>
    <w:sectPr w:rsidR="00596808" w:rsidRPr="00D517B2" w:rsidSect="006C3242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0B0F" w14:textId="77777777" w:rsidR="00B1588F" w:rsidRDefault="00B1588F" w:rsidP="006C3242">
      <w:pPr>
        <w:spacing w:before="0" w:line="240" w:lineRule="auto"/>
      </w:pPr>
      <w:r>
        <w:separator/>
      </w:r>
    </w:p>
  </w:endnote>
  <w:endnote w:type="continuationSeparator" w:id="0">
    <w:p w14:paraId="46040515" w14:textId="77777777" w:rsidR="00B1588F" w:rsidRDefault="00B1588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2C2B" w14:textId="7E76035B" w:rsidR="006C3242" w:rsidRPr="007C2A26" w:rsidRDefault="006C3242" w:rsidP="007A07E5">
    <w:pPr>
      <w:pStyle w:val="Footer"/>
      <w:tabs>
        <w:tab w:val="center" w:pos="5103"/>
      </w:tabs>
      <w:rPr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22C4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0183" w14:textId="77777777" w:rsidR="00B1588F" w:rsidRDefault="00B1588F" w:rsidP="006C3242">
      <w:pPr>
        <w:spacing w:before="0" w:line="240" w:lineRule="auto"/>
      </w:pPr>
      <w:r>
        <w:separator/>
      </w:r>
    </w:p>
  </w:footnote>
  <w:footnote w:type="continuationSeparator" w:id="0">
    <w:p w14:paraId="6D6F56B4" w14:textId="77777777" w:rsidR="00B1588F" w:rsidRDefault="00B1588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C9F9" w14:textId="3A6B530A" w:rsidR="00431E1C" w:rsidRPr="00431E1C" w:rsidRDefault="00596808" w:rsidP="00431E1C">
    <w:pPr>
      <w:pStyle w:val="Header"/>
      <w:spacing w:after="240" w:line="192" w:lineRule="auto"/>
      <w:jc w:val="center"/>
      <w:rPr>
        <w:sz w:val="20"/>
        <w:szCs w:val="20"/>
        <w:lang w:val="en-GB" w:bidi="ar-EG"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431E1C" w:rsidRPr="00431E1C">
      <w:rPr>
        <w:sz w:val="20"/>
        <w:szCs w:val="20"/>
        <w:lang w:val="en-GB" w:bidi="ar-EG"/>
      </w:rPr>
      <w:t>TSB Circular 139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8F"/>
    <w:rsid w:val="00002A63"/>
    <w:rsid w:val="000035C4"/>
    <w:rsid w:val="00020F19"/>
    <w:rsid w:val="00023276"/>
    <w:rsid w:val="00034457"/>
    <w:rsid w:val="0006468A"/>
    <w:rsid w:val="0007069C"/>
    <w:rsid w:val="00071104"/>
    <w:rsid w:val="000762D6"/>
    <w:rsid w:val="000844E8"/>
    <w:rsid w:val="00090574"/>
    <w:rsid w:val="000A7A40"/>
    <w:rsid w:val="000C1C0E"/>
    <w:rsid w:val="000C548A"/>
    <w:rsid w:val="000E327F"/>
    <w:rsid w:val="00136F3D"/>
    <w:rsid w:val="00146FE2"/>
    <w:rsid w:val="00157897"/>
    <w:rsid w:val="001C0169"/>
    <w:rsid w:val="001D1D50"/>
    <w:rsid w:val="001D6745"/>
    <w:rsid w:val="001E446E"/>
    <w:rsid w:val="001F64E4"/>
    <w:rsid w:val="001F7190"/>
    <w:rsid w:val="002073B9"/>
    <w:rsid w:val="002154EE"/>
    <w:rsid w:val="002276D2"/>
    <w:rsid w:val="0023283D"/>
    <w:rsid w:val="002346C5"/>
    <w:rsid w:val="00235A9F"/>
    <w:rsid w:val="00261DBF"/>
    <w:rsid w:val="0026373E"/>
    <w:rsid w:val="002716B2"/>
    <w:rsid w:val="00271C43"/>
    <w:rsid w:val="00286E19"/>
    <w:rsid w:val="00290728"/>
    <w:rsid w:val="002978F4"/>
    <w:rsid w:val="002B028D"/>
    <w:rsid w:val="002B4624"/>
    <w:rsid w:val="002C71AF"/>
    <w:rsid w:val="002E196B"/>
    <w:rsid w:val="002E64E3"/>
    <w:rsid w:val="002E6541"/>
    <w:rsid w:val="002E7146"/>
    <w:rsid w:val="002F1892"/>
    <w:rsid w:val="002F6540"/>
    <w:rsid w:val="0032291B"/>
    <w:rsid w:val="00331E3D"/>
    <w:rsid w:val="003333A3"/>
    <w:rsid w:val="00334924"/>
    <w:rsid w:val="003409BC"/>
    <w:rsid w:val="00357185"/>
    <w:rsid w:val="00381802"/>
    <w:rsid w:val="00383829"/>
    <w:rsid w:val="00387BD9"/>
    <w:rsid w:val="003A3046"/>
    <w:rsid w:val="003C079D"/>
    <w:rsid w:val="003C2B85"/>
    <w:rsid w:val="003C7EDF"/>
    <w:rsid w:val="003F4B29"/>
    <w:rsid w:val="00400EC6"/>
    <w:rsid w:val="0042686F"/>
    <w:rsid w:val="004317D8"/>
    <w:rsid w:val="00431E1C"/>
    <w:rsid w:val="00434183"/>
    <w:rsid w:val="00443869"/>
    <w:rsid w:val="00447F32"/>
    <w:rsid w:val="00461FB4"/>
    <w:rsid w:val="0048606C"/>
    <w:rsid w:val="00486F75"/>
    <w:rsid w:val="00497153"/>
    <w:rsid w:val="004A375F"/>
    <w:rsid w:val="004B1284"/>
    <w:rsid w:val="004B465D"/>
    <w:rsid w:val="004B4A93"/>
    <w:rsid w:val="004D038C"/>
    <w:rsid w:val="004E11DC"/>
    <w:rsid w:val="00515088"/>
    <w:rsid w:val="00525DDD"/>
    <w:rsid w:val="00537B33"/>
    <w:rsid w:val="005409AC"/>
    <w:rsid w:val="005445C2"/>
    <w:rsid w:val="0055516A"/>
    <w:rsid w:val="005731DD"/>
    <w:rsid w:val="0058461D"/>
    <w:rsid w:val="0058491B"/>
    <w:rsid w:val="00592EA5"/>
    <w:rsid w:val="00595B52"/>
    <w:rsid w:val="00596808"/>
    <w:rsid w:val="005A3170"/>
    <w:rsid w:val="005C4350"/>
    <w:rsid w:val="005F58B8"/>
    <w:rsid w:val="00617C56"/>
    <w:rsid w:val="00635799"/>
    <w:rsid w:val="0065628E"/>
    <w:rsid w:val="006635B2"/>
    <w:rsid w:val="006719A4"/>
    <w:rsid w:val="00677396"/>
    <w:rsid w:val="0069200F"/>
    <w:rsid w:val="006A06A6"/>
    <w:rsid w:val="006A2342"/>
    <w:rsid w:val="006A65CB"/>
    <w:rsid w:val="006C1530"/>
    <w:rsid w:val="006C3242"/>
    <w:rsid w:val="006C7CC0"/>
    <w:rsid w:val="006E1BAD"/>
    <w:rsid w:val="006F63F7"/>
    <w:rsid w:val="007025C7"/>
    <w:rsid w:val="00706D7A"/>
    <w:rsid w:val="00717C6B"/>
    <w:rsid w:val="00722F0D"/>
    <w:rsid w:val="0074420E"/>
    <w:rsid w:val="007578F8"/>
    <w:rsid w:val="00757A2D"/>
    <w:rsid w:val="0076365D"/>
    <w:rsid w:val="00783E26"/>
    <w:rsid w:val="007855D1"/>
    <w:rsid w:val="007A07E5"/>
    <w:rsid w:val="007B3DB0"/>
    <w:rsid w:val="007C2A26"/>
    <w:rsid w:val="007C3BC7"/>
    <w:rsid w:val="007C3BCD"/>
    <w:rsid w:val="007D4ACF"/>
    <w:rsid w:val="007E4663"/>
    <w:rsid w:val="007E75C0"/>
    <w:rsid w:val="007F0787"/>
    <w:rsid w:val="00807031"/>
    <w:rsid w:val="00810B7B"/>
    <w:rsid w:val="0082358A"/>
    <w:rsid w:val="008235CD"/>
    <w:rsid w:val="008247DE"/>
    <w:rsid w:val="00840B10"/>
    <w:rsid w:val="008513CB"/>
    <w:rsid w:val="00867CC6"/>
    <w:rsid w:val="00873469"/>
    <w:rsid w:val="00877F4B"/>
    <w:rsid w:val="00880EDA"/>
    <w:rsid w:val="008A2100"/>
    <w:rsid w:val="008A6B21"/>
    <w:rsid w:val="008A7F84"/>
    <w:rsid w:val="008B55B4"/>
    <w:rsid w:val="008C52A3"/>
    <w:rsid w:val="0091563C"/>
    <w:rsid w:val="0091702E"/>
    <w:rsid w:val="0091721B"/>
    <w:rsid w:val="00920505"/>
    <w:rsid w:val="00923B0C"/>
    <w:rsid w:val="00926F44"/>
    <w:rsid w:val="0094021C"/>
    <w:rsid w:val="0094432F"/>
    <w:rsid w:val="00952F86"/>
    <w:rsid w:val="00980FEF"/>
    <w:rsid w:val="00982B28"/>
    <w:rsid w:val="009B1D5F"/>
    <w:rsid w:val="009B2ED6"/>
    <w:rsid w:val="009B7904"/>
    <w:rsid w:val="009D313F"/>
    <w:rsid w:val="009E1F25"/>
    <w:rsid w:val="009F5AC7"/>
    <w:rsid w:val="00A47A5A"/>
    <w:rsid w:val="00A53942"/>
    <w:rsid w:val="00A57558"/>
    <w:rsid w:val="00A6683B"/>
    <w:rsid w:val="00A756E8"/>
    <w:rsid w:val="00A77C90"/>
    <w:rsid w:val="00A85834"/>
    <w:rsid w:val="00A906BF"/>
    <w:rsid w:val="00A9156F"/>
    <w:rsid w:val="00A93AC3"/>
    <w:rsid w:val="00A97F94"/>
    <w:rsid w:val="00AA7EA2"/>
    <w:rsid w:val="00AF6B5C"/>
    <w:rsid w:val="00B03099"/>
    <w:rsid w:val="00B05BC8"/>
    <w:rsid w:val="00B137E5"/>
    <w:rsid w:val="00B1588F"/>
    <w:rsid w:val="00B25083"/>
    <w:rsid w:val="00B3392B"/>
    <w:rsid w:val="00B33992"/>
    <w:rsid w:val="00B64B47"/>
    <w:rsid w:val="00B9027C"/>
    <w:rsid w:val="00B9079D"/>
    <w:rsid w:val="00B916A7"/>
    <w:rsid w:val="00BA0E45"/>
    <w:rsid w:val="00BA3C68"/>
    <w:rsid w:val="00BB0DA5"/>
    <w:rsid w:val="00BB0F08"/>
    <w:rsid w:val="00BC1417"/>
    <w:rsid w:val="00BE399B"/>
    <w:rsid w:val="00C002DE"/>
    <w:rsid w:val="00C53BF8"/>
    <w:rsid w:val="00C66157"/>
    <w:rsid w:val="00C674FE"/>
    <w:rsid w:val="00C67501"/>
    <w:rsid w:val="00C67ACA"/>
    <w:rsid w:val="00C75633"/>
    <w:rsid w:val="00C76B3F"/>
    <w:rsid w:val="00CA4D35"/>
    <w:rsid w:val="00CB2C31"/>
    <w:rsid w:val="00CB31B9"/>
    <w:rsid w:val="00CE02A7"/>
    <w:rsid w:val="00CE1C08"/>
    <w:rsid w:val="00CE2EE1"/>
    <w:rsid w:val="00CE3349"/>
    <w:rsid w:val="00CE36E5"/>
    <w:rsid w:val="00CE6532"/>
    <w:rsid w:val="00CF27F5"/>
    <w:rsid w:val="00CF3FFD"/>
    <w:rsid w:val="00D041C7"/>
    <w:rsid w:val="00D10CCF"/>
    <w:rsid w:val="00D2133A"/>
    <w:rsid w:val="00D22321"/>
    <w:rsid w:val="00D22846"/>
    <w:rsid w:val="00D34B4B"/>
    <w:rsid w:val="00D517B2"/>
    <w:rsid w:val="00D76170"/>
    <w:rsid w:val="00D77D0F"/>
    <w:rsid w:val="00DA1CF0"/>
    <w:rsid w:val="00DB607E"/>
    <w:rsid w:val="00DC1E02"/>
    <w:rsid w:val="00DC1EFF"/>
    <w:rsid w:val="00DC24B4"/>
    <w:rsid w:val="00DC5FB0"/>
    <w:rsid w:val="00DD0BCF"/>
    <w:rsid w:val="00DD1EBB"/>
    <w:rsid w:val="00DD2ADE"/>
    <w:rsid w:val="00DF16DC"/>
    <w:rsid w:val="00E108E2"/>
    <w:rsid w:val="00E10B68"/>
    <w:rsid w:val="00E20276"/>
    <w:rsid w:val="00E358BC"/>
    <w:rsid w:val="00E45211"/>
    <w:rsid w:val="00E473C5"/>
    <w:rsid w:val="00E81315"/>
    <w:rsid w:val="00E84438"/>
    <w:rsid w:val="00E92863"/>
    <w:rsid w:val="00EB43A1"/>
    <w:rsid w:val="00EB796D"/>
    <w:rsid w:val="00EE194D"/>
    <w:rsid w:val="00F01527"/>
    <w:rsid w:val="00F058DC"/>
    <w:rsid w:val="00F12BBA"/>
    <w:rsid w:val="00F16793"/>
    <w:rsid w:val="00F24FC4"/>
    <w:rsid w:val="00F2676C"/>
    <w:rsid w:val="00F52941"/>
    <w:rsid w:val="00F84366"/>
    <w:rsid w:val="00F85089"/>
    <w:rsid w:val="00F974C5"/>
    <w:rsid w:val="00FA6AEC"/>
    <w:rsid w:val="00FA6F46"/>
    <w:rsid w:val="00FC6947"/>
    <w:rsid w:val="00FD1DD0"/>
    <w:rsid w:val="00FD52B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88B85"/>
  <w15:chartTrackingRefBased/>
  <w15:docId w15:val="{01D1238C-28CA-4925-AC61-1B46848E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E358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B4624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cities/standards4d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cities/standards4dt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097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go/tsg2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igitaltransformation@itu.int" TargetMode="External"/><Relationship Id="rId14" Type="http://schemas.openxmlformats.org/officeDocument/2006/relationships/hyperlink" Target="https://www.itu.int/cities/standards4d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Arabic-SA</dc:creator>
  <cp:keywords/>
  <dc:description/>
  <cp:lastModifiedBy>Braud, Olivia</cp:lastModifiedBy>
  <cp:revision>9</cp:revision>
  <cp:lastPrinted>2023-10-24T13:36:00Z</cp:lastPrinted>
  <dcterms:created xsi:type="dcterms:W3CDTF">2023-10-18T13:03:00Z</dcterms:created>
  <dcterms:modified xsi:type="dcterms:W3CDTF">2023-10-24T13:36:00Z</dcterms:modified>
</cp:coreProperties>
</file>