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2ED4F3D0" w14:textId="77777777" w:rsidTr="00D517B2">
        <w:trPr>
          <w:cantSplit/>
          <w:trHeight w:val="1134"/>
        </w:trPr>
        <w:tc>
          <w:tcPr>
            <w:tcW w:w="798" w:type="pct"/>
          </w:tcPr>
          <w:p w14:paraId="2FF62FBF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14F42BB9" wp14:editId="763E2528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12927C32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18B33A6C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6"/>
        <w:gridCol w:w="4393"/>
      </w:tblGrid>
      <w:tr w:rsidR="00D517B2" w:rsidRPr="00D517B2" w14:paraId="3CDB38DB" w14:textId="77777777" w:rsidTr="00C81AA2">
        <w:trPr>
          <w:cantSplit/>
          <w:trHeight w:val="142"/>
          <w:jc w:val="center"/>
        </w:trPr>
        <w:tc>
          <w:tcPr>
            <w:tcW w:w="809" w:type="pct"/>
          </w:tcPr>
          <w:p w14:paraId="3A9A3D57" w14:textId="77777777" w:rsidR="00D517B2" w:rsidRPr="00D517B2" w:rsidRDefault="00D517B2" w:rsidP="00A31C00"/>
        </w:tc>
        <w:tc>
          <w:tcPr>
            <w:tcW w:w="1912" w:type="pct"/>
          </w:tcPr>
          <w:p w14:paraId="4A301716" w14:textId="77777777" w:rsidR="00D517B2" w:rsidRPr="00D517B2" w:rsidRDefault="00D517B2" w:rsidP="00A31C00"/>
        </w:tc>
        <w:tc>
          <w:tcPr>
            <w:tcW w:w="2279" w:type="pct"/>
          </w:tcPr>
          <w:p w14:paraId="31F270B9" w14:textId="77777777" w:rsidR="00D517B2" w:rsidRPr="00873469" w:rsidRDefault="00D517B2" w:rsidP="00A31C00">
            <w:pPr>
              <w:rPr>
                <w:lang w:bidi="ar-EG"/>
              </w:rPr>
            </w:pPr>
          </w:p>
        </w:tc>
      </w:tr>
      <w:tr w:rsidR="00D517B2" w:rsidRPr="00D517B2" w14:paraId="095D7551" w14:textId="77777777" w:rsidTr="00C81AA2">
        <w:trPr>
          <w:cantSplit/>
          <w:trHeight w:val="148"/>
          <w:jc w:val="center"/>
        </w:trPr>
        <w:tc>
          <w:tcPr>
            <w:tcW w:w="809" w:type="pct"/>
          </w:tcPr>
          <w:p w14:paraId="4121069F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12" w:type="pct"/>
          </w:tcPr>
          <w:p w14:paraId="2B07CC2B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79" w:type="pct"/>
          </w:tcPr>
          <w:p w14:paraId="65304F42" w14:textId="52470D65" w:rsidR="00D517B2" w:rsidRPr="00EE3BBD" w:rsidRDefault="00873469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EE3BBD">
              <w:rPr>
                <w:position w:val="2"/>
              </w:rPr>
              <w:t>4</w:t>
            </w:r>
            <w:r w:rsidR="00EE3BBD">
              <w:rPr>
                <w:rFonts w:hint="cs"/>
                <w:position w:val="2"/>
                <w:rtl/>
                <w:lang w:val="en-GB"/>
              </w:rPr>
              <w:t xml:space="preserve"> أكتوبر </w:t>
            </w:r>
            <w:r w:rsidR="00EE3BBD">
              <w:rPr>
                <w:position w:val="2"/>
              </w:rPr>
              <w:t>2023</w:t>
            </w:r>
          </w:p>
        </w:tc>
      </w:tr>
      <w:tr w:rsidR="00C81AA2" w:rsidRPr="00D517B2" w14:paraId="666DEBBC" w14:textId="77777777" w:rsidTr="00C81AA2">
        <w:trPr>
          <w:cantSplit/>
          <w:trHeight w:val="831"/>
          <w:jc w:val="center"/>
        </w:trPr>
        <w:tc>
          <w:tcPr>
            <w:tcW w:w="809" w:type="pct"/>
          </w:tcPr>
          <w:p w14:paraId="616A4BD6" w14:textId="77777777" w:rsidR="00C81AA2" w:rsidRPr="00A9156F" w:rsidRDefault="00C81AA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12" w:type="pct"/>
          </w:tcPr>
          <w:p w14:paraId="45EC3F69" w14:textId="09A68F1A" w:rsidR="00C81AA2" w:rsidRPr="00D517B2" w:rsidRDefault="00C81AA2" w:rsidP="00A31C00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141</w:t>
            </w:r>
            <w:r>
              <w:rPr>
                <w:b/>
                <w:position w:val="2"/>
              </w:rPr>
              <w:br/>
            </w:r>
            <w:r w:rsidR="00A31C00" w:rsidRPr="00A31C00">
              <w:rPr>
                <w:rFonts w:ascii="Calibri" w:eastAsia="Times New Roman" w:hAnsi="Calibri" w:cs="Times New Roman"/>
                <w:szCs w:val="18"/>
                <w:lang w:val="en-GB" w:eastAsia="en-US"/>
              </w:rPr>
              <w:t xml:space="preserve"> </w:t>
            </w:r>
            <w:r w:rsidR="00A31C00" w:rsidRPr="00A31C00">
              <w:rPr>
                <w:bCs/>
                <w:position w:val="2"/>
                <w:lang w:val="en-GB"/>
              </w:rPr>
              <w:t>SG12/MA</w:t>
            </w:r>
          </w:p>
        </w:tc>
        <w:tc>
          <w:tcPr>
            <w:tcW w:w="2279" w:type="pct"/>
            <w:vMerge w:val="restart"/>
          </w:tcPr>
          <w:p w14:paraId="134983DA" w14:textId="77777777" w:rsidR="00C81AA2" w:rsidRPr="00C81AA2" w:rsidRDefault="00C81AA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C81AA2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0653FA78" w14:textId="07C3BF17" w:rsidR="00C81AA2" w:rsidRPr="00C81AA2" w:rsidRDefault="00C81AA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C81AA2">
              <w:rPr>
                <w:rFonts w:hint="cs"/>
                <w:position w:val="2"/>
                <w:rtl/>
              </w:rPr>
              <w:t>-</w:t>
            </w:r>
            <w:r w:rsidRPr="00C81AA2">
              <w:rPr>
                <w:position w:val="2"/>
                <w:rtl/>
              </w:rPr>
              <w:tab/>
            </w:r>
            <w:r w:rsidRPr="00C81AA2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436B4D46" w14:textId="77777777" w:rsidR="00C81AA2" w:rsidRPr="00C81AA2" w:rsidRDefault="00C81AA2" w:rsidP="00A9196F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C81AA2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6C6AE6CE" w14:textId="77777777" w:rsidR="00C81AA2" w:rsidRPr="00C81AA2" w:rsidRDefault="00C81AA2" w:rsidP="00A9196F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</w:rPr>
            </w:pPr>
            <w:r w:rsidRPr="00C81AA2">
              <w:rPr>
                <w:rFonts w:hint="cs"/>
                <w:position w:val="2"/>
                <w:rtl/>
              </w:rPr>
              <w:t>-</w:t>
            </w:r>
            <w:r w:rsidRPr="00C81AA2">
              <w:rPr>
                <w:position w:val="2"/>
                <w:rtl/>
              </w:rPr>
              <w:tab/>
            </w:r>
            <w:r w:rsidRPr="00C81AA2">
              <w:rPr>
                <w:rFonts w:hint="cs"/>
                <w:position w:val="2"/>
                <w:rtl/>
              </w:rPr>
              <w:t>أعضاء تقييس الاتصالات في الاتحاد؛</w:t>
            </w:r>
          </w:p>
          <w:p w14:paraId="0680506C" w14:textId="1ED2B8A0" w:rsidR="00C81AA2" w:rsidRPr="00C81AA2" w:rsidRDefault="00C81AA2" w:rsidP="00A9196F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C81AA2">
              <w:rPr>
                <w:rFonts w:hint="cs"/>
                <w:position w:val="2"/>
                <w:rtl/>
                <w:lang w:bidi="ar-EG"/>
              </w:rPr>
              <w:t>-</w:t>
            </w:r>
            <w:r w:rsidRPr="00C81AA2">
              <w:rPr>
                <w:position w:val="2"/>
                <w:rtl/>
                <w:lang w:bidi="ar-EG"/>
              </w:rPr>
              <w:tab/>
            </w:r>
            <w:r w:rsidRPr="00C81AA2">
              <w:rPr>
                <w:rFonts w:hint="cs"/>
                <w:position w:val="2"/>
                <w:rtl/>
                <w:lang w:bidi="ar-EG"/>
              </w:rPr>
              <w:t xml:space="preserve">المنتسبين إلى قطاع تقييس الاتصالات المشاركين في أعمال لجنة الدراسات </w:t>
            </w:r>
            <w:r w:rsidRPr="00C81AA2">
              <w:rPr>
                <w:position w:val="2"/>
                <w:lang w:bidi="ar-EG"/>
              </w:rPr>
              <w:t>12</w:t>
            </w:r>
            <w:r w:rsidRPr="00C81AA2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0399F87C" w14:textId="77777777" w:rsidR="00C81AA2" w:rsidRPr="00C81AA2" w:rsidRDefault="00C81AA2" w:rsidP="00A9196F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C81AA2">
              <w:rPr>
                <w:rFonts w:hint="cs"/>
                <w:position w:val="2"/>
                <w:rtl/>
              </w:rPr>
              <w:t>-</w:t>
            </w:r>
            <w:r w:rsidRPr="00C81AA2">
              <w:rPr>
                <w:position w:val="2"/>
                <w:rtl/>
              </w:rPr>
              <w:tab/>
            </w:r>
            <w:r w:rsidRPr="00C81AA2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C81AA2">
              <w:rPr>
                <w:rFonts w:hint="cs"/>
                <w:position w:val="2"/>
                <w:rtl/>
                <w:lang w:bidi="ar-EG"/>
              </w:rPr>
              <w:t xml:space="preserve"> الاتحاد؛</w:t>
            </w:r>
          </w:p>
          <w:p w14:paraId="44DE57D5" w14:textId="77777777" w:rsidR="00C81AA2" w:rsidRPr="00C81AA2" w:rsidRDefault="00C81AA2" w:rsidP="00A9196F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val="en-GB"/>
              </w:rPr>
            </w:pPr>
            <w:r w:rsidRPr="00C81AA2">
              <w:rPr>
                <w:rFonts w:hint="cs"/>
                <w:position w:val="2"/>
                <w:rtl/>
                <w:lang w:bidi="ar-EG"/>
              </w:rPr>
              <w:t>-</w:t>
            </w:r>
            <w:r w:rsidRPr="00C81AA2">
              <w:rPr>
                <w:position w:val="2"/>
                <w:rtl/>
                <w:lang w:bidi="ar-EG"/>
              </w:rPr>
              <w:tab/>
            </w:r>
            <w:r w:rsidRPr="00C81AA2">
              <w:rPr>
                <w:rFonts w:hint="cs"/>
                <w:spacing w:val="-6"/>
                <w:position w:val="2"/>
                <w:rtl/>
              </w:rPr>
              <w:t xml:space="preserve">رئيس لجنة الدراسات </w:t>
            </w:r>
            <w:r w:rsidRPr="00C81AA2">
              <w:rPr>
                <w:spacing w:val="-6"/>
                <w:position w:val="2"/>
              </w:rPr>
              <w:t>12</w:t>
            </w:r>
            <w:r w:rsidRPr="00C81AA2">
              <w:rPr>
                <w:rFonts w:hint="cs"/>
                <w:spacing w:val="-6"/>
                <w:position w:val="2"/>
                <w:rtl/>
                <w:lang w:val="en-GB"/>
              </w:rPr>
              <w:t xml:space="preserve"> لقطاع تقييس الاتصالات ونوابه؛</w:t>
            </w:r>
          </w:p>
          <w:p w14:paraId="20DC555B" w14:textId="4E20F3E6" w:rsidR="00C81AA2" w:rsidRPr="00C81AA2" w:rsidRDefault="00C81AA2" w:rsidP="00A9196F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val="en-GB"/>
              </w:rPr>
            </w:pPr>
            <w:r w:rsidRPr="00C81AA2">
              <w:rPr>
                <w:rFonts w:hint="cs"/>
                <w:position w:val="2"/>
                <w:rtl/>
                <w:lang w:val="en-GB"/>
              </w:rPr>
              <w:t>-</w:t>
            </w:r>
            <w:r w:rsidRPr="00C81AA2">
              <w:rPr>
                <w:position w:val="2"/>
                <w:rtl/>
                <w:lang w:val="en-GB"/>
              </w:rPr>
              <w:tab/>
            </w:r>
            <w:r w:rsidRPr="00C81AA2">
              <w:rPr>
                <w:rFonts w:hint="cs"/>
                <w:position w:val="2"/>
                <w:rtl/>
                <w:lang w:val="en-GB"/>
              </w:rPr>
              <w:t>مدير مكتب تنمية الاتصالات؛</w:t>
            </w:r>
          </w:p>
          <w:p w14:paraId="6D9774EF" w14:textId="3FC348C5" w:rsidR="00C81AA2" w:rsidRPr="00BE19B9" w:rsidRDefault="00C81AA2" w:rsidP="00A9196F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val="en-GB"/>
              </w:rPr>
            </w:pPr>
            <w:r w:rsidRPr="00C81AA2">
              <w:rPr>
                <w:rFonts w:hint="cs"/>
                <w:position w:val="2"/>
                <w:rtl/>
                <w:lang w:val="en-GB"/>
              </w:rPr>
              <w:t>-</w:t>
            </w:r>
            <w:r w:rsidRPr="00C81AA2">
              <w:rPr>
                <w:position w:val="2"/>
                <w:rtl/>
                <w:lang w:val="en-GB"/>
              </w:rPr>
              <w:tab/>
            </w:r>
            <w:r w:rsidRPr="00C81AA2">
              <w:rPr>
                <w:rFonts w:hint="cs"/>
                <w:position w:val="2"/>
                <w:rtl/>
                <w:lang w:val="en-GB"/>
              </w:rPr>
              <w:t>مدير مكتب الاتصالات الراديوية</w:t>
            </w:r>
          </w:p>
        </w:tc>
      </w:tr>
      <w:tr w:rsidR="00C81AA2" w:rsidRPr="00D517B2" w14:paraId="08AB06FC" w14:textId="77777777" w:rsidTr="00C81AA2">
        <w:trPr>
          <w:cantSplit/>
          <w:trHeight w:val="340"/>
          <w:jc w:val="center"/>
        </w:trPr>
        <w:tc>
          <w:tcPr>
            <w:tcW w:w="809" w:type="pct"/>
          </w:tcPr>
          <w:p w14:paraId="21F98642" w14:textId="77777777" w:rsidR="00C81AA2" w:rsidRPr="00A9156F" w:rsidRDefault="00C81AA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12" w:type="pct"/>
          </w:tcPr>
          <w:p w14:paraId="7CA04839" w14:textId="04A1DC50" w:rsidR="00C81AA2" w:rsidRPr="00D517B2" w:rsidRDefault="00C81AA2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6828</w:t>
            </w:r>
          </w:p>
        </w:tc>
        <w:tc>
          <w:tcPr>
            <w:tcW w:w="2279" w:type="pct"/>
            <w:vMerge/>
          </w:tcPr>
          <w:p w14:paraId="2BFFA007" w14:textId="77777777" w:rsidR="00C81AA2" w:rsidRPr="00D517B2" w:rsidRDefault="00C81AA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81AA2" w:rsidRPr="00D517B2" w14:paraId="65CCADA8" w14:textId="77777777" w:rsidTr="00C81AA2">
        <w:trPr>
          <w:cantSplit/>
          <w:trHeight w:val="279"/>
          <w:jc w:val="center"/>
        </w:trPr>
        <w:tc>
          <w:tcPr>
            <w:tcW w:w="809" w:type="pct"/>
          </w:tcPr>
          <w:p w14:paraId="288EB744" w14:textId="386C10BA" w:rsidR="00C81AA2" w:rsidRPr="00A9156F" w:rsidRDefault="00C81AA2" w:rsidP="00C81AA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12" w:type="pct"/>
          </w:tcPr>
          <w:p w14:paraId="072438F3" w14:textId="24CA89A3" w:rsidR="00C81AA2" w:rsidRPr="00D517B2" w:rsidRDefault="00C81AA2" w:rsidP="00C81AA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79" w:type="pct"/>
            <w:vMerge/>
          </w:tcPr>
          <w:p w14:paraId="13A96D24" w14:textId="77777777" w:rsidR="00C81AA2" w:rsidRPr="00D517B2" w:rsidRDefault="00C81AA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81AA2" w:rsidRPr="00D517B2" w14:paraId="4FBFF898" w14:textId="77777777" w:rsidTr="00C81AA2">
        <w:trPr>
          <w:cantSplit/>
          <w:trHeight w:val="789"/>
          <w:jc w:val="center"/>
        </w:trPr>
        <w:tc>
          <w:tcPr>
            <w:tcW w:w="809" w:type="pct"/>
          </w:tcPr>
          <w:p w14:paraId="420FFE5F" w14:textId="4CF80DE2" w:rsidR="00C81AA2" w:rsidRPr="00A9156F" w:rsidRDefault="00C81AA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12" w:type="pct"/>
          </w:tcPr>
          <w:p w14:paraId="4518C636" w14:textId="075DE6CE" w:rsidR="00C81AA2" w:rsidRPr="00A9156F" w:rsidRDefault="00C97007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hyperlink r:id="rId9" w:history="1">
              <w:r w:rsidR="00C81AA2" w:rsidRPr="00CF24EB">
                <w:rPr>
                  <w:rStyle w:val="Hyperlink"/>
                  <w:szCs w:val="18"/>
                </w:rPr>
                <w:t>tsbsg12@itu.int</w:t>
              </w:r>
            </w:hyperlink>
          </w:p>
        </w:tc>
        <w:tc>
          <w:tcPr>
            <w:tcW w:w="2279" w:type="pct"/>
            <w:vMerge/>
          </w:tcPr>
          <w:p w14:paraId="6278CF92" w14:textId="77777777" w:rsidR="00C81AA2" w:rsidRPr="00D517B2" w:rsidRDefault="00C81AA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603F680B" w14:textId="77777777" w:rsidTr="00C81AA2">
        <w:trPr>
          <w:cantSplit/>
          <w:jc w:val="center"/>
        </w:trPr>
        <w:tc>
          <w:tcPr>
            <w:tcW w:w="809" w:type="pct"/>
          </w:tcPr>
          <w:p w14:paraId="6B7BD425" w14:textId="77777777" w:rsidR="00CE1C08" w:rsidRPr="00A9156F" w:rsidRDefault="00CE1C08" w:rsidP="00A31C00">
            <w:pPr>
              <w:rPr>
                <w:rtl/>
                <w:lang w:bidi="ar-EG"/>
              </w:rPr>
            </w:pPr>
          </w:p>
        </w:tc>
        <w:tc>
          <w:tcPr>
            <w:tcW w:w="1912" w:type="pct"/>
          </w:tcPr>
          <w:p w14:paraId="08868E73" w14:textId="77777777" w:rsidR="00CE1C08" w:rsidRPr="00D517B2" w:rsidRDefault="00CE1C08" w:rsidP="00A31C00"/>
        </w:tc>
        <w:tc>
          <w:tcPr>
            <w:tcW w:w="2279" w:type="pct"/>
          </w:tcPr>
          <w:p w14:paraId="2D1380C2" w14:textId="77777777" w:rsidR="00CE1C08" w:rsidRPr="00D517B2" w:rsidRDefault="00CE1C08" w:rsidP="00A31C00">
            <w:pPr>
              <w:rPr>
                <w:rtl/>
              </w:rPr>
            </w:pPr>
          </w:p>
        </w:tc>
      </w:tr>
      <w:tr w:rsidR="00CE1C08" w:rsidRPr="00D517B2" w14:paraId="1ACEC5A1" w14:textId="77777777" w:rsidTr="00C81AA2">
        <w:trPr>
          <w:cantSplit/>
          <w:jc w:val="center"/>
        </w:trPr>
        <w:tc>
          <w:tcPr>
            <w:tcW w:w="809" w:type="pct"/>
          </w:tcPr>
          <w:p w14:paraId="7B875877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191" w:type="pct"/>
            <w:gridSpan w:val="2"/>
          </w:tcPr>
          <w:p w14:paraId="1259D1B5" w14:textId="481D44D0" w:rsidR="00CE1C08" w:rsidRPr="00D517B2" w:rsidRDefault="00EA495D" w:rsidP="00C81AA2">
            <w:pPr>
              <w:spacing w:before="80" w:after="60" w:line="300" w:lineRule="exact"/>
              <w:rPr>
                <w:position w:val="2"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 xml:space="preserve">اقتراح بإلغاء التوصيات </w:t>
            </w:r>
            <w:r>
              <w:rPr>
                <w:b/>
                <w:bCs/>
                <w:position w:val="2"/>
              </w:rPr>
              <w:t>ITU-T P.862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</w:t>
            </w:r>
            <w:r w:rsidR="00C81AA2">
              <w:rPr>
                <w:b/>
                <w:bCs/>
                <w:position w:val="2"/>
                <w:lang w:bidi="ar-EG"/>
              </w:rPr>
              <w:t>ITU</w:t>
            </w:r>
            <w:r w:rsidR="00C81AA2">
              <w:rPr>
                <w:b/>
                <w:bCs/>
                <w:position w:val="2"/>
                <w:lang w:bidi="ar-EG"/>
              </w:rPr>
              <w:noBreakHyphen/>
              <w:t>T </w:t>
            </w:r>
            <w:r>
              <w:rPr>
                <w:b/>
                <w:bCs/>
                <w:position w:val="2"/>
                <w:lang w:bidi="ar-EG"/>
              </w:rPr>
              <w:t>P.862.1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</w:t>
            </w:r>
            <w:r w:rsidR="00C81AA2">
              <w:rPr>
                <w:b/>
                <w:bCs/>
                <w:position w:val="2"/>
                <w:lang w:bidi="ar-EG"/>
              </w:rPr>
              <w:t>ITU</w:t>
            </w:r>
            <w:r w:rsidR="00C81AA2">
              <w:rPr>
                <w:b/>
                <w:bCs/>
                <w:position w:val="2"/>
                <w:lang w:bidi="ar-EG"/>
              </w:rPr>
              <w:noBreakHyphen/>
              <w:t>T </w:t>
            </w:r>
            <w:r>
              <w:rPr>
                <w:b/>
                <w:bCs/>
                <w:position w:val="2"/>
                <w:lang w:bidi="ar-EG"/>
              </w:rPr>
              <w:t>P.862.2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</w:t>
            </w:r>
            <w:r w:rsidR="00C81AA2">
              <w:rPr>
                <w:b/>
                <w:bCs/>
                <w:position w:val="2"/>
                <w:lang w:bidi="ar-EG"/>
              </w:rPr>
              <w:t>ITU</w:t>
            </w:r>
            <w:r w:rsidR="00C81AA2">
              <w:rPr>
                <w:b/>
                <w:bCs/>
                <w:position w:val="2"/>
                <w:lang w:bidi="ar-EG"/>
              </w:rPr>
              <w:noBreakHyphen/>
              <w:t>T </w:t>
            </w:r>
            <w:r>
              <w:rPr>
                <w:b/>
                <w:bCs/>
                <w:position w:val="2"/>
                <w:lang w:bidi="ar-EG"/>
              </w:rPr>
              <w:t>P.862.3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وافقت عليه لجنة الدراسات 12 لقطاع تقييس الاتصالات في اجتماعها المنعقد في مكسيكو سيتي، الفترة</w:t>
            </w:r>
            <w:r w:rsidR="00C81AA2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19</w:t>
            </w:r>
            <w:r w:rsidR="00C81AA2">
              <w:rPr>
                <w:b/>
                <w:bCs/>
                <w:position w:val="2"/>
                <w:rtl/>
                <w:lang w:bidi="ar-EG"/>
              </w:rPr>
              <w:noBreakHyphen/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28 سبتمبر 2023</w:t>
            </w:r>
          </w:p>
        </w:tc>
      </w:tr>
    </w:tbl>
    <w:p w14:paraId="09805FCC" w14:textId="77777777" w:rsidR="00D517B2" w:rsidRPr="00D517B2" w:rsidRDefault="00D517B2" w:rsidP="00A31C00">
      <w:pPr>
        <w:spacing w:before="600" w:line="168" w:lineRule="auto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1CE7D254" w14:textId="77777777" w:rsidR="00D517B2" w:rsidRPr="00D517B2" w:rsidRDefault="00D517B2" w:rsidP="00C81AA2">
      <w:pPr>
        <w:spacing w:line="168" w:lineRule="auto"/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047CA35B" w14:textId="63154B69" w:rsidR="00D517B2" w:rsidRPr="003A0EF8" w:rsidRDefault="00F514E9" w:rsidP="00A31C00">
      <w:pPr>
        <w:rPr>
          <w:rtl/>
          <w:lang w:val="en-GB"/>
        </w:rPr>
      </w:pPr>
      <w:r>
        <w:rPr>
          <w:lang w:bidi="ar-SY"/>
        </w:rPr>
        <w:t>1</w:t>
      </w:r>
      <w:r>
        <w:rPr>
          <w:rtl/>
          <w:lang w:val="en-GB"/>
        </w:rPr>
        <w:tab/>
      </w:r>
      <w:r w:rsidR="00A11A87">
        <w:rPr>
          <w:rFonts w:hint="cs"/>
          <w:rtl/>
          <w:lang w:val="en-GB"/>
        </w:rPr>
        <w:t>ب</w:t>
      </w:r>
      <w:r w:rsidR="00C81AA2">
        <w:rPr>
          <w:rFonts w:hint="cs"/>
          <w:rtl/>
          <w:lang w:val="en-GB"/>
        </w:rPr>
        <w:t>ن</w:t>
      </w:r>
      <w:r w:rsidR="00A11A87">
        <w:rPr>
          <w:rFonts w:hint="cs"/>
          <w:rtl/>
          <w:lang w:val="en-GB"/>
        </w:rPr>
        <w:t>اء</w:t>
      </w:r>
      <w:r w:rsidR="00C81AA2">
        <w:rPr>
          <w:rFonts w:hint="cs"/>
          <w:rtl/>
          <w:lang w:val="en-GB"/>
        </w:rPr>
        <w:t>ً</w:t>
      </w:r>
      <w:r w:rsidR="00A11A87">
        <w:rPr>
          <w:rFonts w:hint="cs"/>
          <w:rtl/>
          <w:lang w:val="en-GB"/>
        </w:rPr>
        <w:t xml:space="preserve"> على طلب رئيس </w:t>
      </w:r>
      <w:r w:rsidR="00215DF4">
        <w:rPr>
          <w:rFonts w:hint="cs"/>
          <w:rtl/>
          <w:lang w:val="en-GB"/>
        </w:rPr>
        <w:t xml:space="preserve">لجنة الدراسات </w:t>
      </w:r>
      <w:r w:rsidR="00215DF4">
        <w:t>12</w:t>
      </w:r>
      <w:r w:rsidR="00215DF4">
        <w:rPr>
          <w:rFonts w:hint="cs"/>
          <w:rtl/>
          <w:lang w:val="en-GB"/>
        </w:rPr>
        <w:t xml:space="preserve"> (</w:t>
      </w:r>
      <w:r w:rsidR="00A11A87" w:rsidRPr="00A11A87">
        <w:rPr>
          <w:rtl/>
          <w:lang w:val="en-GB"/>
        </w:rPr>
        <w:t>الأداء وجودة الخدمة (</w:t>
      </w:r>
      <w:r w:rsidR="00A11A87" w:rsidRPr="00A11A87">
        <w:rPr>
          <w:lang w:val="en-GB"/>
        </w:rPr>
        <w:t>QoS</w:t>
      </w:r>
      <w:r w:rsidR="00A11A87" w:rsidRPr="00A11A87">
        <w:rPr>
          <w:rtl/>
          <w:lang w:val="en-GB"/>
        </w:rPr>
        <w:t>) وجودة التجربة (</w:t>
      </w:r>
      <w:r w:rsidR="00A11A87" w:rsidRPr="00A11A87">
        <w:rPr>
          <w:lang w:val="en-GB"/>
        </w:rPr>
        <w:t>QoE</w:t>
      </w:r>
      <w:proofErr w:type="gramStart"/>
      <w:r w:rsidR="00A11A87" w:rsidRPr="00A11A87">
        <w:rPr>
          <w:rtl/>
          <w:lang w:val="en-GB"/>
        </w:rPr>
        <w:t>)</w:t>
      </w:r>
      <w:r w:rsidR="00215DF4">
        <w:rPr>
          <w:rFonts w:hint="cs"/>
          <w:rtl/>
          <w:lang w:val="en-GB"/>
        </w:rPr>
        <w:t>)</w:t>
      </w:r>
      <w:r w:rsidR="00A11A87">
        <w:rPr>
          <w:rFonts w:hint="cs"/>
          <w:rtl/>
          <w:lang w:val="en-GB"/>
        </w:rPr>
        <w:t>،</w:t>
      </w:r>
      <w:proofErr w:type="gramEnd"/>
      <w:r w:rsidR="00A11A87">
        <w:rPr>
          <w:rFonts w:hint="cs"/>
          <w:rtl/>
          <w:lang w:val="en-GB"/>
        </w:rPr>
        <w:t xml:space="preserve"> </w:t>
      </w:r>
      <w:r w:rsidR="00215DF4">
        <w:rPr>
          <w:rFonts w:hint="cs"/>
          <w:rtl/>
          <w:lang w:val="en-GB"/>
        </w:rPr>
        <w:t xml:space="preserve"> </w:t>
      </w:r>
      <w:r w:rsidR="00A11A87">
        <w:rPr>
          <w:rFonts w:hint="cs"/>
          <w:rtl/>
          <w:lang w:val="en-GB"/>
        </w:rPr>
        <w:t>أتشرف بأن أُحيطكم علما</w:t>
      </w:r>
      <w:r w:rsidR="00A31C00">
        <w:rPr>
          <w:rFonts w:hint="cs"/>
          <w:rtl/>
          <w:lang w:val="en-GB"/>
        </w:rPr>
        <w:t>ً</w:t>
      </w:r>
      <w:r w:rsidR="00A11A87">
        <w:rPr>
          <w:rFonts w:hint="cs"/>
          <w:rtl/>
          <w:lang w:val="en-GB"/>
        </w:rPr>
        <w:t xml:space="preserve"> بأن لجنة الدراسات هذه اتفقت، في اجتماعها المنعقد في مكسيكو سيتي، في الفترة</w:t>
      </w:r>
      <w:r w:rsidR="00215DF4">
        <w:rPr>
          <w:rFonts w:hint="cs"/>
          <w:rtl/>
          <w:lang w:val="en-GB"/>
        </w:rPr>
        <w:t xml:space="preserve"> </w:t>
      </w:r>
      <w:r w:rsidR="003A0EF8">
        <w:t>28-19</w:t>
      </w:r>
      <w:r w:rsidR="003A0EF8">
        <w:rPr>
          <w:rFonts w:hint="cs"/>
          <w:rtl/>
          <w:lang w:val="en-GB"/>
        </w:rPr>
        <w:t xml:space="preserve"> سبتمبر </w:t>
      </w:r>
      <w:r w:rsidR="003A0EF8">
        <w:t>2023</w:t>
      </w:r>
      <w:r w:rsidR="003A0EF8">
        <w:rPr>
          <w:rFonts w:hint="cs"/>
          <w:rtl/>
          <w:lang w:val="en-GB"/>
        </w:rPr>
        <w:t xml:space="preserve">، </w:t>
      </w:r>
      <w:r w:rsidR="00A11A87" w:rsidRPr="00A11A87">
        <w:rPr>
          <w:rtl/>
          <w:lang w:val="en-GB"/>
        </w:rPr>
        <w:t xml:space="preserve">على البدء في </w:t>
      </w:r>
      <w:r w:rsidR="00A11A87">
        <w:rPr>
          <w:rFonts w:hint="cs"/>
          <w:rtl/>
          <w:lang w:val="en-GB"/>
        </w:rPr>
        <w:t>إلغاء</w:t>
      </w:r>
      <w:r w:rsidR="00A11A87" w:rsidRPr="00A11A87">
        <w:rPr>
          <w:rtl/>
          <w:lang w:val="en-GB"/>
        </w:rPr>
        <w:t xml:space="preserve"> </w:t>
      </w:r>
      <w:r w:rsidR="00A11A87">
        <w:rPr>
          <w:rFonts w:hint="cs"/>
          <w:rtl/>
          <w:lang w:val="en-GB"/>
        </w:rPr>
        <w:t>قطاع تقييس الاتصالات</w:t>
      </w:r>
      <w:r w:rsidR="00A11A87" w:rsidRPr="00A11A87">
        <w:rPr>
          <w:rtl/>
          <w:lang w:val="en-GB"/>
        </w:rPr>
        <w:t xml:space="preserve"> المذكورة أعلاه، وفقاً لأحكام الفقرة 1.2.8.9 من القرار 1 (المراجَع في جنيف، 2022)</w:t>
      </w:r>
      <w:r w:rsidR="00C81AA2">
        <w:rPr>
          <w:rFonts w:hint="cs"/>
          <w:rtl/>
          <w:lang w:val="en-GB"/>
        </w:rPr>
        <w:t xml:space="preserve"> </w:t>
      </w:r>
      <w:r w:rsidR="00C81AA2" w:rsidRPr="00A11A87">
        <w:rPr>
          <w:rtl/>
          <w:lang w:val="en-GB"/>
        </w:rPr>
        <w:t>للجمعية العالمية لتقييس الاتصالات</w:t>
      </w:r>
      <w:r w:rsidR="00A11A87" w:rsidRPr="00A11A87">
        <w:rPr>
          <w:rtl/>
          <w:lang w:val="en-GB"/>
        </w:rPr>
        <w:t>. وتم التوصل إلى هذا الاتفاق دون معارضة من الدول الأعضاء أو أعضاء القطاع الذين يتصرفون نيابة عن الدول الأعضاء بموجب الرقم 239 من اتفاقية الاتحاد الحاضرين في الاجتماع.</w:t>
      </w:r>
    </w:p>
    <w:p w14:paraId="15F98EE4" w14:textId="4FAEDACE" w:rsidR="00F514E9" w:rsidRDefault="00F514E9" w:rsidP="00A31C00">
      <w:pPr>
        <w:rPr>
          <w:rtl/>
          <w:lang w:val="en-GB"/>
        </w:rPr>
      </w:pPr>
      <w:r>
        <w:t>2</w:t>
      </w:r>
      <w:r>
        <w:rPr>
          <w:rtl/>
          <w:lang w:val="en-GB"/>
        </w:rPr>
        <w:tab/>
      </w:r>
      <w:r>
        <w:rPr>
          <w:rFonts w:hint="cs"/>
          <w:rtl/>
          <w:lang w:val="en-GB"/>
        </w:rPr>
        <w:t xml:space="preserve">وترد في </w:t>
      </w:r>
      <w:r w:rsidRPr="00F514E9">
        <w:rPr>
          <w:rFonts w:hint="cs"/>
          <w:b/>
          <w:bCs/>
          <w:rtl/>
          <w:lang w:val="en-GB"/>
        </w:rPr>
        <w:t xml:space="preserve">الملحق </w:t>
      </w:r>
      <w:r w:rsidRPr="00F514E9">
        <w:rPr>
          <w:b/>
          <w:bCs/>
        </w:rPr>
        <w:t>1</w:t>
      </w:r>
      <w:r>
        <w:rPr>
          <w:rFonts w:hint="cs"/>
          <w:rtl/>
          <w:lang w:val="en-GB"/>
        </w:rPr>
        <w:t xml:space="preserve"> معلومات عن هذا الاتفاق بما في ذلك ملخص لتفسير أسباب الإلغاء.</w:t>
      </w:r>
    </w:p>
    <w:p w14:paraId="72851C98" w14:textId="57046FF6" w:rsidR="00EF037D" w:rsidRPr="00EC364F" w:rsidRDefault="00EF037D" w:rsidP="00A31C00">
      <w:pPr>
        <w:rPr>
          <w:rtl/>
          <w:lang w:val="en-GB"/>
        </w:rPr>
      </w:pPr>
      <w:r>
        <w:rPr>
          <w:rFonts w:hint="cs"/>
          <w:rtl/>
          <w:lang w:bidi="ar-SY"/>
        </w:rPr>
        <w:t>3</w:t>
      </w:r>
      <w:r>
        <w:rPr>
          <w:rtl/>
          <w:lang w:val="en-GB"/>
        </w:rPr>
        <w:tab/>
      </w:r>
      <w:r w:rsidR="00A11A87">
        <w:rPr>
          <w:rFonts w:hint="cs"/>
          <w:rtl/>
          <w:lang w:val="en-GB"/>
        </w:rPr>
        <w:t>و</w:t>
      </w:r>
      <w:r w:rsidR="00A11A87" w:rsidRPr="00A11A87">
        <w:rPr>
          <w:rtl/>
          <w:lang w:val="en-GB"/>
        </w:rPr>
        <w:t>وفقا</w:t>
      </w:r>
      <w:r w:rsidR="00A11A87">
        <w:rPr>
          <w:rFonts w:hint="cs"/>
          <w:rtl/>
          <w:lang w:val="en-GB"/>
        </w:rPr>
        <w:t>ً</w:t>
      </w:r>
      <w:r w:rsidR="00A11A87" w:rsidRPr="00A11A87">
        <w:rPr>
          <w:rtl/>
          <w:lang w:val="en-GB"/>
        </w:rPr>
        <w:t xml:space="preserve"> للقرار 1، القسم </w:t>
      </w:r>
      <w:r w:rsidR="00A11A87">
        <w:rPr>
          <w:lang w:val="en-GB"/>
        </w:rPr>
        <w:t>1.2.8.9</w:t>
      </w:r>
      <w:r w:rsidR="00A11A87" w:rsidRPr="00A11A87">
        <w:rPr>
          <w:rtl/>
          <w:lang w:val="en-GB"/>
        </w:rPr>
        <w:t>، سيدخل ال</w:t>
      </w:r>
      <w:r w:rsidR="00A11A87">
        <w:rPr>
          <w:rFonts w:hint="cs"/>
          <w:rtl/>
          <w:lang w:val="en-GB"/>
        </w:rPr>
        <w:t>إلغاء</w:t>
      </w:r>
      <w:r w:rsidR="00A11A87" w:rsidRPr="00A11A87">
        <w:rPr>
          <w:rtl/>
          <w:lang w:val="en-GB"/>
        </w:rPr>
        <w:t xml:space="preserve"> حيز التنفيذ إذا لم يتم تلقي أي اعتراض على </w:t>
      </w:r>
      <w:r w:rsidR="00A11A87">
        <w:rPr>
          <w:rFonts w:hint="cs"/>
          <w:rtl/>
          <w:lang w:val="en-GB"/>
        </w:rPr>
        <w:t>الإلغاء</w:t>
      </w:r>
      <w:r w:rsidR="00A11A87" w:rsidRPr="00A11A87">
        <w:rPr>
          <w:rtl/>
          <w:lang w:val="en-GB"/>
        </w:rPr>
        <w:t xml:space="preserve"> بحلول الساعة</w:t>
      </w:r>
      <w:r w:rsidR="00C81AA2">
        <w:rPr>
          <w:rFonts w:hint="cs"/>
          <w:rtl/>
          <w:lang w:val="en-GB"/>
        </w:rPr>
        <w:t> </w:t>
      </w:r>
      <w:r w:rsidR="00C81AA2">
        <w:rPr>
          <w:rFonts w:hint="cs"/>
          <w:rtl/>
          <w:lang w:val="en-GB" w:bidi="ar-EG"/>
        </w:rPr>
        <w:t>23:59</w:t>
      </w:r>
      <w:r w:rsidR="00A11A87" w:rsidRPr="00A11A87">
        <w:rPr>
          <w:rtl/>
          <w:lang w:val="en-GB"/>
        </w:rPr>
        <w:t xml:space="preserve"> بالتوقيت العالمي المنسق في </w:t>
      </w:r>
      <w:r w:rsidR="00EC364F" w:rsidRPr="00D90822">
        <w:rPr>
          <w:b/>
          <w:bCs/>
        </w:rPr>
        <w:t>4</w:t>
      </w:r>
      <w:r w:rsidR="00EC364F" w:rsidRPr="00D90822">
        <w:rPr>
          <w:rFonts w:hint="cs"/>
          <w:b/>
          <w:bCs/>
          <w:rtl/>
          <w:lang w:val="en-GB"/>
        </w:rPr>
        <w:t xml:space="preserve"> يناير </w:t>
      </w:r>
      <w:r w:rsidR="00EC364F" w:rsidRPr="00D90822">
        <w:rPr>
          <w:b/>
          <w:bCs/>
        </w:rPr>
        <w:t>2024</w:t>
      </w:r>
      <w:r w:rsidR="00EC364F">
        <w:rPr>
          <w:rFonts w:hint="cs"/>
          <w:rtl/>
          <w:lang w:val="en-GB"/>
        </w:rPr>
        <w:t>.</w:t>
      </w:r>
    </w:p>
    <w:p w14:paraId="463C0CA6" w14:textId="58458971" w:rsidR="00EF037D" w:rsidRDefault="00C81AA2" w:rsidP="00A31C00">
      <w:pPr>
        <w:rPr>
          <w:rtl/>
          <w:lang w:val="en-GB"/>
        </w:rPr>
      </w:pPr>
      <w:r>
        <w:rPr>
          <w:lang w:val="en-GB"/>
        </w:rPr>
        <w:tab/>
      </w:r>
      <w:r w:rsidR="00A22195" w:rsidRPr="00A22195">
        <w:rPr>
          <w:rtl/>
          <w:lang w:val="en-GB"/>
        </w:rPr>
        <w:t>إذا رأت أي من الدول الأعضاء أو أعضاء القطاع الذين يتصرفون نيابة عن الدول الأعضاء بموجب الرقم 239 من اتفاقية الاتحاد أنه لا ينبغي قبول ال</w:t>
      </w:r>
      <w:r w:rsidR="00A22195">
        <w:rPr>
          <w:rFonts w:hint="cs"/>
          <w:rtl/>
          <w:lang w:val="en-GB"/>
        </w:rPr>
        <w:t>إلغاء</w:t>
      </w:r>
      <w:r w:rsidR="00A22195" w:rsidRPr="00A22195">
        <w:rPr>
          <w:rtl/>
          <w:lang w:val="en-GB"/>
        </w:rPr>
        <w:t>، فينبغي لهم أن يذكروا أسباب عدم الموافقة و</w:t>
      </w:r>
      <w:r w:rsidR="00A22195">
        <w:rPr>
          <w:rFonts w:hint="cs"/>
          <w:rtl/>
          <w:lang w:val="en-GB"/>
        </w:rPr>
        <w:t xml:space="preserve">سيُحال </w:t>
      </w:r>
      <w:r w:rsidR="00A22195" w:rsidRPr="00A22195">
        <w:rPr>
          <w:rtl/>
          <w:lang w:val="en-GB"/>
        </w:rPr>
        <w:t>الأمر مرة أخرى إلى لجنة الدراسات</w:t>
      </w:r>
      <w:r w:rsidR="00A22195">
        <w:rPr>
          <w:rFonts w:hint="cs"/>
          <w:rtl/>
          <w:lang w:val="en-GB"/>
        </w:rPr>
        <w:t>.</w:t>
      </w:r>
    </w:p>
    <w:p w14:paraId="77A6F97D" w14:textId="2504D56B" w:rsidR="00EF037D" w:rsidRDefault="00EF037D" w:rsidP="00A31C00">
      <w:pPr>
        <w:keepNext/>
        <w:rPr>
          <w:rtl/>
          <w:lang w:val="en-GB"/>
        </w:rPr>
      </w:pPr>
      <w:r>
        <w:rPr>
          <w:rFonts w:hint="cs"/>
          <w:rtl/>
          <w:lang w:bidi="ar-SY"/>
        </w:rPr>
        <w:lastRenderedPageBreak/>
        <w:t>4</w:t>
      </w:r>
      <w:r>
        <w:rPr>
          <w:rtl/>
          <w:lang w:val="en-GB"/>
        </w:rPr>
        <w:tab/>
      </w:r>
      <w:r w:rsidR="00FA3596">
        <w:rPr>
          <w:rFonts w:hint="cs"/>
          <w:rtl/>
          <w:lang w:val="en-GB"/>
        </w:rPr>
        <w:t>وستُعلن نتائج</w:t>
      </w:r>
      <w:r w:rsidR="00FA3596" w:rsidRPr="00FA3596">
        <w:rPr>
          <w:rtl/>
          <w:lang w:val="en-GB"/>
        </w:rPr>
        <w:t xml:space="preserve"> هذه المشاورة بعد وقت قصير من الموعد النهائي عبر رسالة معممة </w:t>
      </w:r>
      <w:r w:rsidR="00FA3596">
        <w:rPr>
          <w:rFonts w:hint="cs"/>
          <w:rtl/>
          <w:lang w:val="en-GB"/>
        </w:rPr>
        <w:t>ل</w:t>
      </w:r>
      <w:r w:rsidR="00FA3596" w:rsidRPr="00FA3596">
        <w:rPr>
          <w:rtl/>
          <w:lang w:val="en-GB"/>
        </w:rPr>
        <w:t xml:space="preserve">مكتب تقييس الاتصالات </w:t>
      </w:r>
      <w:r w:rsidR="00FA3596">
        <w:rPr>
          <w:rFonts w:hint="cs"/>
          <w:rtl/>
          <w:lang w:val="en-GB"/>
        </w:rPr>
        <w:t>وتُنشر</w:t>
      </w:r>
      <w:r w:rsidR="00FA3596" w:rsidRPr="00FA3596">
        <w:rPr>
          <w:rtl/>
          <w:lang w:val="en-GB"/>
        </w:rPr>
        <w:t xml:space="preserve"> في النشرة التشغيلية للاتحاد.</w:t>
      </w:r>
    </w:p>
    <w:p w14:paraId="3C938E6F" w14:textId="77777777" w:rsidR="00E84438" w:rsidRPr="00D517B2" w:rsidRDefault="00E84438" w:rsidP="00A31C00">
      <w:pPr>
        <w:keepNext/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03CC10E5" w14:textId="77777777" w:rsidR="00E84438" w:rsidRPr="00D517B2" w:rsidRDefault="00E84438" w:rsidP="00A31C00">
      <w:pPr>
        <w:keepNext/>
        <w:spacing w:before="720" w:after="720"/>
        <w:ind w:left="-57"/>
        <w:jc w:val="left"/>
        <w:rPr>
          <w:i/>
          <w:iCs/>
          <w:rtl/>
          <w:lang w:bidi="ar-SY"/>
        </w:rPr>
      </w:pPr>
      <w:r w:rsidRPr="00D517B2">
        <w:rPr>
          <w:rFonts w:hint="cs"/>
          <w:i/>
          <w:iCs/>
          <w:rtl/>
          <w:lang w:bidi="ar-SY"/>
        </w:rPr>
        <w:t>(توقيع)</w:t>
      </w:r>
    </w:p>
    <w:p w14:paraId="46B0C921" w14:textId="77777777" w:rsidR="00E84438" w:rsidRDefault="00807031" w:rsidP="00A31C00">
      <w:pPr>
        <w:keepNext/>
        <w:jc w:val="left"/>
        <w:rPr>
          <w:rtl/>
        </w:rPr>
      </w:pPr>
      <w:proofErr w:type="spellStart"/>
      <w:r>
        <w:rPr>
          <w:rFonts w:hint="cs"/>
          <w:rtl/>
          <w:lang w:bidi="ar-SY"/>
        </w:rPr>
        <w:t>سيزو</w:t>
      </w:r>
      <w:proofErr w:type="spellEnd"/>
      <w:r>
        <w:rPr>
          <w:rFonts w:hint="cs"/>
          <w:rtl/>
          <w:lang w:bidi="ar-SY"/>
        </w:rPr>
        <w:t xml:space="preserve"> </w:t>
      </w:r>
      <w:proofErr w:type="spellStart"/>
      <w:r>
        <w:rPr>
          <w:rFonts w:hint="cs"/>
          <w:rtl/>
          <w:lang w:bidi="ar-SY"/>
        </w:rPr>
        <w:t>أونوي</w:t>
      </w:r>
      <w:proofErr w:type="spellEnd"/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p w14:paraId="0720C9B7" w14:textId="39EF5CC6" w:rsidR="00596808" w:rsidRDefault="006B3046" w:rsidP="00A31C00">
      <w:pPr>
        <w:spacing w:before="960"/>
        <w:jc w:val="left"/>
        <w:rPr>
          <w:rtl/>
        </w:rPr>
      </w:pPr>
      <w:r w:rsidRPr="006B3046">
        <w:rPr>
          <w:rFonts w:hint="cs"/>
          <w:b/>
          <w:bCs/>
          <w:rtl/>
        </w:rPr>
        <w:t>الملحق</w:t>
      </w:r>
      <w:r w:rsidR="00FA3596">
        <w:rPr>
          <w:rFonts w:hint="cs"/>
          <w:b/>
          <w:bCs/>
          <w:rtl/>
        </w:rPr>
        <w:t>ات:</w:t>
      </w:r>
      <w:r w:rsidRPr="006B3046">
        <w:rPr>
          <w:rFonts w:hint="cs"/>
          <w:b/>
          <w:bCs/>
          <w:rtl/>
        </w:rPr>
        <w:t xml:space="preserve"> </w:t>
      </w:r>
      <w:r w:rsidRPr="00FA3596">
        <w:t>1</w:t>
      </w:r>
      <w:r w:rsidR="00596808">
        <w:rPr>
          <w:rtl/>
          <w:lang w:bidi="ar-EG"/>
        </w:rPr>
        <w:br w:type="page"/>
      </w:r>
    </w:p>
    <w:p w14:paraId="0FE712FA" w14:textId="7F210125" w:rsidR="00AF6B5C" w:rsidRPr="009B3AE4" w:rsidRDefault="009B3AE4" w:rsidP="009B3AE4">
      <w:pPr>
        <w:pStyle w:val="AnnexNo"/>
        <w:rPr>
          <w:b/>
          <w:bCs/>
          <w:rtl/>
          <w:lang w:val="en-GB"/>
        </w:rPr>
      </w:pPr>
      <w:r w:rsidRPr="009B3AE4">
        <w:rPr>
          <w:rFonts w:hint="cs"/>
          <w:b/>
          <w:bCs/>
          <w:rtl/>
        </w:rPr>
        <w:lastRenderedPageBreak/>
        <w:t xml:space="preserve">الملحق </w:t>
      </w:r>
      <w:r w:rsidRPr="009B3AE4">
        <w:rPr>
          <w:b/>
          <w:bCs/>
        </w:rPr>
        <w:t>1</w:t>
      </w:r>
    </w:p>
    <w:p w14:paraId="20D4408D" w14:textId="0F2CAB46" w:rsidR="009B3AE4" w:rsidRDefault="009B3AE4" w:rsidP="009B3AE4">
      <w:pPr>
        <w:pStyle w:val="Annextitle"/>
        <w:rPr>
          <w:rtl/>
          <w:lang w:val="en-GB"/>
        </w:rPr>
      </w:pPr>
      <w:r>
        <w:rPr>
          <w:rFonts w:hint="cs"/>
          <w:rtl/>
          <w:lang w:val="en-GB"/>
        </w:rPr>
        <w:t>التوصيات المقترح إلغاؤها</w:t>
      </w:r>
    </w:p>
    <w:p w14:paraId="55012CA4" w14:textId="0C31E0B8" w:rsidR="003B29D3" w:rsidRDefault="003B29D3" w:rsidP="009B3AE4">
      <w:pPr>
        <w:pStyle w:val="Annextitle"/>
        <w:rPr>
          <w:rtl/>
          <w:lang w:val="en-GB"/>
        </w:rPr>
      </w:pPr>
      <w:r w:rsidRPr="00320E57">
        <w:rPr>
          <w:szCs w:val="22"/>
          <w:lang w:val="fr-FR"/>
        </w:rPr>
        <w:t>ITU-T P.862</w:t>
      </w:r>
      <w:r>
        <w:rPr>
          <w:rFonts w:hint="cs"/>
          <w:rtl/>
          <w:lang w:val="en-GB"/>
        </w:rPr>
        <w:t xml:space="preserve"> و</w:t>
      </w:r>
      <w:r w:rsidRPr="003B29D3">
        <w:rPr>
          <w:szCs w:val="22"/>
          <w:lang w:val="fr-FR"/>
        </w:rPr>
        <w:t xml:space="preserve"> </w:t>
      </w:r>
      <w:r w:rsidRPr="00320E57">
        <w:rPr>
          <w:szCs w:val="22"/>
          <w:lang w:val="fr-FR"/>
        </w:rPr>
        <w:t>ITU-T P.862.1</w:t>
      </w:r>
      <w:r>
        <w:rPr>
          <w:rFonts w:hint="cs"/>
          <w:szCs w:val="22"/>
          <w:rtl/>
          <w:lang w:val="fr-FR"/>
        </w:rPr>
        <w:t xml:space="preserve"> </w:t>
      </w:r>
      <w:r w:rsidRPr="003E66E3">
        <w:rPr>
          <w:rFonts w:hint="cs"/>
          <w:rtl/>
          <w:lang w:val="en-GB"/>
        </w:rPr>
        <w:t>و</w:t>
      </w:r>
      <w:r w:rsidRPr="003B29D3">
        <w:rPr>
          <w:szCs w:val="22"/>
          <w:lang w:val="fr-FR"/>
        </w:rPr>
        <w:t xml:space="preserve"> </w:t>
      </w:r>
      <w:r w:rsidRPr="00320E57">
        <w:rPr>
          <w:szCs w:val="22"/>
          <w:lang w:val="fr-FR"/>
        </w:rPr>
        <w:t>ITU-T P.862.2</w:t>
      </w:r>
      <w:r>
        <w:rPr>
          <w:rFonts w:hint="cs"/>
          <w:rtl/>
          <w:lang w:val="en-GB"/>
        </w:rPr>
        <w:t>و</w:t>
      </w:r>
      <w:r w:rsidRPr="003B29D3">
        <w:rPr>
          <w:szCs w:val="22"/>
          <w:lang w:val="fr-FR"/>
        </w:rPr>
        <w:t xml:space="preserve"> </w:t>
      </w:r>
      <w:r w:rsidRPr="00320E57">
        <w:rPr>
          <w:szCs w:val="22"/>
          <w:lang w:val="fr-FR"/>
        </w:rPr>
        <w:t>ITU-T P.862.3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2C7DD4" w14:paraId="447B6838" w14:textId="77777777" w:rsidTr="001770F1">
        <w:tc>
          <w:tcPr>
            <w:tcW w:w="9629" w:type="dxa"/>
          </w:tcPr>
          <w:p w14:paraId="7F6AEFB8" w14:textId="092D1147" w:rsidR="002C7DD4" w:rsidRPr="002C7DD4" w:rsidRDefault="002C7DD4" w:rsidP="00C81AA2">
            <w:pPr>
              <w:spacing w:before="240"/>
              <w:rPr>
                <w:b/>
                <w:bCs/>
                <w:lang w:eastAsia="ja-JP"/>
              </w:rPr>
            </w:pPr>
            <w:r w:rsidRPr="00C81AA2">
              <w:rPr>
                <w:rFonts w:hint="cs"/>
                <w:b/>
                <w:bCs/>
                <w:rtl/>
                <w:lang w:eastAsia="ja-JP"/>
              </w:rPr>
              <w:t xml:space="preserve">التوصية </w:t>
            </w:r>
            <w:r w:rsidRPr="00C81AA2">
              <w:rPr>
                <w:b/>
                <w:bCs/>
                <w:lang w:eastAsia="ja-JP"/>
              </w:rPr>
              <w:t>ITU-T P.862</w:t>
            </w:r>
            <w:r w:rsidRPr="00C81AA2">
              <w:rPr>
                <w:rFonts w:hint="cs"/>
                <w:b/>
                <w:bCs/>
                <w:rtl/>
                <w:lang w:eastAsia="ja-JP"/>
              </w:rPr>
              <w:t xml:space="preserve">، </w:t>
            </w:r>
            <w:r w:rsidRPr="00C81AA2">
              <w:rPr>
                <w:rFonts w:hint="cs"/>
                <w:b/>
                <w:bCs/>
                <w:i/>
                <w:iCs/>
                <w:rtl/>
                <w:lang w:eastAsia="ja-JP"/>
              </w:rPr>
              <w:t>التقييم المدرك ل</w:t>
            </w:r>
            <w:r w:rsidR="002347FC" w:rsidRPr="00C81AA2">
              <w:rPr>
                <w:rFonts w:hint="cs"/>
                <w:b/>
                <w:bCs/>
                <w:i/>
                <w:iCs/>
                <w:rtl/>
                <w:lang w:eastAsia="ja-JP"/>
              </w:rPr>
              <w:t>ن</w:t>
            </w:r>
            <w:r w:rsidRPr="00C81AA2">
              <w:rPr>
                <w:rFonts w:hint="cs"/>
                <w:b/>
                <w:bCs/>
                <w:i/>
                <w:iCs/>
                <w:rtl/>
                <w:lang w:eastAsia="ja-JP"/>
              </w:rPr>
              <w:t xml:space="preserve">وعية الكلام </w:t>
            </w:r>
            <w:r w:rsidRPr="00C81AA2">
              <w:rPr>
                <w:b/>
                <w:bCs/>
                <w:i/>
                <w:iCs/>
                <w:lang w:eastAsia="ja-JP"/>
              </w:rPr>
              <w:t>(PESQ)</w:t>
            </w:r>
            <w:r w:rsidRPr="00C81AA2">
              <w:rPr>
                <w:rFonts w:hint="cs"/>
                <w:b/>
                <w:bCs/>
                <w:i/>
                <w:iCs/>
                <w:rtl/>
                <w:lang w:eastAsia="ja-JP"/>
              </w:rPr>
              <w:t xml:space="preserve">: أسلوب موضوعي لتقييم نوعية الكلام من طرف إلى طرف </w:t>
            </w:r>
            <w:proofErr w:type="spellStart"/>
            <w:r w:rsidRPr="00C81AA2">
              <w:rPr>
                <w:rFonts w:hint="cs"/>
                <w:b/>
                <w:bCs/>
                <w:i/>
                <w:iCs/>
                <w:rtl/>
                <w:lang w:eastAsia="ja-JP"/>
              </w:rPr>
              <w:t>للكودكات</w:t>
            </w:r>
            <w:proofErr w:type="spellEnd"/>
            <w:r w:rsidRPr="00C81AA2">
              <w:rPr>
                <w:rFonts w:hint="cs"/>
                <w:b/>
                <w:bCs/>
                <w:i/>
                <w:iCs/>
                <w:rtl/>
                <w:lang w:eastAsia="ja-JP"/>
              </w:rPr>
              <w:t xml:space="preserve"> الصوتية والشبكات الهاتفية ضيفة النطاق</w:t>
            </w:r>
            <w:r w:rsidR="00D001E9" w:rsidRPr="00C81AA2">
              <w:rPr>
                <w:rFonts w:hint="cs"/>
                <w:b/>
                <w:bCs/>
                <w:i/>
                <w:iCs/>
                <w:rtl/>
                <w:lang w:eastAsia="ja-JP"/>
              </w:rPr>
              <w:t xml:space="preserve"> </w:t>
            </w:r>
            <w:r w:rsidR="00C81AA2" w:rsidRPr="00C81AA2">
              <w:rPr>
                <w:b/>
                <w:bCs/>
                <w:lang w:eastAsia="ja-JP"/>
              </w:rPr>
              <w:t>(</w:t>
            </w:r>
            <w:r w:rsidR="00A31C00">
              <w:rPr>
                <w:b/>
                <w:bCs/>
                <w:lang w:eastAsia="ja-JP"/>
              </w:rPr>
              <w:t>2001/02</w:t>
            </w:r>
            <w:r w:rsidR="00C81AA2" w:rsidRPr="00C81AA2">
              <w:rPr>
                <w:b/>
                <w:bCs/>
                <w:lang w:eastAsia="ja-JP"/>
              </w:rPr>
              <w:t>)</w:t>
            </w:r>
          </w:p>
        </w:tc>
      </w:tr>
      <w:tr w:rsidR="001770F1" w14:paraId="60DD30CE" w14:textId="77777777" w:rsidTr="00312BF0">
        <w:tc>
          <w:tcPr>
            <w:tcW w:w="9629" w:type="dxa"/>
          </w:tcPr>
          <w:p w14:paraId="48AE46C1" w14:textId="5A9F1FD8" w:rsidR="001770F1" w:rsidRPr="00312BF0" w:rsidRDefault="00312BF0" w:rsidP="008D6491">
            <w:pPr>
              <w:rPr>
                <w:i/>
                <w:iCs/>
                <w:rtl/>
                <w:lang w:val="en-GB"/>
              </w:rPr>
            </w:pPr>
            <w:r>
              <w:rPr>
                <w:rFonts w:hint="cs"/>
                <w:i/>
                <w:iCs/>
                <w:rtl/>
                <w:lang w:val="en-GB"/>
              </w:rPr>
              <w:t>ملخص:</w:t>
            </w:r>
          </w:p>
        </w:tc>
      </w:tr>
      <w:tr w:rsidR="001770F1" w14:paraId="42ACB6DA" w14:textId="77777777" w:rsidTr="00312BF0">
        <w:tc>
          <w:tcPr>
            <w:tcW w:w="9629" w:type="dxa"/>
          </w:tcPr>
          <w:p w14:paraId="1BF77BCC" w14:textId="31E7470C" w:rsidR="00312BF0" w:rsidRPr="00B42074" w:rsidRDefault="00B42074" w:rsidP="00B42074">
            <w:pPr>
              <w:rPr>
                <w:rtl/>
                <w:lang w:bidi="ar-EG"/>
              </w:rPr>
            </w:pPr>
            <w:bookmarkStart w:id="0" w:name="lt_pId067"/>
            <w:r w:rsidRPr="00B42074">
              <w:rPr>
                <w:rtl/>
              </w:rPr>
              <w:t xml:space="preserve">تصف هذه التوصية طريقة موضوعية للتنبؤ بالجودة الذاتية للمهاتفة </w:t>
            </w:r>
            <w:r>
              <w:rPr>
                <w:rFonts w:hint="cs"/>
                <w:rtl/>
              </w:rPr>
              <w:t>بأجهزة اليد (ضيقة النطاق)</w:t>
            </w:r>
            <w:r w:rsidRPr="00B42074"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وا</w:t>
            </w:r>
            <w:r w:rsidRPr="00B42074">
              <w:rPr>
                <w:rtl/>
              </w:rPr>
              <w:t>لكودكات</w:t>
            </w:r>
            <w:proofErr w:type="spellEnd"/>
            <w:r w:rsidRPr="00B42074">
              <w:rPr>
                <w:rtl/>
              </w:rPr>
              <w:t xml:space="preserve"> الصوتية ضيفة النطاق</w:t>
            </w:r>
            <w:r>
              <w:rPr>
                <w:rFonts w:hint="cs"/>
                <w:rtl/>
              </w:rPr>
              <w:t xml:space="preserve"> بالتردد </w:t>
            </w:r>
            <w:r>
              <w:t xml:space="preserve">kHz </w:t>
            </w:r>
            <w:r w:rsidR="00C81AA2">
              <w:t>3,1</w:t>
            </w:r>
            <w:r>
              <w:rPr>
                <w:rFonts w:hint="cs"/>
                <w:rtl/>
                <w:lang w:bidi="ar-EG"/>
              </w:rPr>
              <w:t xml:space="preserve">. </w:t>
            </w:r>
            <w:r w:rsidR="00312BF0">
              <w:rPr>
                <w:rFonts w:hint="cs"/>
                <w:rtl/>
              </w:rPr>
              <w:t>وتقدم هذه التوصية وصفاً</w:t>
            </w:r>
            <w:r w:rsidR="002376B1">
              <w:rPr>
                <w:rFonts w:hint="cs"/>
                <w:rtl/>
              </w:rPr>
              <w:t xml:space="preserve"> رفيع المستوى </w:t>
            </w:r>
            <w:r w:rsidR="00312BF0">
              <w:rPr>
                <w:rFonts w:hint="cs"/>
                <w:rtl/>
              </w:rPr>
              <w:t>للطريقة وإرشاداً عن كيفية استعمالها</w:t>
            </w:r>
            <w:r w:rsidR="008C3F0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وجزءاً من نتائج أبرز أعمال لجنة الدراسات 12 </w:t>
            </w:r>
            <w:proofErr w:type="spellStart"/>
            <w:r>
              <w:rPr>
                <w:rFonts w:hint="cs"/>
                <w:rtl/>
              </w:rPr>
              <w:t>المضطلع</w:t>
            </w:r>
            <w:proofErr w:type="spellEnd"/>
            <w:r>
              <w:rPr>
                <w:rFonts w:hint="cs"/>
                <w:rtl/>
              </w:rPr>
              <w:t xml:space="preserve"> بها في الفترة 1999-2000.</w:t>
            </w:r>
            <w:r>
              <w:rPr>
                <w:rtl/>
              </w:rPr>
              <w:t xml:space="preserve"> </w:t>
            </w:r>
            <w:r w:rsidRPr="00B42074">
              <w:rPr>
                <w:rtl/>
              </w:rPr>
              <w:t>ويرد تنفيذ مرجعي</w:t>
            </w:r>
            <w:r>
              <w:rPr>
                <w:rFonts w:hint="cs"/>
                <w:rtl/>
              </w:rPr>
              <w:t xml:space="preserve"> للشفرة</w:t>
            </w:r>
            <w:r w:rsidRPr="00B42074">
              <w:rPr>
                <w:rtl/>
              </w:rPr>
              <w:t xml:space="preserve"> </w:t>
            </w:r>
            <w:r w:rsidRPr="00B42074">
              <w:t>ANSI-C</w:t>
            </w:r>
            <w:r w:rsidRPr="00B42074">
              <w:rPr>
                <w:rtl/>
              </w:rPr>
              <w:t xml:space="preserve">، موصوف في الملحق </w:t>
            </w:r>
            <w:r w:rsidRPr="00B42074">
              <w:t>A</w:t>
            </w:r>
            <w:r w:rsidRPr="00B42074">
              <w:rPr>
                <w:rtl/>
              </w:rPr>
              <w:t>، في ملفات منفصلة ويشكل جزءاً لا يتجزأ من هذه التوصية.</w:t>
            </w:r>
            <w:r>
              <w:rPr>
                <w:rFonts w:hint="cs"/>
                <w:rtl/>
              </w:rPr>
              <w:t xml:space="preserve"> </w:t>
            </w:r>
            <w:r w:rsidR="008C3F0F">
              <w:rPr>
                <w:rFonts w:hint="cs"/>
                <w:rtl/>
              </w:rPr>
              <w:t xml:space="preserve">وتحدد أيضاً في الملحق </w:t>
            </w:r>
            <w:r w:rsidR="008C3F0F">
              <w:t>A</w:t>
            </w:r>
            <w:r w:rsidR="008C3F0F">
              <w:rPr>
                <w:rFonts w:hint="cs"/>
                <w:rtl/>
                <w:lang w:val="en-GB"/>
              </w:rPr>
              <w:t xml:space="preserve"> إجراءات لاختبار المطابقة وذلك لتمكين المستعمل من التحقق من صحة تنفيذ بديل للنموذج. </w:t>
            </w:r>
            <w:r>
              <w:rPr>
                <w:rFonts w:hint="cs"/>
                <w:rtl/>
                <w:lang w:val="en-GB"/>
              </w:rPr>
              <w:t>و</w:t>
            </w:r>
            <w:r w:rsidRPr="00B42074">
              <w:rPr>
                <w:rtl/>
                <w:lang w:val="en-GB"/>
              </w:rPr>
              <w:t>يجب أن يكون للتنفيذ المرجعي</w:t>
            </w:r>
            <w:r>
              <w:rPr>
                <w:rFonts w:hint="cs"/>
                <w:rtl/>
                <w:lang w:val="en-GB"/>
              </w:rPr>
              <w:t xml:space="preserve"> للشفرة</w:t>
            </w:r>
            <w:r w:rsidRPr="00B42074">
              <w:rPr>
                <w:rtl/>
                <w:lang w:val="en-GB"/>
              </w:rPr>
              <w:t xml:space="preserve"> </w:t>
            </w:r>
            <w:r w:rsidRPr="00B42074">
              <w:rPr>
                <w:lang w:val="en-GB"/>
              </w:rPr>
              <w:t>ANSI-C</w:t>
            </w:r>
            <w:r w:rsidRPr="00B42074">
              <w:rPr>
                <w:rtl/>
                <w:lang w:val="en-GB"/>
              </w:rPr>
              <w:t xml:space="preserve"> </w:t>
            </w:r>
            <w:r>
              <w:rPr>
                <w:rFonts w:hint="cs"/>
                <w:rtl/>
                <w:lang w:val="en-GB"/>
              </w:rPr>
              <w:t xml:space="preserve">هذا </w:t>
            </w:r>
            <w:r w:rsidRPr="00B42074">
              <w:rPr>
                <w:rtl/>
                <w:lang w:val="en-GB"/>
              </w:rPr>
              <w:t xml:space="preserve">الأسبقية في حالة وجود تعارض بين الوصف </w:t>
            </w:r>
            <w:r w:rsidR="002376B1">
              <w:rPr>
                <w:rFonts w:hint="cs"/>
                <w:rtl/>
                <w:lang w:val="en-GB"/>
              </w:rPr>
              <w:t>الرفيع</w:t>
            </w:r>
            <w:r w:rsidRPr="00B42074">
              <w:rPr>
                <w:rtl/>
                <w:lang w:val="en-GB"/>
              </w:rPr>
              <w:t xml:space="preserve"> المستوى كما هو وارد في هذه التوصية والتنفيذ المرجعي</w:t>
            </w:r>
            <w:r w:rsidR="002376B1">
              <w:rPr>
                <w:rFonts w:hint="cs"/>
                <w:rtl/>
                <w:lang w:val="en-GB"/>
              </w:rPr>
              <w:t xml:space="preserve"> للشفرة</w:t>
            </w:r>
            <w:r w:rsidR="00C81AA2">
              <w:rPr>
                <w:rFonts w:hint="cs"/>
                <w:rtl/>
                <w:lang w:val="en-GB"/>
              </w:rPr>
              <w:t> </w:t>
            </w:r>
            <w:r w:rsidRPr="00B42074">
              <w:rPr>
                <w:lang w:val="en-GB"/>
              </w:rPr>
              <w:t>ANSI-C</w:t>
            </w:r>
            <w:r w:rsidRPr="00B42074">
              <w:rPr>
                <w:rtl/>
                <w:lang w:val="en-GB"/>
              </w:rPr>
              <w:t>.</w:t>
            </w:r>
          </w:p>
          <w:p w14:paraId="225C1C0C" w14:textId="7712EB6B" w:rsidR="001770F1" w:rsidRPr="00AE6D6D" w:rsidRDefault="002376B1" w:rsidP="002376B1">
            <w:pPr>
              <w:rPr>
                <w:lang w:bidi="ar-EG"/>
              </w:rPr>
            </w:pPr>
            <w:r>
              <w:rPr>
                <w:rFonts w:hint="cs"/>
                <w:rtl/>
                <w:lang w:val="en-GB"/>
              </w:rPr>
              <w:t xml:space="preserve">وتتضمن هذه التوصية مرفقاً إلكترونياً يضم تنفيذاً مرجعياً للشفرة </w:t>
            </w:r>
            <w:r>
              <w:t>ANSI-C</w:t>
            </w:r>
            <w:r>
              <w:rPr>
                <w:rFonts w:hint="cs"/>
                <w:rtl/>
                <w:lang w:bidi="ar-EG"/>
              </w:rPr>
              <w:t xml:space="preserve"> للتقييم </w:t>
            </w:r>
            <w:r>
              <w:rPr>
                <w:lang w:bidi="ar-EG"/>
              </w:rPr>
              <w:t>PESQ</w:t>
            </w:r>
            <w:r>
              <w:rPr>
                <w:rFonts w:hint="cs"/>
                <w:rtl/>
                <w:lang w:bidi="ar-EG"/>
              </w:rPr>
              <w:t xml:space="preserve"> وبيانات اختبار المطابقة.</w:t>
            </w:r>
            <w:bookmarkEnd w:id="0"/>
          </w:p>
        </w:tc>
      </w:tr>
      <w:tr w:rsidR="001770F1" w14:paraId="5F5D43D3" w14:textId="77777777" w:rsidTr="00312BF0">
        <w:tc>
          <w:tcPr>
            <w:tcW w:w="9629" w:type="dxa"/>
          </w:tcPr>
          <w:p w14:paraId="76EF8F66" w14:textId="3742AA04" w:rsidR="0080107D" w:rsidRPr="00F64926" w:rsidRDefault="002376B1" w:rsidP="002376B1">
            <w:pPr>
              <w:rPr>
                <w:i/>
                <w:iCs/>
                <w:rtl/>
                <w:lang w:val="en-GB" w:eastAsia="ja-JP"/>
              </w:rPr>
            </w:pPr>
            <w:r>
              <w:rPr>
                <w:rFonts w:hint="cs"/>
                <w:i/>
                <w:iCs/>
                <w:rtl/>
                <w:lang w:val="en-GB" w:eastAsia="ja-JP"/>
              </w:rPr>
              <w:t>أسباب إلغاء التوصية المذكورة أعلاه:</w:t>
            </w:r>
          </w:p>
        </w:tc>
      </w:tr>
      <w:tr w:rsidR="001770F1" w14:paraId="66219BA8" w14:textId="77777777" w:rsidTr="00312BF0">
        <w:tc>
          <w:tcPr>
            <w:tcW w:w="9629" w:type="dxa"/>
          </w:tcPr>
          <w:p w14:paraId="50406A3C" w14:textId="77777777" w:rsidR="00D90368" w:rsidRDefault="002376B1" w:rsidP="002376B1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وُضعت</w:t>
            </w:r>
            <w:r w:rsidRPr="002376B1">
              <w:rPr>
                <w:rtl/>
                <w:lang w:val="en-GB"/>
              </w:rPr>
              <w:t xml:space="preserve"> خوارزمية التنبؤ ب</w:t>
            </w:r>
            <w:r>
              <w:rPr>
                <w:rFonts w:hint="cs"/>
                <w:rtl/>
                <w:lang w:val="en-GB"/>
              </w:rPr>
              <w:t>نوعي</w:t>
            </w:r>
            <w:r w:rsidRPr="002376B1">
              <w:rPr>
                <w:rtl/>
                <w:lang w:val="en-GB"/>
              </w:rPr>
              <w:t>ة الكلام</w:t>
            </w:r>
            <w:r>
              <w:rPr>
                <w:rFonts w:hint="cs"/>
                <w:rtl/>
                <w:lang w:val="en-GB"/>
              </w:rPr>
              <w:t xml:space="preserve"> </w:t>
            </w:r>
            <w:r w:rsidRPr="002376B1">
              <w:rPr>
                <w:rtl/>
                <w:lang w:val="en-GB"/>
              </w:rPr>
              <w:t>التقييم المدرك لنوعية الكلام (</w:t>
            </w:r>
            <w:r w:rsidRPr="002376B1">
              <w:rPr>
                <w:lang w:val="en-GB"/>
              </w:rPr>
              <w:t>PESQ</w:t>
            </w:r>
            <w:r w:rsidRPr="002376B1">
              <w:rPr>
                <w:rtl/>
                <w:lang w:val="en-GB"/>
              </w:rPr>
              <w:t>) (</w:t>
            </w:r>
            <w:r>
              <w:rPr>
                <w:rFonts w:hint="cs"/>
                <w:rtl/>
                <w:lang w:val="en-GB"/>
              </w:rPr>
              <w:t>ووفق</w:t>
            </w:r>
            <w:r w:rsidRPr="002376B1">
              <w:rPr>
                <w:rtl/>
                <w:lang w:val="en-GB"/>
              </w:rPr>
              <w:t xml:space="preserve"> عليها في عام 2001) للتنبؤ بجودة الاستماع في سيناريوهات نقل الكلام </w:t>
            </w:r>
            <w:r>
              <w:rPr>
                <w:rFonts w:hint="cs"/>
                <w:rtl/>
                <w:lang w:val="en-GB"/>
              </w:rPr>
              <w:t xml:space="preserve">الخالص ضيق </w:t>
            </w:r>
            <w:r w:rsidRPr="002376B1">
              <w:rPr>
                <w:rtl/>
                <w:lang w:val="en-GB"/>
              </w:rPr>
              <w:t>النطاق الضيق. وبالتالي، فه</w:t>
            </w:r>
            <w:r>
              <w:rPr>
                <w:rFonts w:hint="cs"/>
                <w:rtl/>
                <w:lang w:val="en-GB"/>
              </w:rPr>
              <w:t>ي</w:t>
            </w:r>
            <w:r w:rsidRPr="002376B1">
              <w:rPr>
                <w:rtl/>
                <w:lang w:val="en-GB"/>
              </w:rPr>
              <w:t xml:space="preserve"> غير قادر</w:t>
            </w:r>
            <w:r>
              <w:rPr>
                <w:rFonts w:hint="cs"/>
                <w:rtl/>
                <w:lang w:val="en-GB"/>
              </w:rPr>
              <w:t>ة</w:t>
            </w:r>
            <w:r w:rsidRPr="002376B1">
              <w:rPr>
                <w:rtl/>
                <w:lang w:val="en-GB"/>
              </w:rPr>
              <w:t xml:space="preserve"> على تقديم نتائج دقيقة وموثوقة في حالة </w:t>
            </w:r>
            <w:r w:rsidR="0022743D">
              <w:rPr>
                <w:rFonts w:hint="cs"/>
                <w:rtl/>
                <w:lang w:val="en-GB"/>
              </w:rPr>
              <w:t>تكنولوجيات الاستعاضة المتقدمة لتحول الوقت وفقدان الرزم</w:t>
            </w:r>
            <w:r w:rsidRPr="002376B1">
              <w:rPr>
                <w:rtl/>
                <w:lang w:val="en-GB"/>
              </w:rPr>
              <w:t xml:space="preserve"> بالإضافة إلى تعديلات الكسب الدينامي التي تعتبر نم</w:t>
            </w:r>
            <w:r w:rsidR="0022743D">
              <w:rPr>
                <w:rFonts w:hint="cs"/>
                <w:rtl/>
                <w:lang w:val="en-GB"/>
              </w:rPr>
              <w:t>طية</w:t>
            </w:r>
            <w:r w:rsidRPr="002376B1">
              <w:rPr>
                <w:rtl/>
                <w:lang w:val="en-GB"/>
              </w:rPr>
              <w:t xml:space="preserve"> في </w:t>
            </w:r>
            <w:r w:rsidR="0022743D">
              <w:rPr>
                <w:rFonts w:hint="cs"/>
                <w:rtl/>
                <w:lang w:val="en-GB"/>
              </w:rPr>
              <w:t>توصيلات</w:t>
            </w:r>
            <w:r w:rsidRPr="002376B1">
              <w:rPr>
                <w:rtl/>
                <w:lang w:val="en-GB"/>
              </w:rPr>
              <w:t xml:space="preserve"> </w:t>
            </w:r>
            <w:r w:rsidRPr="002376B1">
              <w:rPr>
                <w:lang w:val="en-GB"/>
              </w:rPr>
              <w:t>VoIP</w:t>
            </w:r>
            <w:r w:rsidRPr="002376B1">
              <w:rPr>
                <w:rtl/>
                <w:lang w:val="en-GB"/>
              </w:rPr>
              <w:t xml:space="preserve"> و</w:t>
            </w:r>
            <w:r w:rsidRPr="002376B1">
              <w:rPr>
                <w:lang w:val="en-GB"/>
              </w:rPr>
              <w:t>VoLTE</w:t>
            </w:r>
            <w:r w:rsidRPr="002376B1">
              <w:rPr>
                <w:rtl/>
                <w:lang w:val="en-GB"/>
              </w:rPr>
              <w:t xml:space="preserve"> الحالية.</w:t>
            </w:r>
          </w:p>
          <w:p w14:paraId="318907D0" w14:textId="72E9294A" w:rsidR="006714A4" w:rsidRPr="006714A4" w:rsidRDefault="006714A4" w:rsidP="006714A4">
            <w:pPr>
              <w:rPr>
                <w:rtl/>
                <w:lang w:val="en-GB"/>
              </w:rPr>
            </w:pPr>
            <w:r w:rsidRPr="006714A4">
              <w:rPr>
                <w:rtl/>
                <w:lang w:val="en-GB"/>
              </w:rPr>
              <w:t xml:space="preserve">ولمعالجة هذه القيود والتوسع في التكنولوجيات الأحدث، تم </w:t>
            </w:r>
            <w:r>
              <w:rPr>
                <w:rFonts w:hint="cs"/>
                <w:rtl/>
                <w:lang w:val="en-GB"/>
              </w:rPr>
              <w:t>وضع</w:t>
            </w:r>
            <w:r w:rsidRPr="006714A4">
              <w:rPr>
                <w:rtl/>
                <w:lang w:val="en-GB"/>
              </w:rPr>
              <w:t xml:space="preserve"> التوصية </w:t>
            </w:r>
            <w:r w:rsidRPr="006714A4">
              <w:rPr>
                <w:lang w:val="en-GB"/>
              </w:rPr>
              <w:t>ITU-T P.863</w:t>
            </w:r>
            <w:r w:rsidRPr="006714A4">
              <w:rPr>
                <w:rtl/>
                <w:lang w:val="en-GB"/>
              </w:rPr>
              <w:t xml:space="preserve"> </w:t>
            </w:r>
            <w:r w:rsidRPr="00C81AA2">
              <w:rPr>
                <w:i/>
                <w:iCs/>
                <w:rtl/>
                <w:lang w:val="en-GB"/>
              </w:rPr>
              <w:t>"التنبؤ الموضوعي بجودة الاستماع المدركة"</w:t>
            </w:r>
            <w:r w:rsidRPr="006714A4">
              <w:rPr>
                <w:rtl/>
                <w:lang w:val="en-GB"/>
              </w:rPr>
              <w:t xml:space="preserve"> (تمت الموافقة عليها مبدئياً في عام 2011، وأحدث طبعة </w:t>
            </w:r>
            <w:r>
              <w:rPr>
                <w:rFonts w:hint="cs"/>
                <w:rtl/>
                <w:lang w:val="en-GB"/>
              </w:rPr>
              <w:t xml:space="preserve">منها صدرت </w:t>
            </w:r>
            <w:r w:rsidRPr="006714A4">
              <w:rPr>
                <w:rtl/>
                <w:lang w:val="en-GB"/>
              </w:rPr>
              <w:t xml:space="preserve">في عام 2018) </w:t>
            </w:r>
            <w:r>
              <w:rPr>
                <w:rFonts w:hint="cs"/>
                <w:rtl/>
                <w:lang w:val="en-GB"/>
              </w:rPr>
              <w:t>حيث</w:t>
            </w:r>
            <w:r w:rsidRPr="006714A4">
              <w:rPr>
                <w:rtl/>
                <w:lang w:val="en-GB"/>
              </w:rPr>
              <w:t xml:space="preserve"> تغطي كلا من أسلوبي النطاق الضيق والكامل.</w:t>
            </w:r>
          </w:p>
          <w:p w14:paraId="70FD85FC" w14:textId="64203BB4" w:rsidR="006714A4" w:rsidRPr="006714A4" w:rsidRDefault="006714A4" w:rsidP="00C81AA2">
            <w:pPr>
              <w:rPr>
                <w:rtl/>
                <w:lang w:val="en-GB"/>
              </w:rPr>
            </w:pPr>
            <w:r w:rsidRPr="006714A4">
              <w:rPr>
                <w:rtl/>
                <w:lang w:val="en-GB"/>
              </w:rPr>
              <w:t xml:space="preserve">ويحتفظ أسلوب النطاق الضيق في التوصية </w:t>
            </w:r>
            <w:r w:rsidRPr="006714A4">
              <w:rPr>
                <w:lang w:val="en-GB"/>
              </w:rPr>
              <w:t>ITU-T P.863</w:t>
            </w:r>
            <w:r w:rsidRPr="006714A4">
              <w:rPr>
                <w:rtl/>
                <w:lang w:val="en-GB"/>
              </w:rPr>
              <w:t xml:space="preserve"> بالتوافق </w:t>
            </w:r>
            <w:r>
              <w:rPr>
                <w:rFonts w:hint="cs"/>
                <w:rtl/>
                <w:lang w:val="en-GB"/>
              </w:rPr>
              <w:t>بأثر رجعي</w:t>
            </w:r>
            <w:r w:rsidRPr="006714A4">
              <w:rPr>
                <w:rtl/>
                <w:lang w:val="en-GB"/>
              </w:rPr>
              <w:t xml:space="preserve"> مع التوصية </w:t>
            </w:r>
            <w:r w:rsidR="00C81AA2">
              <w:t>ITU</w:t>
            </w:r>
            <w:r w:rsidR="00C81AA2">
              <w:noBreakHyphen/>
              <w:t>T </w:t>
            </w:r>
            <w:r w:rsidRPr="006714A4">
              <w:rPr>
                <w:lang w:val="en-GB"/>
              </w:rPr>
              <w:t>P.862</w:t>
            </w:r>
            <w:r w:rsidRPr="006714A4">
              <w:rPr>
                <w:rtl/>
                <w:lang w:val="en-GB"/>
              </w:rPr>
              <w:t xml:space="preserve"> مما يسمح بالانتقال السلس من التوصية </w:t>
            </w:r>
            <w:r w:rsidR="00C81AA2">
              <w:t>ITU</w:t>
            </w:r>
            <w:r w:rsidR="00C81AA2">
              <w:noBreakHyphen/>
              <w:t>T </w:t>
            </w:r>
            <w:r w:rsidRPr="006714A4">
              <w:rPr>
                <w:lang w:val="en-GB"/>
              </w:rPr>
              <w:t>P.862</w:t>
            </w:r>
            <w:r w:rsidRPr="006714A4">
              <w:rPr>
                <w:rtl/>
                <w:lang w:val="en-GB"/>
              </w:rPr>
              <w:t xml:space="preserve"> إلى التوصية </w:t>
            </w:r>
            <w:r w:rsidR="00C81AA2">
              <w:rPr>
                <w:lang w:val="en-GB"/>
              </w:rPr>
              <w:t>ITU</w:t>
            </w:r>
            <w:r w:rsidR="00C81AA2">
              <w:rPr>
                <w:lang w:val="en-GB"/>
              </w:rPr>
              <w:noBreakHyphen/>
              <w:t>T </w:t>
            </w:r>
            <w:r w:rsidRPr="006714A4">
              <w:rPr>
                <w:lang w:val="en-GB"/>
              </w:rPr>
              <w:t>P.863</w:t>
            </w:r>
            <w:r w:rsidRPr="006714A4">
              <w:rPr>
                <w:rtl/>
                <w:lang w:val="en-GB"/>
              </w:rPr>
              <w:t>، في حين أصبح وضع النطاق الكامل هو المعيار لقياسات الجودة في شبكات المهاتفة الحالية.</w:t>
            </w:r>
          </w:p>
          <w:p w14:paraId="756606D9" w14:textId="7B07F943" w:rsidR="0022743D" w:rsidRPr="00C81AA2" w:rsidRDefault="006714A4" w:rsidP="006714A4">
            <w:pPr>
              <w:rPr>
                <w:spacing w:val="-4"/>
                <w:rtl/>
                <w:lang w:val="en-GB"/>
              </w:rPr>
            </w:pPr>
            <w:r w:rsidRPr="00C81AA2">
              <w:rPr>
                <w:spacing w:val="-4"/>
                <w:rtl/>
                <w:lang w:val="en-GB"/>
              </w:rPr>
              <w:t xml:space="preserve">وبالتالي، فإن التوصيات ذات الصلة </w:t>
            </w:r>
            <w:r w:rsidRPr="00C81AA2">
              <w:rPr>
                <w:rFonts w:hint="cs"/>
                <w:spacing w:val="-4"/>
                <w:rtl/>
                <w:lang w:val="en-GB"/>
              </w:rPr>
              <w:t xml:space="preserve">بالتقييم </w:t>
            </w:r>
            <w:r w:rsidRPr="00C81AA2">
              <w:rPr>
                <w:spacing w:val="-4"/>
              </w:rPr>
              <w:t>PESQ</w:t>
            </w:r>
            <w:r w:rsidRPr="00C81AA2">
              <w:rPr>
                <w:rFonts w:hint="cs"/>
                <w:spacing w:val="-4"/>
                <w:rtl/>
                <w:lang w:bidi="ar-EG"/>
              </w:rPr>
              <w:t xml:space="preserve"> من السلسلة </w:t>
            </w:r>
            <w:r w:rsidRPr="00C81AA2">
              <w:rPr>
                <w:spacing w:val="-4"/>
                <w:lang w:bidi="ar-EG"/>
              </w:rPr>
              <w:t>ITU-T P.862[.x]</w:t>
            </w:r>
            <w:r w:rsidRPr="00C81AA2">
              <w:rPr>
                <w:rFonts w:hint="cs"/>
                <w:spacing w:val="-4"/>
                <w:rtl/>
                <w:lang w:bidi="ar-EG"/>
              </w:rPr>
              <w:t xml:space="preserve"> </w:t>
            </w:r>
            <w:r w:rsidRPr="00C81AA2">
              <w:rPr>
                <w:spacing w:val="-4"/>
                <w:rtl/>
                <w:lang w:val="en-GB"/>
              </w:rPr>
              <w:t>لم تعد ذات صلة بمشهد الاتصالات ال</w:t>
            </w:r>
            <w:r w:rsidR="00047AD4" w:rsidRPr="00C81AA2">
              <w:rPr>
                <w:rFonts w:hint="cs"/>
                <w:spacing w:val="-4"/>
                <w:rtl/>
                <w:lang w:val="en-GB"/>
              </w:rPr>
              <w:t>راهن</w:t>
            </w:r>
            <w:r w:rsidRPr="00C81AA2">
              <w:rPr>
                <w:spacing w:val="-4"/>
                <w:rtl/>
                <w:lang w:val="en-GB"/>
              </w:rPr>
              <w:t>.</w:t>
            </w:r>
          </w:p>
        </w:tc>
      </w:tr>
    </w:tbl>
    <w:p w14:paraId="325D5A5E" w14:textId="77777777" w:rsidR="001770F1" w:rsidRDefault="001770F1" w:rsidP="001770F1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770F1" w14:paraId="0E646D68" w14:textId="77777777" w:rsidTr="008D6491">
        <w:tc>
          <w:tcPr>
            <w:tcW w:w="9719" w:type="dxa"/>
          </w:tcPr>
          <w:p w14:paraId="426095ED" w14:textId="63711D34" w:rsidR="001770F1" w:rsidRPr="00C81AA2" w:rsidRDefault="0027636D" w:rsidP="00C81AA2">
            <w:pPr>
              <w:spacing w:before="240"/>
              <w:rPr>
                <w:b/>
                <w:bCs/>
                <w:i/>
                <w:iCs/>
                <w:lang w:eastAsia="ja-JP"/>
              </w:rPr>
            </w:pPr>
            <w:bookmarkStart w:id="1" w:name="lt_pId079"/>
            <w:r w:rsidRPr="00C81AA2">
              <w:rPr>
                <w:rFonts w:hint="cs"/>
                <w:b/>
                <w:bCs/>
                <w:rtl/>
                <w:lang w:eastAsia="ja-JP"/>
              </w:rPr>
              <w:t xml:space="preserve">التوصية </w:t>
            </w:r>
            <w:r w:rsidRPr="00C81AA2">
              <w:rPr>
                <w:b/>
                <w:bCs/>
                <w:lang w:eastAsia="ja-JP"/>
              </w:rPr>
              <w:t>ITU-T P.862.1</w:t>
            </w:r>
            <w:r w:rsidRPr="00C81AA2">
              <w:rPr>
                <w:rFonts w:hint="cs"/>
                <w:b/>
                <w:bCs/>
                <w:rtl/>
                <w:lang w:eastAsia="ja-JP"/>
              </w:rPr>
              <w:t xml:space="preserve">، </w:t>
            </w:r>
            <w:r w:rsidRPr="00C81AA2">
              <w:rPr>
                <w:rFonts w:hint="cs"/>
                <w:b/>
                <w:bCs/>
                <w:i/>
                <w:iCs/>
                <w:rtl/>
                <w:lang w:eastAsia="ja-JP"/>
              </w:rPr>
              <w:t xml:space="preserve">وظيفة التقابل لتحويل الدرجات الخام </w:t>
            </w:r>
            <w:r w:rsidRPr="00C81AA2">
              <w:rPr>
                <w:b/>
                <w:bCs/>
                <w:i/>
                <w:iCs/>
                <w:lang w:eastAsia="ja-JP"/>
              </w:rPr>
              <w:t>P.862</w:t>
            </w:r>
            <w:r w:rsidRPr="00C81AA2">
              <w:rPr>
                <w:rFonts w:hint="cs"/>
                <w:b/>
                <w:bCs/>
                <w:i/>
                <w:iCs/>
                <w:rtl/>
                <w:lang w:eastAsia="ja-JP"/>
              </w:rPr>
              <w:t xml:space="preserve"> إلى درجات متوسطة للرأي بشأن نوعية الوصلة الموضوعية</w:t>
            </w:r>
            <w:r w:rsidR="00C81AA2">
              <w:rPr>
                <w:rFonts w:hint="cs"/>
                <w:b/>
                <w:bCs/>
                <w:i/>
                <w:iCs/>
                <w:rtl/>
                <w:lang w:eastAsia="ja-JP"/>
              </w:rPr>
              <w:t xml:space="preserve"> </w:t>
            </w:r>
            <w:r w:rsidRPr="00C81AA2">
              <w:rPr>
                <w:b/>
                <w:bCs/>
                <w:i/>
                <w:iCs/>
                <w:lang w:eastAsia="ja-JP"/>
              </w:rPr>
              <w:t>MOS-LQO</w:t>
            </w:r>
            <w:bookmarkEnd w:id="1"/>
            <w:r w:rsidR="00C81AA2">
              <w:rPr>
                <w:rFonts w:hint="cs"/>
                <w:b/>
                <w:bCs/>
                <w:i/>
                <w:iCs/>
                <w:rtl/>
                <w:lang w:eastAsia="ja-JP"/>
              </w:rPr>
              <w:t xml:space="preserve"> </w:t>
            </w:r>
            <w:r w:rsidR="00C81AA2" w:rsidRPr="00C81AA2">
              <w:rPr>
                <w:b/>
                <w:bCs/>
                <w:lang w:eastAsia="ja-JP"/>
              </w:rPr>
              <w:t>(</w:t>
            </w:r>
            <w:r w:rsidR="00A31C00">
              <w:rPr>
                <w:b/>
                <w:bCs/>
                <w:lang w:eastAsia="ja-JP"/>
              </w:rPr>
              <w:t>2003/11</w:t>
            </w:r>
            <w:r w:rsidR="00C81AA2" w:rsidRPr="00C81AA2">
              <w:rPr>
                <w:b/>
                <w:bCs/>
                <w:lang w:eastAsia="ja-JP"/>
              </w:rPr>
              <w:t>)</w:t>
            </w:r>
          </w:p>
        </w:tc>
      </w:tr>
      <w:tr w:rsidR="001770F1" w14:paraId="6D269CE5" w14:textId="77777777" w:rsidTr="008D6491">
        <w:tc>
          <w:tcPr>
            <w:tcW w:w="9719" w:type="dxa"/>
          </w:tcPr>
          <w:p w14:paraId="3DC5ED1F" w14:textId="3B18B918" w:rsidR="001770F1" w:rsidRPr="0041337C" w:rsidRDefault="0041337C" w:rsidP="008D6491">
            <w:pPr>
              <w:rPr>
                <w:i/>
                <w:iCs/>
                <w:rtl/>
                <w:lang w:val="en-GB"/>
              </w:rPr>
            </w:pPr>
            <w:r>
              <w:rPr>
                <w:rFonts w:hint="cs"/>
                <w:i/>
                <w:iCs/>
                <w:rtl/>
                <w:lang w:val="en-GB"/>
              </w:rPr>
              <w:t>ملخص:</w:t>
            </w:r>
          </w:p>
        </w:tc>
      </w:tr>
      <w:tr w:rsidR="001770F1" w14:paraId="074A50E8" w14:textId="77777777" w:rsidTr="008D6491">
        <w:tc>
          <w:tcPr>
            <w:tcW w:w="9719" w:type="dxa"/>
          </w:tcPr>
          <w:p w14:paraId="4134564D" w14:textId="3192047B" w:rsidR="00082D5D" w:rsidRPr="00C81AA2" w:rsidRDefault="00082D5D" w:rsidP="008D6491">
            <w:pPr>
              <w:rPr>
                <w:spacing w:val="-4"/>
                <w:rtl/>
                <w:lang w:bidi="ar-EG"/>
              </w:rPr>
            </w:pPr>
            <w:bookmarkStart w:id="2" w:name="lt_pId081"/>
            <w:r w:rsidRPr="00C81AA2">
              <w:rPr>
                <w:rFonts w:hint="cs"/>
                <w:spacing w:val="-4"/>
                <w:rtl/>
              </w:rPr>
              <w:t xml:space="preserve">تقدم التوصية </w:t>
            </w:r>
            <w:r w:rsidRPr="00C81AA2">
              <w:rPr>
                <w:spacing w:val="-4"/>
              </w:rPr>
              <w:t>ITU-T. P.862</w:t>
            </w:r>
            <w:r w:rsidRPr="00C81AA2">
              <w:rPr>
                <w:rFonts w:hint="cs"/>
                <w:spacing w:val="-4"/>
                <w:rtl/>
              </w:rPr>
              <w:t xml:space="preserve"> </w:t>
            </w:r>
            <w:r w:rsidR="004733A2" w:rsidRPr="00C81AA2">
              <w:rPr>
                <w:rFonts w:hint="cs"/>
                <w:spacing w:val="-4"/>
                <w:rtl/>
              </w:rPr>
              <w:t xml:space="preserve">الدرجات الخام في المدى من </w:t>
            </w:r>
            <w:r w:rsidR="004733A2" w:rsidRPr="00C81AA2">
              <w:rPr>
                <w:spacing w:val="-4"/>
              </w:rPr>
              <w:t>0,5</w:t>
            </w:r>
            <w:r w:rsidR="00C81AA2" w:rsidRPr="00C81AA2">
              <w:rPr>
                <w:spacing w:val="-4"/>
              </w:rPr>
              <w:t>–</w:t>
            </w:r>
            <w:r w:rsidR="004733A2" w:rsidRPr="00C81AA2">
              <w:rPr>
                <w:rFonts w:hint="cs"/>
                <w:spacing w:val="-4"/>
                <w:rtl/>
                <w:lang w:bidi="ar-EG"/>
              </w:rPr>
              <w:t xml:space="preserve"> إلى </w:t>
            </w:r>
            <w:r w:rsidR="004733A2" w:rsidRPr="00C81AA2">
              <w:rPr>
                <w:spacing w:val="-4"/>
                <w:lang w:bidi="ar-EG"/>
              </w:rPr>
              <w:t>4,5</w:t>
            </w:r>
            <w:r w:rsidR="004733A2" w:rsidRPr="00C81AA2">
              <w:rPr>
                <w:rFonts w:hint="cs"/>
                <w:spacing w:val="-4"/>
                <w:rtl/>
                <w:lang w:bidi="ar-EG"/>
              </w:rPr>
              <w:t xml:space="preserve">. ومن المرغوب فيه تقديم </w:t>
            </w:r>
            <w:r w:rsidR="004733A2" w:rsidRPr="00C81AA2">
              <w:rPr>
                <w:spacing w:val="-4"/>
                <w:rtl/>
                <w:lang w:bidi="ar-EG"/>
              </w:rPr>
              <w:t>درجات متوسطة للرأي بشأن نوعية الوصلة الموضوعي</w:t>
            </w:r>
            <w:r w:rsidR="004733A2" w:rsidRPr="00C81AA2">
              <w:rPr>
                <w:rFonts w:hint="cs"/>
                <w:spacing w:val="-4"/>
                <w:rtl/>
                <w:lang w:bidi="ar-EG"/>
              </w:rPr>
              <w:t xml:space="preserve">ة </w:t>
            </w:r>
            <w:r w:rsidR="004733A2" w:rsidRPr="00C81AA2">
              <w:rPr>
                <w:spacing w:val="-4"/>
                <w:lang w:bidi="ar-EG"/>
              </w:rPr>
              <w:t>(P.800.1)</w:t>
            </w:r>
            <w:r w:rsidR="004733A2" w:rsidRPr="00C81AA2">
              <w:rPr>
                <w:rFonts w:hint="cs"/>
                <w:spacing w:val="-4"/>
                <w:rtl/>
                <w:lang w:bidi="ar-EG"/>
              </w:rPr>
              <w:t xml:space="preserve"> </w:t>
            </w:r>
            <w:r w:rsidR="00A31C00">
              <w:rPr>
                <w:rFonts w:hint="cs"/>
                <w:spacing w:val="-4"/>
                <w:rtl/>
                <w:lang w:bidi="ar-EG"/>
              </w:rPr>
              <w:t xml:space="preserve">من التوصية </w:t>
            </w:r>
            <w:r w:rsidR="00A31C00">
              <w:rPr>
                <w:spacing w:val="-4"/>
                <w:lang w:bidi="ar-EG"/>
              </w:rPr>
              <w:t>ITU</w:t>
            </w:r>
            <w:r w:rsidR="00A31C00">
              <w:rPr>
                <w:spacing w:val="-4"/>
                <w:lang w:bidi="ar-EG"/>
              </w:rPr>
              <w:noBreakHyphen/>
              <w:t>T P.862</w:t>
            </w:r>
            <w:r w:rsidR="00A31C00">
              <w:rPr>
                <w:rFonts w:hint="cs"/>
                <w:spacing w:val="-4"/>
                <w:rtl/>
                <w:lang w:bidi="ar-EG"/>
              </w:rPr>
              <w:t xml:space="preserve"> </w:t>
            </w:r>
            <w:r w:rsidR="004733A2" w:rsidRPr="00C81AA2">
              <w:rPr>
                <w:rFonts w:hint="cs"/>
                <w:spacing w:val="-4"/>
                <w:rtl/>
                <w:lang w:bidi="ar-EG"/>
              </w:rPr>
              <w:t xml:space="preserve">لتمكين المقارنة الخطية بمتوسط درجات الرأي. وتقدم هذه التوصية وظيفة التقابل وأداءها لتقابل وحيد بين الدرجات الخام للتوصية </w:t>
            </w:r>
            <w:r w:rsidR="00A31C00">
              <w:rPr>
                <w:spacing w:val="-4"/>
                <w:lang w:bidi="ar-EG"/>
              </w:rPr>
              <w:t>ITU</w:t>
            </w:r>
            <w:r w:rsidR="00A31C00">
              <w:rPr>
                <w:spacing w:val="-4"/>
                <w:lang w:bidi="ar-EG"/>
              </w:rPr>
              <w:noBreakHyphen/>
              <w:t>T </w:t>
            </w:r>
            <w:r w:rsidR="004733A2" w:rsidRPr="00C81AA2">
              <w:rPr>
                <w:spacing w:val="-4"/>
                <w:lang w:bidi="ar-EG"/>
              </w:rPr>
              <w:t>P.862</w:t>
            </w:r>
            <w:r w:rsidR="004733A2" w:rsidRPr="00C81AA2">
              <w:rPr>
                <w:rFonts w:hint="cs"/>
                <w:spacing w:val="-4"/>
                <w:rtl/>
                <w:lang w:bidi="ar-EG"/>
              </w:rPr>
              <w:t xml:space="preserve"> وال</w:t>
            </w:r>
            <w:r w:rsidR="004733A2" w:rsidRPr="00C81AA2">
              <w:rPr>
                <w:spacing w:val="-4"/>
                <w:rtl/>
                <w:lang w:bidi="ar-EG"/>
              </w:rPr>
              <w:t xml:space="preserve">درجات </w:t>
            </w:r>
            <w:r w:rsidR="004733A2" w:rsidRPr="00C81AA2">
              <w:rPr>
                <w:rFonts w:hint="cs"/>
                <w:spacing w:val="-4"/>
                <w:rtl/>
                <w:lang w:bidi="ar-EG"/>
              </w:rPr>
              <w:t>ال</w:t>
            </w:r>
            <w:r w:rsidR="004733A2" w:rsidRPr="00C81AA2">
              <w:rPr>
                <w:spacing w:val="-4"/>
                <w:rtl/>
                <w:lang w:bidi="ar-EG"/>
              </w:rPr>
              <w:t>متوسطة للرأي بشأن نوعية الوصلة الموضوعية (</w:t>
            </w:r>
            <w:r w:rsidR="004733A2" w:rsidRPr="00C81AA2">
              <w:rPr>
                <w:spacing w:val="-4"/>
                <w:lang w:bidi="ar-EG"/>
              </w:rPr>
              <w:t>P.800.1</w:t>
            </w:r>
            <w:r w:rsidR="004733A2" w:rsidRPr="00C81AA2">
              <w:rPr>
                <w:spacing w:val="-4"/>
                <w:rtl/>
                <w:lang w:bidi="ar-EG"/>
              </w:rPr>
              <w:t>)</w:t>
            </w:r>
            <w:r w:rsidR="004733A2" w:rsidRPr="00C81AA2">
              <w:rPr>
                <w:rFonts w:hint="cs"/>
                <w:spacing w:val="-4"/>
                <w:rtl/>
                <w:lang w:bidi="ar-EG"/>
              </w:rPr>
              <w:t>.</w:t>
            </w:r>
          </w:p>
          <w:p w14:paraId="166DA471" w14:textId="48710FE2" w:rsidR="001770F1" w:rsidRPr="00C81AA2" w:rsidRDefault="001C28E6" w:rsidP="003C7B8F">
            <w:pPr>
              <w:rPr>
                <w:spacing w:val="-4"/>
                <w:lang w:bidi="ar-EG"/>
              </w:rPr>
            </w:pPr>
            <w:r w:rsidRPr="00C81AA2">
              <w:rPr>
                <w:rFonts w:hint="cs"/>
                <w:spacing w:val="-4"/>
                <w:rtl/>
              </w:rPr>
              <w:t xml:space="preserve">ويسمح ذلك </w:t>
            </w:r>
            <w:r w:rsidR="00627C12" w:rsidRPr="00C81AA2">
              <w:rPr>
                <w:rFonts w:hint="cs"/>
                <w:spacing w:val="-4"/>
                <w:rtl/>
              </w:rPr>
              <w:t>بمقارنة ا</w:t>
            </w:r>
            <w:r w:rsidRPr="00C81AA2">
              <w:rPr>
                <w:rFonts w:hint="cs"/>
                <w:spacing w:val="-4"/>
                <w:rtl/>
              </w:rPr>
              <w:t xml:space="preserve">لدرجات </w:t>
            </w:r>
            <w:r w:rsidRPr="00C81AA2">
              <w:rPr>
                <w:spacing w:val="-4"/>
              </w:rPr>
              <w:t>MOS-LQO</w:t>
            </w:r>
            <w:r w:rsidRPr="00C81AA2">
              <w:rPr>
                <w:rFonts w:hint="cs"/>
                <w:spacing w:val="-4"/>
                <w:rtl/>
                <w:lang w:bidi="ar-EG"/>
              </w:rPr>
              <w:t xml:space="preserve"> المأخوذة من التوصية </w:t>
            </w:r>
            <w:r w:rsidRPr="00C81AA2">
              <w:rPr>
                <w:spacing w:val="-4"/>
                <w:lang w:bidi="ar-EG"/>
              </w:rPr>
              <w:t xml:space="preserve">ITU-T </w:t>
            </w:r>
            <w:r w:rsidR="00627C12" w:rsidRPr="00C81AA2">
              <w:rPr>
                <w:spacing w:val="-4"/>
                <w:lang w:bidi="ar-EG"/>
              </w:rPr>
              <w:t>P.862</w:t>
            </w:r>
            <w:r w:rsidR="00627C12" w:rsidRPr="00C81AA2">
              <w:rPr>
                <w:rFonts w:hint="cs"/>
                <w:spacing w:val="-4"/>
                <w:rtl/>
                <w:lang w:bidi="ar-EG"/>
              </w:rPr>
              <w:t xml:space="preserve"> بمنأى عن تنفيذ التوصية </w:t>
            </w:r>
            <w:r w:rsidR="00627C12" w:rsidRPr="00C81AA2">
              <w:rPr>
                <w:spacing w:val="-4"/>
                <w:lang w:bidi="ar-EG"/>
              </w:rPr>
              <w:t>ITU-T P.862</w:t>
            </w:r>
            <w:r w:rsidR="00627C12" w:rsidRPr="00C81AA2">
              <w:rPr>
                <w:rFonts w:hint="cs"/>
                <w:spacing w:val="-4"/>
                <w:rtl/>
                <w:lang w:bidi="ar-EG"/>
              </w:rPr>
              <w:t>.</w:t>
            </w:r>
            <w:r w:rsidR="003C7B8F" w:rsidRPr="00C81AA2">
              <w:rPr>
                <w:rFonts w:hint="cs"/>
                <w:spacing w:val="-4"/>
                <w:rtl/>
                <w:lang w:bidi="ar-EG"/>
              </w:rPr>
              <w:t xml:space="preserve"> وقد تم استمثال وظيفة التحويل المقدمة في هذه التوصية عبر مجموعة كبيرة من البيانات الذاتية تمثل تطبيقات ولغات مختلفة.</w:t>
            </w:r>
            <w:r w:rsidR="00627C12" w:rsidRPr="00C81AA2">
              <w:rPr>
                <w:rFonts w:hint="cs"/>
                <w:spacing w:val="-4"/>
                <w:rtl/>
                <w:lang w:bidi="ar-EG"/>
              </w:rPr>
              <w:t xml:space="preserve"> </w:t>
            </w:r>
            <w:bookmarkEnd w:id="2"/>
          </w:p>
        </w:tc>
      </w:tr>
      <w:tr w:rsidR="001770F1" w14:paraId="4BE5A162" w14:textId="77777777" w:rsidTr="008D6491">
        <w:tc>
          <w:tcPr>
            <w:tcW w:w="9719" w:type="dxa"/>
          </w:tcPr>
          <w:p w14:paraId="490E7D31" w14:textId="640F2296" w:rsidR="001770F1" w:rsidRPr="00B57BD6" w:rsidRDefault="00A647B4" w:rsidP="00C81AA2">
            <w:pPr>
              <w:keepNext/>
              <w:rPr>
                <w:i/>
                <w:iCs/>
                <w:rtl/>
                <w:lang w:val="en-GB" w:eastAsia="ja-JP"/>
              </w:rPr>
            </w:pPr>
            <w:r w:rsidRPr="00A647B4">
              <w:rPr>
                <w:i/>
                <w:iCs/>
                <w:rtl/>
                <w:lang w:val="en-GB" w:eastAsia="ja-JP"/>
              </w:rPr>
              <w:lastRenderedPageBreak/>
              <w:t>أسباب إلغاء التوصية المذكورة أعلاه:</w:t>
            </w:r>
          </w:p>
        </w:tc>
      </w:tr>
      <w:tr w:rsidR="001770F1" w14:paraId="496345CD" w14:textId="77777777" w:rsidTr="008D6491">
        <w:tc>
          <w:tcPr>
            <w:tcW w:w="9719" w:type="dxa"/>
          </w:tcPr>
          <w:p w14:paraId="436D0B9C" w14:textId="49B4764D" w:rsidR="001770F1" w:rsidRPr="00A647B4" w:rsidRDefault="00C81AA2" w:rsidP="00A647B4">
            <w:pPr>
              <w:rPr>
                <w:highlight w:val="lightGray"/>
                <w:lang w:eastAsia="ja-JP"/>
              </w:rPr>
            </w:pPr>
            <w:r w:rsidRPr="00C81AA2">
              <w:rPr>
                <w:rFonts w:hint="cs"/>
                <w:rtl/>
                <w:lang w:eastAsia="ja-JP"/>
              </w:rPr>
              <w:t>ا</w:t>
            </w:r>
            <w:r w:rsidR="00A647B4" w:rsidRPr="00C81AA2">
              <w:rPr>
                <w:rFonts w:hint="cs"/>
                <w:rtl/>
                <w:lang w:eastAsia="ja-JP"/>
              </w:rPr>
              <w:t xml:space="preserve">نظر أسباب إلغاء </w:t>
            </w:r>
            <w:r w:rsidR="00A647B4" w:rsidRPr="00C81AA2">
              <w:rPr>
                <w:rFonts w:hint="cs"/>
                <w:b/>
                <w:bCs/>
                <w:rtl/>
                <w:lang w:eastAsia="ja-JP"/>
              </w:rPr>
              <w:t xml:space="preserve">التوصية </w:t>
            </w:r>
            <w:r w:rsidR="00A647B4" w:rsidRPr="00C81AA2">
              <w:rPr>
                <w:b/>
                <w:bCs/>
                <w:lang w:eastAsia="ja-JP"/>
              </w:rPr>
              <w:t>ITU-T P.862</w:t>
            </w:r>
            <w:r w:rsidR="00A647B4" w:rsidRPr="00C81AA2">
              <w:rPr>
                <w:rFonts w:hint="cs"/>
                <w:b/>
                <w:bCs/>
                <w:rtl/>
                <w:lang w:eastAsia="ja-JP"/>
              </w:rPr>
              <w:t xml:space="preserve">، </w:t>
            </w:r>
            <w:r w:rsidR="00A647B4" w:rsidRPr="00C81AA2">
              <w:rPr>
                <w:rFonts w:hint="cs"/>
                <w:b/>
                <w:bCs/>
                <w:i/>
                <w:iCs/>
                <w:rtl/>
                <w:lang w:eastAsia="ja-JP"/>
              </w:rPr>
              <w:t xml:space="preserve">التقييم المدرك لنوعية الكلام </w:t>
            </w:r>
            <w:r w:rsidR="00A647B4" w:rsidRPr="00C81AA2">
              <w:rPr>
                <w:b/>
                <w:bCs/>
                <w:i/>
                <w:iCs/>
                <w:lang w:eastAsia="ja-JP"/>
              </w:rPr>
              <w:t>(PESQ)</w:t>
            </w:r>
            <w:r w:rsidR="00A647B4" w:rsidRPr="00C81AA2">
              <w:rPr>
                <w:rFonts w:hint="cs"/>
                <w:b/>
                <w:bCs/>
                <w:i/>
                <w:iCs/>
                <w:rtl/>
                <w:lang w:eastAsia="ja-JP"/>
              </w:rPr>
              <w:t xml:space="preserve">: أسلوب موضوعي لتقييم نوعية الكلام من طرف إلى طرف </w:t>
            </w:r>
            <w:proofErr w:type="spellStart"/>
            <w:r w:rsidR="00A647B4" w:rsidRPr="00C81AA2">
              <w:rPr>
                <w:rFonts w:hint="cs"/>
                <w:b/>
                <w:bCs/>
                <w:i/>
                <w:iCs/>
                <w:rtl/>
                <w:lang w:eastAsia="ja-JP"/>
              </w:rPr>
              <w:t>للكودكات</w:t>
            </w:r>
            <w:proofErr w:type="spellEnd"/>
            <w:r w:rsidR="00A647B4" w:rsidRPr="00C81AA2">
              <w:rPr>
                <w:rFonts w:hint="cs"/>
                <w:b/>
                <w:bCs/>
                <w:i/>
                <w:iCs/>
                <w:rtl/>
                <w:lang w:eastAsia="ja-JP"/>
              </w:rPr>
              <w:t xml:space="preserve"> الصوتية والشبكات الهاتفية ضيفة النطاق </w:t>
            </w:r>
            <w:r w:rsidR="00A647B4" w:rsidRPr="00C81AA2">
              <w:rPr>
                <w:b/>
                <w:bCs/>
                <w:lang w:eastAsia="ja-JP"/>
              </w:rPr>
              <w:t>(</w:t>
            </w:r>
            <w:r w:rsidR="00A31C00">
              <w:rPr>
                <w:b/>
                <w:bCs/>
                <w:lang w:eastAsia="ja-JP"/>
              </w:rPr>
              <w:t>2001/02</w:t>
            </w:r>
            <w:r w:rsidR="00A647B4" w:rsidRPr="00C81AA2">
              <w:rPr>
                <w:b/>
                <w:bCs/>
                <w:lang w:eastAsia="ja-JP"/>
              </w:rPr>
              <w:t>)</w:t>
            </w:r>
            <w:r w:rsidR="00A647B4" w:rsidRPr="00C81AA2">
              <w:rPr>
                <w:rFonts w:hint="cs"/>
                <w:b/>
                <w:bCs/>
                <w:i/>
                <w:iCs/>
                <w:rtl/>
                <w:lang w:eastAsia="ja-JP"/>
              </w:rPr>
              <w:t>.</w:t>
            </w:r>
          </w:p>
        </w:tc>
      </w:tr>
    </w:tbl>
    <w:p w14:paraId="0079930E" w14:textId="77777777" w:rsidR="001770F1" w:rsidRDefault="001770F1" w:rsidP="001770F1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770F1" w14:paraId="71E81469" w14:textId="77777777" w:rsidTr="008D6491">
        <w:tc>
          <w:tcPr>
            <w:tcW w:w="9719" w:type="dxa"/>
          </w:tcPr>
          <w:p w14:paraId="530B41CC" w14:textId="033F75D5" w:rsidR="001770F1" w:rsidRPr="00C81AA2" w:rsidRDefault="008D204F" w:rsidP="00C81AA2">
            <w:pPr>
              <w:spacing w:before="240"/>
              <w:rPr>
                <w:b/>
                <w:bCs/>
                <w:lang w:eastAsia="ja-JP"/>
              </w:rPr>
            </w:pPr>
            <w:bookmarkStart w:id="3" w:name="lt_pId088"/>
            <w:r w:rsidRPr="00C81AA2">
              <w:rPr>
                <w:rFonts w:hint="cs"/>
                <w:b/>
                <w:bCs/>
                <w:rtl/>
                <w:lang w:eastAsia="ja-JP"/>
              </w:rPr>
              <w:t xml:space="preserve">التوصية </w:t>
            </w:r>
            <w:r w:rsidRPr="00C81AA2">
              <w:rPr>
                <w:b/>
                <w:bCs/>
                <w:lang w:eastAsia="ja-JP"/>
              </w:rPr>
              <w:t>ITU-T P.862.2</w:t>
            </w:r>
            <w:r w:rsidRPr="00C81AA2">
              <w:rPr>
                <w:rFonts w:hint="cs"/>
                <w:b/>
                <w:bCs/>
                <w:rtl/>
                <w:lang w:eastAsia="ja-JP"/>
              </w:rPr>
              <w:t xml:space="preserve">، </w:t>
            </w:r>
            <w:r w:rsidRPr="00C81AA2">
              <w:rPr>
                <w:rFonts w:hint="cs"/>
                <w:b/>
                <w:bCs/>
                <w:i/>
                <w:iCs/>
                <w:rtl/>
                <w:lang w:eastAsia="ja-JP"/>
              </w:rPr>
              <w:t xml:space="preserve">توسيع مدى التوصية </w:t>
            </w:r>
            <w:r w:rsidRPr="00C81AA2">
              <w:rPr>
                <w:b/>
                <w:bCs/>
                <w:i/>
                <w:iCs/>
                <w:lang w:eastAsia="ja-JP"/>
              </w:rPr>
              <w:t>P.862</w:t>
            </w:r>
            <w:r w:rsidRPr="00C81AA2">
              <w:rPr>
                <w:rFonts w:hint="cs"/>
                <w:b/>
                <w:bCs/>
                <w:i/>
                <w:iCs/>
                <w:rtl/>
                <w:lang w:eastAsia="ja-JP"/>
              </w:rPr>
              <w:t xml:space="preserve"> لتشمل النطاق العريض من أجل تقييم الشبكات الهاتفية عريضة النطاق ووحدات تشفير وفك تشفير الكلام</w:t>
            </w:r>
            <w:bookmarkEnd w:id="3"/>
            <w:r w:rsidR="00C81AA2">
              <w:rPr>
                <w:rFonts w:hint="cs"/>
                <w:b/>
                <w:bCs/>
                <w:i/>
                <w:iCs/>
                <w:rtl/>
                <w:lang w:eastAsia="ja-JP"/>
              </w:rPr>
              <w:t xml:space="preserve"> </w:t>
            </w:r>
            <w:r w:rsidR="00C81AA2" w:rsidRPr="00C81AA2">
              <w:rPr>
                <w:b/>
                <w:bCs/>
                <w:lang w:val="en-GB" w:eastAsia="ja-JP"/>
              </w:rPr>
              <w:t>(</w:t>
            </w:r>
            <w:r w:rsidR="00A31C00">
              <w:rPr>
                <w:b/>
                <w:bCs/>
                <w:lang w:val="en-GB" w:eastAsia="ja-JP"/>
              </w:rPr>
              <w:t>2007/11</w:t>
            </w:r>
            <w:r w:rsidR="00C81AA2" w:rsidRPr="00C81AA2">
              <w:rPr>
                <w:b/>
                <w:bCs/>
                <w:lang w:val="en-GB" w:eastAsia="ja-JP"/>
              </w:rPr>
              <w:t>)</w:t>
            </w:r>
          </w:p>
        </w:tc>
      </w:tr>
      <w:tr w:rsidR="001770F1" w14:paraId="69B91026" w14:textId="77777777" w:rsidTr="008D6491">
        <w:tc>
          <w:tcPr>
            <w:tcW w:w="9719" w:type="dxa"/>
          </w:tcPr>
          <w:p w14:paraId="6F63FBA0" w14:textId="1BA8C87D" w:rsidR="001770F1" w:rsidRPr="006A710F" w:rsidRDefault="006A710F" w:rsidP="008D6491">
            <w:pPr>
              <w:rPr>
                <w:i/>
                <w:iCs/>
                <w:rtl/>
                <w:lang w:val="en-GB"/>
              </w:rPr>
            </w:pPr>
            <w:r>
              <w:rPr>
                <w:rFonts w:hint="cs"/>
                <w:i/>
                <w:iCs/>
                <w:rtl/>
                <w:lang w:val="en-GB"/>
              </w:rPr>
              <w:t>ملخص:</w:t>
            </w:r>
          </w:p>
        </w:tc>
      </w:tr>
      <w:tr w:rsidR="001770F1" w14:paraId="48FCE86F" w14:textId="77777777" w:rsidTr="008D6491">
        <w:tc>
          <w:tcPr>
            <w:tcW w:w="9719" w:type="dxa"/>
          </w:tcPr>
          <w:p w14:paraId="7BAD78B6" w14:textId="42215B7F" w:rsidR="001770F1" w:rsidRPr="00BC0E0F" w:rsidRDefault="00453FCD" w:rsidP="007702FE">
            <w:pPr>
              <w:rPr>
                <w:lang w:val="en-GB"/>
              </w:rPr>
            </w:pPr>
            <w:bookmarkStart w:id="4" w:name="lt_pId090"/>
            <w:r w:rsidRPr="00BC0E0F">
              <w:rPr>
                <w:rFonts w:hint="cs"/>
                <w:rtl/>
              </w:rPr>
              <w:t>تصف</w:t>
            </w:r>
            <w:r w:rsidR="00BC701B" w:rsidRPr="00BC0E0F">
              <w:rPr>
                <w:rFonts w:hint="cs"/>
                <w:rtl/>
              </w:rPr>
              <w:t xml:space="preserve"> التوصية </w:t>
            </w:r>
            <w:r w:rsidRPr="00BC0E0F">
              <w:t xml:space="preserve">ITU-T </w:t>
            </w:r>
            <w:r w:rsidR="00BC701B" w:rsidRPr="00BC0E0F">
              <w:t>P.862.2</w:t>
            </w:r>
            <w:r w:rsidR="00BC701B" w:rsidRPr="00BC0E0F">
              <w:rPr>
                <w:rFonts w:hint="cs"/>
                <w:rtl/>
              </w:rPr>
              <w:t xml:space="preserve"> </w:t>
            </w:r>
            <w:r w:rsidRPr="00BC0E0F">
              <w:rPr>
                <w:rFonts w:hint="cs"/>
                <w:rtl/>
                <w:lang w:bidi="ar-EG"/>
              </w:rPr>
              <w:t>توسيعاً طفيفاً لخوارزمية ا</w:t>
            </w:r>
            <w:r w:rsidRPr="00BC0E0F">
              <w:rPr>
                <w:rtl/>
                <w:lang w:bidi="ar-EG"/>
              </w:rPr>
              <w:t>لتقييم المدرك لنوعية الكلام (</w:t>
            </w:r>
            <w:r w:rsidRPr="00BC0E0F">
              <w:rPr>
                <w:lang w:bidi="ar-EG"/>
              </w:rPr>
              <w:t>PESQ</w:t>
            </w:r>
            <w:r w:rsidRPr="00BC0E0F">
              <w:rPr>
                <w:rtl/>
                <w:lang w:bidi="ar-EG"/>
              </w:rPr>
              <w:t>)</w:t>
            </w:r>
            <w:r w:rsidRPr="00BC0E0F">
              <w:rPr>
                <w:rFonts w:hint="cs"/>
                <w:rtl/>
                <w:lang w:bidi="ar-EG"/>
              </w:rPr>
              <w:t xml:space="preserve"> المعرفة في</w:t>
            </w:r>
            <w:r w:rsidR="00BC701B" w:rsidRPr="00BC0E0F">
              <w:rPr>
                <w:rFonts w:hint="cs"/>
                <w:rtl/>
              </w:rPr>
              <w:t xml:space="preserve"> التوصية </w:t>
            </w:r>
            <w:r w:rsidRPr="00BC0E0F">
              <w:t>ITU</w:t>
            </w:r>
            <w:r w:rsidR="00BC0E0F">
              <w:noBreakHyphen/>
            </w:r>
            <w:r w:rsidRPr="00BC0E0F">
              <w:t xml:space="preserve">T </w:t>
            </w:r>
            <w:r w:rsidR="00BC701B" w:rsidRPr="00BC0E0F">
              <w:t>P.862</w:t>
            </w:r>
            <w:r w:rsidR="00BC701B" w:rsidRPr="00BC0E0F">
              <w:rPr>
                <w:rFonts w:hint="cs"/>
                <w:rtl/>
              </w:rPr>
              <w:t xml:space="preserve">. ويسمح هذا التمديد بإمكانية تطبيق التوصية </w:t>
            </w:r>
            <w:r w:rsidR="007702FE" w:rsidRPr="00BC0E0F">
              <w:t xml:space="preserve">ITU-T </w:t>
            </w:r>
            <w:r w:rsidR="00BC701B" w:rsidRPr="00BC0E0F">
              <w:t>P.862</w:t>
            </w:r>
            <w:r w:rsidR="00BC701B" w:rsidRPr="00BC0E0F">
              <w:rPr>
                <w:rFonts w:hint="cs"/>
                <w:rtl/>
              </w:rPr>
              <w:t xml:space="preserve"> على تقييم</w:t>
            </w:r>
            <w:r w:rsidR="007702FE" w:rsidRPr="00BC0E0F">
              <w:rPr>
                <w:rFonts w:hint="cs"/>
                <w:rtl/>
                <w:lang w:bidi="ar-EG"/>
              </w:rPr>
              <w:t xml:space="preserve"> الظروف</w:t>
            </w:r>
            <w:r w:rsidR="00BC701B" w:rsidRPr="00BC0E0F">
              <w:rPr>
                <w:rFonts w:hint="cs"/>
                <w:rtl/>
              </w:rPr>
              <w:t>، مثل حالات وحدات تشفير وفك تشفير الكلام التي يستعمل فيها المستمع سماعات عريضة النطاق</w:t>
            </w:r>
            <w:r w:rsidR="00916E5A" w:rsidRPr="00BC0E0F">
              <w:rPr>
                <w:rFonts w:hint="cs"/>
                <w:rtl/>
              </w:rPr>
              <w:t xml:space="preserve">. </w:t>
            </w:r>
            <w:r w:rsidR="007702FE" w:rsidRPr="00BC0E0F">
              <w:rPr>
                <w:rFonts w:hint="cs"/>
                <w:rtl/>
              </w:rPr>
              <w:t>(</w:t>
            </w:r>
            <w:r w:rsidR="007702FE" w:rsidRPr="00BC0E0F">
              <w:rPr>
                <w:rtl/>
              </w:rPr>
              <w:t xml:space="preserve">وفي المقابل، تفترض التوصية </w:t>
            </w:r>
            <w:r w:rsidR="007702FE" w:rsidRPr="00BC0E0F">
              <w:t>ITU-T P.862</w:t>
            </w:r>
            <w:r w:rsidR="007702FE" w:rsidRPr="00BC0E0F">
              <w:rPr>
                <w:rtl/>
              </w:rPr>
              <w:t xml:space="preserve"> وجود </w:t>
            </w:r>
            <w:r w:rsidR="007702FE" w:rsidRPr="00BC0E0F">
              <w:rPr>
                <w:rFonts w:hint="cs"/>
                <w:rtl/>
              </w:rPr>
              <w:t>جهاز يد</w:t>
            </w:r>
            <w:r w:rsidR="007702FE" w:rsidRPr="00BC0E0F">
              <w:rPr>
                <w:rtl/>
              </w:rPr>
              <w:t xml:space="preserve"> قياسي ضيق النطاق من نوع </w:t>
            </w:r>
            <w:r w:rsidR="007702FE" w:rsidRPr="00BC0E0F">
              <w:t>IRS</w:t>
            </w:r>
            <w:r w:rsidR="007702FE" w:rsidRPr="00BC0E0F">
              <w:rPr>
                <w:rtl/>
              </w:rPr>
              <w:t xml:space="preserve"> وال</w:t>
            </w:r>
            <w:r w:rsidR="007702FE" w:rsidRPr="00BC0E0F">
              <w:rPr>
                <w:rFonts w:hint="cs"/>
                <w:rtl/>
              </w:rPr>
              <w:t>ذ</w:t>
            </w:r>
            <w:r w:rsidR="007702FE" w:rsidRPr="00BC0E0F">
              <w:rPr>
                <w:rtl/>
              </w:rPr>
              <w:t xml:space="preserve">ي </w:t>
            </w:r>
            <w:r w:rsidR="007702FE" w:rsidRPr="00BC0E0F">
              <w:rPr>
                <w:rFonts w:hint="cs"/>
                <w:rtl/>
              </w:rPr>
              <w:t>يحقق توهيناً</w:t>
            </w:r>
            <w:r w:rsidR="007702FE" w:rsidRPr="00BC0E0F">
              <w:rPr>
                <w:rtl/>
              </w:rPr>
              <w:t xml:space="preserve"> بقوة </w:t>
            </w:r>
            <w:r w:rsidR="007702FE" w:rsidRPr="00BC0E0F">
              <w:rPr>
                <w:rFonts w:hint="cs"/>
                <w:rtl/>
              </w:rPr>
              <w:t>عند ترددات أقل</w:t>
            </w:r>
            <w:r w:rsidR="007702FE" w:rsidRPr="00BC0E0F">
              <w:rPr>
                <w:rtl/>
              </w:rPr>
              <w:t xml:space="preserve"> من 300 </w:t>
            </w:r>
            <w:r w:rsidR="007702FE" w:rsidRPr="00BC0E0F">
              <w:t>Hz</w:t>
            </w:r>
            <w:r w:rsidR="007702FE" w:rsidRPr="00BC0E0F">
              <w:rPr>
                <w:rtl/>
              </w:rPr>
              <w:t xml:space="preserve"> و</w:t>
            </w:r>
            <w:r w:rsidR="007702FE" w:rsidRPr="00BC0E0F">
              <w:rPr>
                <w:rFonts w:hint="cs"/>
                <w:rtl/>
              </w:rPr>
              <w:t xml:space="preserve">أكبر من </w:t>
            </w:r>
            <w:r w:rsidR="00BC0E0F">
              <w:t>3 100</w:t>
            </w:r>
            <w:r w:rsidR="00BC0E0F">
              <w:rPr>
                <w:rFonts w:hint="cs"/>
                <w:rtl/>
              </w:rPr>
              <w:t> </w:t>
            </w:r>
            <w:r w:rsidR="007702FE" w:rsidRPr="00BC0E0F">
              <w:t>Hz</w:t>
            </w:r>
            <w:r w:rsidR="007702FE" w:rsidRPr="00BC0E0F">
              <w:rPr>
                <w:rtl/>
              </w:rPr>
              <w:t>)</w:t>
            </w:r>
            <w:r w:rsidR="007702FE" w:rsidRPr="00BC0E0F">
              <w:rPr>
                <w:rFonts w:hint="cs"/>
                <w:rtl/>
              </w:rPr>
              <w:t>.</w:t>
            </w:r>
            <w:r w:rsidR="007702FE" w:rsidRPr="00BC0E0F">
              <w:rPr>
                <w:rtl/>
              </w:rPr>
              <w:t xml:space="preserve"> والغرض الرئيسي من هذه التوصية هو الاستخدام مع الأنظمة الصوتية عريضة النطاق (50-</w:t>
            </w:r>
            <w:r w:rsidR="00BC0E0F">
              <w:t>7 000</w:t>
            </w:r>
            <w:r w:rsidR="007702FE" w:rsidRPr="00BC0E0F">
              <w:rPr>
                <w:rtl/>
              </w:rPr>
              <w:t xml:space="preserve"> </w:t>
            </w:r>
            <w:r w:rsidR="007702FE" w:rsidRPr="00BC0E0F">
              <w:t>Hz</w:t>
            </w:r>
            <w:r w:rsidR="007702FE" w:rsidRPr="00BC0E0F">
              <w:rPr>
                <w:rtl/>
              </w:rPr>
              <w:t>)، على الرغم من أنه يمكن تطبيقه</w:t>
            </w:r>
            <w:r w:rsidR="007702FE" w:rsidRPr="00BC0E0F">
              <w:rPr>
                <w:rFonts w:hint="cs"/>
                <w:rtl/>
              </w:rPr>
              <w:t>ا</w:t>
            </w:r>
            <w:r w:rsidR="007702FE" w:rsidRPr="00BC0E0F">
              <w:rPr>
                <w:rtl/>
              </w:rPr>
              <w:t xml:space="preserve"> أيضا</w:t>
            </w:r>
            <w:r w:rsidR="007702FE" w:rsidRPr="00BC0E0F">
              <w:rPr>
                <w:rFonts w:hint="cs"/>
                <w:rtl/>
              </w:rPr>
              <w:t>ً</w:t>
            </w:r>
            <w:r w:rsidR="007702FE" w:rsidRPr="00BC0E0F">
              <w:rPr>
                <w:rtl/>
              </w:rPr>
              <w:t xml:space="preserve"> على الأنظمة ذات </w:t>
            </w:r>
            <w:r w:rsidR="007702FE" w:rsidRPr="00BC0E0F">
              <w:rPr>
                <w:rFonts w:hint="cs"/>
                <w:rtl/>
              </w:rPr>
              <w:t xml:space="preserve">عرض </w:t>
            </w:r>
            <w:r w:rsidR="007702FE" w:rsidRPr="00BC0E0F">
              <w:rPr>
                <w:rtl/>
              </w:rPr>
              <w:t>النطاق الأضيق.</w:t>
            </w:r>
            <w:bookmarkEnd w:id="4"/>
          </w:p>
        </w:tc>
      </w:tr>
      <w:tr w:rsidR="001770F1" w14:paraId="74D73C3C" w14:textId="77777777" w:rsidTr="008D6491">
        <w:tc>
          <w:tcPr>
            <w:tcW w:w="9719" w:type="dxa"/>
          </w:tcPr>
          <w:p w14:paraId="296DD027" w14:textId="0B0BAF96" w:rsidR="007B3E21" w:rsidRPr="007B3E21" w:rsidRDefault="007702FE" w:rsidP="007702FE">
            <w:pPr>
              <w:rPr>
                <w:i/>
                <w:iCs/>
                <w:rtl/>
                <w:lang w:val="en-GB" w:eastAsia="ja-JP"/>
              </w:rPr>
            </w:pPr>
            <w:r w:rsidRPr="007702FE">
              <w:rPr>
                <w:i/>
                <w:iCs/>
                <w:rtl/>
                <w:lang w:val="en-GB" w:eastAsia="ja-JP"/>
              </w:rPr>
              <w:t>أسباب إلغاء التوصية المذكورة أعلاه:</w:t>
            </w:r>
          </w:p>
        </w:tc>
      </w:tr>
      <w:tr w:rsidR="001770F1" w14:paraId="1CE300F1" w14:textId="77777777" w:rsidTr="008D6491">
        <w:tc>
          <w:tcPr>
            <w:tcW w:w="9719" w:type="dxa"/>
          </w:tcPr>
          <w:p w14:paraId="002EC25C" w14:textId="1F92BAC4" w:rsidR="001770F1" w:rsidRPr="007B3E21" w:rsidRDefault="00BC0E0F" w:rsidP="007702FE">
            <w:pPr>
              <w:rPr>
                <w:i/>
                <w:iCs/>
                <w:lang w:eastAsia="ja-JP"/>
              </w:rPr>
            </w:pPr>
            <w:r>
              <w:rPr>
                <w:rFonts w:hint="cs"/>
                <w:rtl/>
                <w:lang w:eastAsia="ja-JP"/>
              </w:rPr>
              <w:t>ا</w:t>
            </w:r>
            <w:r w:rsidR="007702FE" w:rsidRPr="007702FE">
              <w:rPr>
                <w:rFonts w:hint="cs"/>
                <w:rtl/>
                <w:lang w:eastAsia="ja-JP"/>
              </w:rPr>
              <w:t xml:space="preserve">نظر أسباب إلغاء </w:t>
            </w:r>
            <w:r w:rsidR="007702FE" w:rsidRPr="007702FE">
              <w:rPr>
                <w:rFonts w:hint="cs"/>
                <w:b/>
                <w:bCs/>
                <w:rtl/>
                <w:lang w:eastAsia="ja-JP"/>
              </w:rPr>
              <w:t xml:space="preserve">التوصية </w:t>
            </w:r>
            <w:r w:rsidR="007702FE" w:rsidRPr="007702FE">
              <w:rPr>
                <w:b/>
                <w:bCs/>
                <w:lang w:eastAsia="ja-JP"/>
              </w:rPr>
              <w:t>ITU-T P.862</w:t>
            </w:r>
            <w:r w:rsidR="007702FE" w:rsidRPr="007702FE">
              <w:rPr>
                <w:rFonts w:hint="cs"/>
                <w:b/>
                <w:bCs/>
                <w:rtl/>
                <w:lang w:eastAsia="ja-JP"/>
              </w:rPr>
              <w:t xml:space="preserve">، </w:t>
            </w:r>
            <w:r w:rsidR="007702FE" w:rsidRPr="007702FE">
              <w:rPr>
                <w:rFonts w:hint="cs"/>
                <w:b/>
                <w:bCs/>
                <w:i/>
                <w:iCs/>
                <w:rtl/>
                <w:lang w:eastAsia="ja-JP"/>
              </w:rPr>
              <w:t xml:space="preserve">التقييم المدرك لنوعية الكلام </w:t>
            </w:r>
            <w:r w:rsidR="007702FE" w:rsidRPr="007702FE">
              <w:rPr>
                <w:b/>
                <w:bCs/>
                <w:i/>
                <w:iCs/>
                <w:lang w:eastAsia="ja-JP"/>
              </w:rPr>
              <w:t>(PESQ)</w:t>
            </w:r>
            <w:r w:rsidR="007702FE" w:rsidRPr="007702FE">
              <w:rPr>
                <w:rFonts w:hint="cs"/>
                <w:b/>
                <w:bCs/>
                <w:i/>
                <w:iCs/>
                <w:rtl/>
                <w:lang w:eastAsia="ja-JP"/>
              </w:rPr>
              <w:t xml:space="preserve">: أسلوب موضوعي لتقييم نوعية الكلام من طرف إلى طرف </w:t>
            </w:r>
            <w:proofErr w:type="spellStart"/>
            <w:r w:rsidR="007702FE" w:rsidRPr="007702FE">
              <w:rPr>
                <w:rFonts w:hint="cs"/>
                <w:b/>
                <w:bCs/>
                <w:i/>
                <w:iCs/>
                <w:rtl/>
                <w:lang w:eastAsia="ja-JP"/>
              </w:rPr>
              <w:t>للكودكات</w:t>
            </w:r>
            <w:proofErr w:type="spellEnd"/>
            <w:r w:rsidR="007702FE" w:rsidRPr="007702FE">
              <w:rPr>
                <w:rFonts w:hint="cs"/>
                <w:b/>
                <w:bCs/>
                <w:i/>
                <w:iCs/>
                <w:rtl/>
                <w:lang w:eastAsia="ja-JP"/>
              </w:rPr>
              <w:t xml:space="preserve"> الصوتية والشبكات الهاتفية ضيفة النطاق </w:t>
            </w:r>
            <w:r w:rsidR="007702FE" w:rsidRPr="007702FE">
              <w:rPr>
                <w:b/>
                <w:bCs/>
                <w:lang w:eastAsia="ja-JP"/>
              </w:rPr>
              <w:t>(02/2001)</w:t>
            </w:r>
            <w:r w:rsidR="007702FE" w:rsidRPr="007702FE">
              <w:rPr>
                <w:rFonts w:hint="cs"/>
                <w:b/>
                <w:bCs/>
                <w:i/>
                <w:iCs/>
                <w:rtl/>
                <w:lang w:eastAsia="ja-JP"/>
              </w:rPr>
              <w:t>.</w:t>
            </w:r>
          </w:p>
        </w:tc>
      </w:tr>
    </w:tbl>
    <w:p w14:paraId="4BA7D5E6" w14:textId="77777777" w:rsidR="001770F1" w:rsidRDefault="001770F1" w:rsidP="001770F1">
      <w:pPr>
        <w:jc w:val="center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770F1" w14:paraId="3B2BA06F" w14:textId="77777777" w:rsidTr="008D6491">
        <w:tc>
          <w:tcPr>
            <w:tcW w:w="9719" w:type="dxa"/>
          </w:tcPr>
          <w:p w14:paraId="00C5B133" w14:textId="4158382E" w:rsidR="001770F1" w:rsidRPr="00BC0E0F" w:rsidRDefault="00B127A2" w:rsidP="00BC0E0F">
            <w:pPr>
              <w:spacing w:before="240"/>
              <w:rPr>
                <w:b/>
                <w:bCs/>
                <w:highlight w:val="green"/>
                <w:lang w:eastAsia="ja-JP"/>
              </w:rPr>
            </w:pPr>
            <w:bookmarkStart w:id="5" w:name="lt_pId095"/>
            <w:r w:rsidRPr="00BC0E0F">
              <w:rPr>
                <w:rFonts w:hint="cs"/>
                <w:b/>
                <w:bCs/>
                <w:rtl/>
                <w:lang w:eastAsia="ja-JP"/>
              </w:rPr>
              <w:t xml:space="preserve">التوصية </w:t>
            </w:r>
            <w:r w:rsidRPr="00BC0E0F">
              <w:rPr>
                <w:b/>
                <w:bCs/>
                <w:lang w:eastAsia="ja-JP"/>
              </w:rPr>
              <w:t>ITU-T P.862.3</w:t>
            </w:r>
            <w:r w:rsidRPr="00BC0E0F">
              <w:rPr>
                <w:rFonts w:hint="cs"/>
                <w:b/>
                <w:bCs/>
                <w:rtl/>
                <w:lang w:eastAsia="ja-JP"/>
              </w:rPr>
              <w:t xml:space="preserve">، </w:t>
            </w:r>
            <w:r w:rsidRPr="00BC0E0F">
              <w:rPr>
                <w:rFonts w:hint="cs"/>
                <w:b/>
                <w:bCs/>
                <w:i/>
                <w:iCs/>
                <w:rtl/>
                <w:lang w:eastAsia="ja-JP"/>
              </w:rPr>
              <w:t xml:space="preserve">دليل تطبيقي لقياسات النوعية الموضوعية استناداً إلى التوصيات </w:t>
            </w:r>
            <w:r w:rsidRPr="00BC0E0F">
              <w:rPr>
                <w:b/>
                <w:bCs/>
                <w:i/>
                <w:iCs/>
                <w:lang w:eastAsia="ja-JP"/>
              </w:rPr>
              <w:t>P.862</w:t>
            </w:r>
            <w:r w:rsidRPr="00BC0E0F">
              <w:rPr>
                <w:rFonts w:hint="cs"/>
                <w:b/>
                <w:bCs/>
                <w:i/>
                <w:iCs/>
                <w:rtl/>
                <w:lang w:val="en-GB" w:eastAsia="ja-JP"/>
              </w:rPr>
              <w:t xml:space="preserve"> و</w:t>
            </w:r>
            <w:r w:rsidRPr="00BC0E0F">
              <w:rPr>
                <w:b/>
                <w:bCs/>
                <w:i/>
                <w:iCs/>
                <w:lang w:eastAsia="ja-JP"/>
              </w:rPr>
              <w:t>P.862.1</w:t>
            </w:r>
            <w:r w:rsidR="00BC0E0F">
              <w:rPr>
                <w:rFonts w:hint="cs"/>
                <w:b/>
                <w:bCs/>
                <w:i/>
                <w:iCs/>
                <w:rtl/>
                <w:lang w:eastAsia="ja-JP"/>
              </w:rPr>
              <w:t xml:space="preserve"> </w:t>
            </w:r>
            <w:r w:rsidRPr="00BC0E0F">
              <w:rPr>
                <w:rFonts w:hint="cs"/>
                <w:b/>
                <w:bCs/>
                <w:i/>
                <w:iCs/>
                <w:rtl/>
                <w:lang w:eastAsia="ja-JP"/>
              </w:rPr>
              <w:t>و</w:t>
            </w:r>
            <w:r w:rsidRPr="00BC0E0F">
              <w:rPr>
                <w:b/>
                <w:bCs/>
                <w:i/>
                <w:iCs/>
                <w:lang w:eastAsia="ja-JP"/>
              </w:rPr>
              <w:t>P.862.2</w:t>
            </w:r>
            <w:bookmarkEnd w:id="5"/>
            <w:r w:rsidR="00BC0E0F">
              <w:rPr>
                <w:rFonts w:hint="cs"/>
                <w:b/>
                <w:bCs/>
                <w:rtl/>
                <w:lang w:eastAsia="ja-JP"/>
              </w:rPr>
              <w:t xml:space="preserve"> </w:t>
            </w:r>
            <w:r w:rsidR="00BC0E0F" w:rsidRPr="00BC0E0F">
              <w:rPr>
                <w:b/>
                <w:bCs/>
                <w:lang w:eastAsia="ja-JP"/>
              </w:rPr>
              <w:t>(11/2007)</w:t>
            </w:r>
          </w:p>
        </w:tc>
      </w:tr>
      <w:tr w:rsidR="001770F1" w14:paraId="5DE2A7CB" w14:textId="77777777" w:rsidTr="008D6491">
        <w:tc>
          <w:tcPr>
            <w:tcW w:w="9719" w:type="dxa"/>
          </w:tcPr>
          <w:p w14:paraId="13B690EE" w14:textId="70EAE0D3" w:rsidR="001770F1" w:rsidRPr="00AE6D6D" w:rsidRDefault="00B127A2" w:rsidP="008D6491">
            <w:pPr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  <w:lang w:val="en-GB"/>
              </w:rPr>
              <w:t>ملخص:</w:t>
            </w:r>
          </w:p>
        </w:tc>
      </w:tr>
      <w:tr w:rsidR="001770F1" w14:paraId="51DC70A9" w14:textId="77777777" w:rsidTr="008D6491">
        <w:tc>
          <w:tcPr>
            <w:tcW w:w="9719" w:type="dxa"/>
          </w:tcPr>
          <w:p w14:paraId="74794740" w14:textId="0799397B" w:rsidR="006269D6" w:rsidRPr="00BC0E0F" w:rsidRDefault="006269D6" w:rsidP="008D6491">
            <w:pPr>
              <w:rPr>
                <w:rtl/>
              </w:rPr>
            </w:pPr>
            <w:bookmarkStart w:id="6" w:name="lt_pId097"/>
            <w:r w:rsidRPr="00BC0E0F">
              <w:rPr>
                <w:rFonts w:hint="cs"/>
                <w:rtl/>
              </w:rPr>
              <w:t xml:space="preserve">تورد التوصية </w:t>
            </w:r>
            <w:r w:rsidR="00BC0E0F" w:rsidRPr="00BC0E0F">
              <w:t>ITU</w:t>
            </w:r>
            <w:r w:rsidR="00BC0E0F" w:rsidRPr="00BC0E0F">
              <w:noBreakHyphen/>
              <w:t>T P.862.3</w:t>
            </w:r>
            <w:r w:rsidR="00BC0E0F" w:rsidRPr="00BC0E0F">
              <w:rPr>
                <w:rFonts w:hint="cs"/>
                <w:rtl/>
                <w:lang w:bidi="ar-EG"/>
              </w:rPr>
              <w:t xml:space="preserve"> </w:t>
            </w:r>
            <w:r w:rsidRPr="00BC0E0F">
              <w:rPr>
                <w:rFonts w:hint="cs"/>
                <w:rtl/>
              </w:rPr>
              <w:t xml:space="preserve">بعض الملاحظات الهامة التي ينبغي مراعاتها في التقييم الموضوعي لنوعية الكلام طبقاً للتوصيات </w:t>
            </w:r>
            <w:r w:rsidR="007702FE" w:rsidRPr="00BC0E0F">
              <w:t xml:space="preserve">ITU-T </w:t>
            </w:r>
            <w:r w:rsidRPr="00BC0E0F">
              <w:t>P.862</w:t>
            </w:r>
            <w:r w:rsidRPr="00BC0E0F">
              <w:rPr>
                <w:rFonts w:hint="cs"/>
                <w:rtl/>
              </w:rPr>
              <w:t xml:space="preserve"> و</w:t>
            </w:r>
            <w:r w:rsidR="00BC0E0F" w:rsidRPr="00BC0E0F">
              <w:t>ITU</w:t>
            </w:r>
            <w:r w:rsidR="00BC0E0F" w:rsidRPr="00BC0E0F">
              <w:noBreakHyphen/>
              <w:t>T </w:t>
            </w:r>
            <w:r w:rsidRPr="00BC0E0F">
              <w:t>P.862.1</w:t>
            </w:r>
            <w:r w:rsidR="00BC0E0F">
              <w:rPr>
                <w:rFonts w:hint="cs"/>
                <w:rtl/>
              </w:rPr>
              <w:t xml:space="preserve"> </w:t>
            </w:r>
            <w:r w:rsidRPr="00BC0E0F">
              <w:rPr>
                <w:rFonts w:hint="cs"/>
                <w:rtl/>
              </w:rPr>
              <w:t>و</w:t>
            </w:r>
            <w:r w:rsidR="00BC0E0F" w:rsidRPr="00BC0E0F">
              <w:t>ITU</w:t>
            </w:r>
            <w:r w:rsidR="00BC0E0F" w:rsidRPr="00BC0E0F">
              <w:noBreakHyphen/>
              <w:t>T </w:t>
            </w:r>
            <w:r w:rsidRPr="00BC0E0F">
              <w:t>P.862.2</w:t>
            </w:r>
            <w:r w:rsidRPr="00BC0E0F">
              <w:rPr>
                <w:rFonts w:hint="cs"/>
                <w:rtl/>
              </w:rPr>
              <w:t xml:space="preserve">. وينبغي لمستعملي التوصية </w:t>
            </w:r>
            <w:r w:rsidR="00BC0E0F" w:rsidRPr="00BC0E0F">
              <w:t>ITU</w:t>
            </w:r>
            <w:r w:rsidR="00BC0E0F" w:rsidRPr="00BC0E0F">
              <w:noBreakHyphen/>
              <w:t>T </w:t>
            </w:r>
            <w:r w:rsidRPr="00BC0E0F">
              <w:t>P.862</w:t>
            </w:r>
            <w:r w:rsidRPr="00BC0E0F">
              <w:rPr>
                <w:rFonts w:hint="cs"/>
                <w:rtl/>
              </w:rPr>
              <w:t xml:space="preserve"> أن يفهموا ويتابعوا الإرشادات الواردة في ه</w:t>
            </w:r>
            <w:r w:rsidR="00D90368" w:rsidRPr="00BC0E0F">
              <w:rPr>
                <w:rFonts w:hint="cs"/>
                <w:rtl/>
              </w:rPr>
              <w:t>ذ</w:t>
            </w:r>
            <w:r w:rsidRPr="00BC0E0F">
              <w:rPr>
                <w:rFonts w:hint="cs"/>
                <w:rtl/>
              </w:rPr>
              <w:t>ه التوصية.</w:t>
            </w:r>
          </w:p>
          <w:p w14:paraId="0ABB6348" w14:textId="79645082" w:rsidR="001770F1" w:rsidRPr="00BC0E0F" w:rsidRDefault="006269D6" w:rsidP="00BC0E0F">
            <w:pPr>
              <w:rPr>
                <w:lang w:bidi="ar-EG"/>
              </w:rPr>
            </w:pPr>
            <w:r w:rsidRPr="00BC0E0F">
              <w:rPr>
                <w:rFonts w:hint="cs"/>
                <w:rtl/>
              </w:rPr>
              <w:t xml:space="preserve">وتشكل </w:t>
            </w:r>
            <w:r w:rsidR="00D90368" w:rsidRPr="00BC0E0F">
              <w:rPr>
                <w:rFonts w:hint="cs"/>
                <w:rtl/>
              </w:rPr>
              <w:t>هذه</w:t>
            </w:r>
            <w:r w:rsidRPr="00BC0E0F">
              <w:rPr>
                <w:rFonts w:hint="cs"/>
                <w:rtl/>
              </w:rPr>
              <w:t xml:space="preserve"> التوصية دليلاً إضافياً لمستعملي التوصية </w:t>
            </w:r>
            <w:r w:rsidR="007702FE" w:rsidRPr="00BC0E0F">
              <w:t xml:space="preserve">ITU-T </w:t>
            </w:r>
            <w:r w:rsidRPr="00BC0E0F">
              <w:t>P.862</w:t>
            </w:r>
            <w:r w:rsidRPr="00BC0E0F">
              <w:rPr>
                <w:rFonts w:hint="cs"/>
                <w:rtl/>
              </w:rPr>
              <w:t xml:space="preserve">، يشرح وسيلة لتقدير جودة الإصغاء للكلام بواسطة عينات كلام مرجعية وعينات متردية. </w:t>
            </w:r>
            <w:r w:rsidR="00BC0E0F" w:rsidRPr="00BC0E0F">
              <w:rPr>
                <w:rtl/>
              </w:rPr>
              <w:t xml:space="preserve">ونطاق تطبيق التوصية </w:t>
            </w:r>
            <w:r w:rsidR="00BC0E0F" w:rsidRPr="00BC0E0F">
              <w:t>ITU-T P.</w:t>
            </w:r>
            <w:r w:rsidR="00BC0E0F">
              <w:t>862</w:t>
            </w:r>
            <w:r w:rsidR="00BC0E0F" w:rsidRPr="00BC0E0F">
              <w:rPr>
                <w:rtl/>
              </w:rPr>
              <w:t xml:space="preserve"> محدد بوضوح في حد ذاته.</w:t>
            </w:r>
            <w:r w:rsidR="00BC0E0F">
              <w:rPr>
                <w:rFonts w:hint="cs"/>
                <w:rtl/>
              </w:rPr>
              <w:t xml:space="preserve"> </w:t>
            </w:r>
            <w:r w:rsidR="00297381" w:rsidRPr="00BC0E0F">
              <w:rPr>
                <w:rFonts w:hint="cs"/>
                <w:rtl/>
              </w:rPr>
              <w:t>ولا توسع هذه التوصية هذا النطاق ولا تضيقه، ولكنها تقدم معلومات ضرورية وهامة للحصول على نتائج قياس موضوعية مستقرة، وموثوقة، وذات مغزى من الناحية العملية.</w:t>
            </w:r>
            <w:bookmarkEnd w:id="6"/>
          </w:p>
        </w:tc>
      </w:tr>
      <w:tr w:rsidR="001770F1" w14:paraId="3851CDDD" w14:textId="77777777" w:rsidTr="008D6491">
        <w:tc>
          <w:tcPr>
            <w:tcW w:w="9719" w:type="dxa"/>
          </w:tcPr>
          <w:p w14:paraId="10DAE362" w14:textId="24CF60CE" w:rsidR="00584119" w:rsidRPr="00584119" w:rsidRDefault="007A65D6" w:rsidP="007A65D6">
            <w:pPr>
              <w:rPr>
                <w:i/>
                <w:iCs/>
                <w:rtl/>
                <w:lang w:val="en-GB" w:eastAsia="ja-JP"/>
              </w:rPr>
            </w:pPr>
            <w:r w:rsidRPr="007A65D6">
              <w:rPr>
                <w:i/>
                <w:iCs/>
                <w:rtl/>
                <w:lang w:val="en-GB" w:eastAsia="ja-JP"/>
              </w:rPr>
              <w:t>أسباب إلغاء التوصية المذكورة أعلاه:</w:t>
            </w:r>
          </w:p>
        </w:tc>
      </w:tr>
      <w:tr w:rsidR="001770F1" w14:paraId="5E301E66" w14:textId="77777777" w:rsidTr="008D6491">
        <w:tc>
          <w:tcPr>
            <w:tcW w:w="9719" w:type="dxa"/>
          </w:tcPr>
          <w:p w14:paraId="35537805" w14:textId="1F677E7B" w:rsidR="001770F1" w:rsidRPr="00A31C00" w:rsidRDefault="00BC0E0F" w:rsidP="007A65D6">
            <w:pPr>
              <w:rPr>
                <w:lang w:eastAsia="ja-JP"/>
              </w:rPr>
            </w:pPr>
            <w:bookmarkStart w:id="7" w:name="lt_pId103"/>
            <w:r w:rsidRPr="00A31C00">
              <w:rPr>
                <w:rFonts w:hint="cs"/>
                <w:rtl/>
                <w:lang w:eastAsia="ja-JP"/>
              </w:rPr>
              <w:t>ا</w:t>
            </w:r>
            <w:r w:rsidR="007A65D6" w:rsidRPr="00A31C00">
              <w:rPr>
                <w:rFonts w:hint="cs"/>
                <w:rtl/>
                <w:lang w:eastAsia="ja-JP"/>
              </w:rPr>
              <w:t xml:space="preserve">نظر أسباب إلغاء </w:t>
            </w:r>
            <w:r w:rsidR="007A65D6" w:rsidRPr="00A31C00">
              <w:rPr>
                <w:rFonts w:hint="cs"/>
                <w:b/>
                <w:bCs/>
                <w:rtl/>
                <w:lang w:eastAsia="ja-JP"/>
              </w:rPr>
              <w:t xml:space="preserve">التوصية </w:t>
            </w:r>
            <w:r w:rsidR="007A65D6" w:rsidRPr="00A31C00">
              <w:rPr>
                <w:b/>
                <w:bCs/>
                <w:lang w:eastAsia="ja-JP"/>
              </w:rPr>
              <w:t>ITU-T P.862</w:t>
            </w:r>
            <w:r w:rsidR="007A65D6" w:rsidRPr="00A31C00">
              <w:rPr>
                <w:rFonts w:hint="cs"/>
                <w:b/>
                <w:bCs/>
                <w:rtl/>
                <w:lang w:eastAsia="ja-JP"/>
              </w:rPr>
              <w:t xml:space="preserve">، </w:t>
            </w:r>
            <w:r w:rsidR="007A65D6" w:rsidRPr="00A31C00">
              <w:rPr>
                <w:rFonts w:hint="cs"/>
                <w:b/>
                <w:bCs/>
                <w:i/>
                <w:iCs/>
                <w:rtl/>
                <w:lang w:eastAsia="ja-JP"/>
              </w:rPr>
              <w:t xml:space="preserve">التقييم المدرك لنوعية الكلام </w:t>
            </w:r>
            <w:r w:rsidR="007A65D6" w:rsidRPr="00A31C00">
              <w:rPr>
                <w:b/>
                <w:bCs/>
                <w:i/>
                <w:iCs/>
                <w:lang w:eastAsia="ja-JP"/>
              </w:rPr>
              <w:t>(PESQ)</w:t>
            </w:r>
            <w:r w:rsidR="007A65D6" w:rsidRPr="00A31C00">
              <w:rPr>
                <w:rFonts w:hint="cs"/>
                <w:b/>
                <w:bCs/>
                <w:i/>
                <w:iCs/>
                <w:rtl/>
                <w:lang w:eastAsia="ja-JP"/>
              </w:rPr>
              <w:t xml:space="preserve">: أسلوب موضوعي لتقييم نوعية الكلام من طرف إلى طرف </w:t>
            </w:r>
            <w:proofErr w:type="spellStart"/>
            <w:r w:rsidR="007A65D6" w:rsidRPr="00A31C00">
              <w:rPr>
                <w:rFonts w:hint="cs"/>
                <w:b/>
                <w:bCs/>
                <w:i/>
                <w:iCs/>
                <w:rtl/>
                <w:lang w:eastAsia="ja-JP"/>
              </w:rPr>
              <w:t>للكودكات</w:t>
            </w:r>
            <w:proofErr w:type="spellEnd"/>
            <w:r w:rsidR="007A65D6" w:rsidRPr="00A31C00">
              <w:rPr>
                <w:rFonts w:hint="cs"/>
                <w:b/>
                <w:bCs/>
                <w:i/>
                <w:iCs/>
                <w:rtl/>
                <w:lang w:eastAsia="ja-JP"/>
              </w:rPr>
              <w:t xml:space="preserve"> الصوتية والشبكات الهاتفية ضيفة النطاق </w:t>
            </w:r>
            <w:r w:rsidR="007A65D6" w:rsidRPr="00A31C00">
              <w:rPr>
                <w:b/>
                <w:bCs/>
                <w:lang w:eastAsia="ja-JP"/>
              </w:rPr>
              <w:t>(</w:t>
            </w:r>
            <w:r w:rsidR="00A31C00">
              <w:rPr>
                <w:b/>
                <w:bCs/>
                <w:lang w:eastAsia="ja-JP"/>
              </w:rPr>
              <w:t>2001/02</w:t>
            </w:r>
            <w:r w:rsidR="007A65D6" w:rsidRPr="00A31C00">
              <w:rPr>
                <w:b/>
                <w:bCs/>
                <w:lang w:eastAsia="ja-JP"/>
              </w:rPr>
              <w:t>)</w:t>
            </w:r>
            <w:r w:rsidR="007A65D6" w:rsidRPr="00A31C00">
              <w:rPr>
                <w:rFonts w:hint="cs"/>
                <w:b/>
                <w:bCs/>
                <w:i/>
                <w:iCs/>
                <w:rtl/>
                <w:lang w:eastAsia="ja-JP"/>
              </w:rPr>
              <w:t>.</w:t>
            </w:r>
            <w:bookmarkEnd w:id="7"/>
          </w:p>
        </w:tc>
      </w:tr>
    </w:tbl>
    <w:p w14:paraId="72612C7A" w14:textId="1EFC78CE" w:rsidR="00596808" w:rsidRPr="00D517B2" w:rsidRDefault="00BC0E0F" w:rsidP="00BC0E0F">
      <w:pPr>
        <w:spacing w:before="60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596808" w:rsidRPr="00D517B2" w:rsidSect="006C32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CC69C" w14:textId="77777777" w:rsidR="00C54FD2" w:rsidRDefault="00C54FD2" w:rsidP="006C3242">
      <w:pPr>
        <w:spacing w:before="0" w:line="240" w:lineRule="auto"/>
      </w:pPr>
      <w:r>
        <w:separator/>
      </w:r>
    </w:p>
  </w:endnote>
  <w:endnote w:type="continuationSeparator" w:id="0">
    <w:p w14:paraId="52C05381" w14:textId="77777777" w:rsidR="00C54FD2" w:rsidRDefault="00C54FD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55BA" w14:textId="77777777" w:rsidR="00C97007" w:rsidRDefault="00C97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CCDD" w14:textId="6ADA23C6" w:rsidR="006C3242" w:rsidRPr="00C97007" w:rsidRDefault="006C3242" w:rsidP="00C97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A7540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5E46" w14:textId="77777777" w:rsidR="00C54FD2" w:rsidRDefault="00C54FD2" w:rsidP="006C3242">
      <w:pPr>
        <w:spacing w:before="0" w:line="240" w:lineRule="auto"/>
      </w:pPr>
      <w:r>
        <w:separator/>
      </w:r>
    </w:p>
  </w:footnote>
  <w:footnote w:type="continuationSeparator" w:id="0">
    <w:p w14:paraId="552172B3" w14:textId="77777777" w:rsidR="00C54FD2" w:rsidRDefault="00C54FD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ECFD" w14:textId="77777777" w:rsidR="00C97007" w:rsidRDefault="00C97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100D6" w14:textId="15B572CE" w:rsidR="00447F32" w:rsidRPr="00596808" w:rsidRDefault="00596808" w:rsidP="00B916A7">
    <w:pPr>
      <w:pStyle w:val="Header"/>
      <w:spacing w:after="240" w:line="192" w:lineRule="auto"/>
      <w:jc w:val="center"/>
      <w:rPr>
        <w:rtl/>
      </w:rPr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="00C81AA2">
      <w:rPr>
        <w:sz w:val="20"/>
        <w:szCs w:val="20"/>
        <w:lang w:bidi="ar-EG"/>
      </w:rPr>
      <w:t>TSB Circular 141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3747" w14:textId="77777777" w:rsidR="00C97007" w:rsidRDefault="00C970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D2"/>
    <w:rsid w:val="00002A63"/>
    <w:rsid w:val="00047AD4"/>
    <w:rsid w:val="0006468A"/>
    <w:rsid w:val="00082D5D"/>
    <w:rsid w:val="00090574"/>
    <w:rsid w:val="000C1C0E"/>
    <w:rsid w:val="000C548A"/>
    <w:rsid w:val="000E327F"/>
    <w:rsid w:val="00146FE2"/>
    <w:rsid w:val="001770F1"/>
    <w:rsid w:val="001C0169"/>
    <w:rsid w:val="001C28E6"/>
    <w:rsid w:val="001D1D50"/>
    <w:rsid w:val="001D6745"/>
    <w:rsid w:val="001E446E"/>
    <w:rsid w:val="002154EE"/>
    <w:rsid w:val="00215DF4"/>
    <w:rsid w:val="0022743D"/>
    <w:rsid w:val="002276D2"/>
    <w:rsid w:val="0023283D"/>
    <w:rsid w:val="002347FC"/>
    <w:rsid w:val="002376B1"/>
    <w:rsid w:val="0026373E"/>
    <w:rsid w:val="00271C43"/>
    <w:rsid w:val="0027636D"/>
    <w:rsid w:val="00290728"/>
    <w:rsid w:val="00297381"/>
    <w:rsid w:val="002978F4"/>
    <w:rsid w:val="002B028D"/>
    <w:rsid w:val="002C7DD4"/>
    <w:rsid w:val="002E196B"/>
    <w:rsid w:val="002E6541"/>
    <w:rsid w:val="00312BF0"/>
    <w:rsid w:val="00334924"/>
    <w:rsid w:val="003409BC"/>
    <w:rsid w:val="00357185"/>
    <w:rsid w:val="00383829"/>
    <w:rsid w:val="003A0EF8"/>
    <w:rsid w:val="003A3046"/>
    <w:rsid w:val="003B29D3"/>
    <w:rsid w:val="003C7B8F"/>
    <w:rsid w:val="003C7EDF"/>
    <w:rsid w:val="003E66E3"/>
    <w:rsid w:val="003F4B29"/>
    <w:rsid w:val="00400EC6"/>
    <w:rsid w:val="0041337C"/>
    <w:rsid w:val="0042686F"/>
    <w:rsid w:val="004317D8"/>
    <w:rsid w:val="00434183"/>
    <w:rsid w:val="00443869"/>
    <w:rsid w:val="00447F32"/>
    <w:rsid w:val="00453FCD"/>
    <w:rsid w:val="004733A2"/>
    <w:rsid w:val="004A4D9B"/>
    <w:rsid w:val="004D6586"/>
    <w:rsid w:val="004E11DC"/>
    <w:rsid w:val="00525DDD"/>
    <w:rsid w:val="005409AC"/>
    <w:rsid w:val="005458E0"/>
    <w:rsid w:val="0055516A"/>
    <w:rsid w:val="00570EC7"/>
    <w:rsid w:val="005731DD"/>
    <w:rsid w:val="00584119"/>
    <w:rsid w:val="0058491B"/>
    <w:rsid w:val="00592EA5"/>
    <w:rsid w:val="00595B52"/>
    <w:rsid w:val="00596808"/>
    <w:rsid w:val="005A3170"/>
    <w:rsid w:val="005A7E8D"/>
    <w:rsid w:val="005E0FF9"/>
    <w:rsid w:val="006269D6"/>
    <w:rsid w:val="00627C12"/>
    <w:rsid w:val="006635B2"/>
    <w:rsid w:val="006714A4"/>
    <w:rsid w:val="00677396"/>
    <w:rsid w:val="0069200F"/>
    <w:rsid w:val="006A65CB"/>
    <w:rsid w:val="006A710F"/>
    <w:rsid w:val="006B3046"/>
    <w:rsid w:val="006C1530"/>
    <w:rsid w:val="006C3242"/>
    <w:rsid w:val="006C7CC0"/>
    <w:rsid w:val="006D6AE1"/>
    <w:rsid w:val="006D6C9B"/>
    <w:rsid w:val="006E1BAD"/>
    <w:rsid w:val="006F63F7"/>
    <w:rsid w:val="007025C7"/>
    <w:rsid w:val="00706D7A"/>
    <w:rsid w:val="00722F0D"/>
    <w:rsid w:val="0074420E"/>
    <w:rsid w:val="007702FE"/>
    <w:rsid w:val="00772E89"/>
    <w:rsid w:val="00783E26"/>
    <w:rsid w:val="007A5411"/>
    <w:rsid w:val="007A65D6"/>
    <w:rsid w:val="007B3E21"/>
    <w:rsid w:val="007C3BC7"/>
    <w:rsid w:val="007C3BCD"/>
    <w:rsid w:val="007D4ACF"/>
    <w:rsid w:val="007F0787"/>
    <w:rsid w:val="0080107D"/>
    <w:rsid w:val="00807031"/>
    <w:rsid w:val="00810B7B"/>
    <w:rsid w:val="00821EC6"/>
    <w:rsid w:val="0082358A"/>
    <w:rsid w:val="008235CD"/>
    <w:rsid w:val="008247DE"/>
    <w:rsid w:val="00840B10"/>
    <w:rsid w:val="008513CB"/>
    <w:rsid w:val="00873469"/>
    <w:rsid w:val="00877F4B"/>
    <w:rsid w:val="008A7F84"/>
    <w:rsid w:val="008C3F0F"/>
    <w:rsid w:val="008D204F"/>
    <w:rsid w:val="00916E5A"/>
    <w:rsid w:val="0091702E"/>
    <w:rsid w:val="00923B0C"/>
    <w:rsid w:val="00926F44"/>
    <w:rsid w:val="0094021C"/>
    <w:rsid w:val="0094432F"/>
    <w:rsid w:val="00952F86"/>
    <w:rsid w:val="00982B28"/>
    <w:rsid w:val="009B3AE4"/>
    <w:rsid w:val="009C5B66"/>
    <w:rsid w:val="009D313F"/>
    <w:rsid w:val="00A11A87"/>
    <w:rsid w:val="00A22195"/>
    <w:rsid w:val="00A31C00"/>
    <w:rsid w:val="00A47A5A"/>
    <w:rsid w:val="00A647B4"/>
    <w:rsid w:val="00A6683B"/>
    <w:rsid w:val="00A77C90"/>
    <w:rsid w:val="00A9156F"/>
    <w:rsid w:val="00A9196F"/>
    <w:rsid w:val="00A97F94"/>
    <w:rsid w:val="00AA7EA2"/>
    <w:rsid w:val="00AF492C"/>
    <w:rsid w:val="00AF6B5C"/>
    <w:rsid w:val="00B03099"/>
    <w:rsid w:val="00B05BC8"/>
    <w:rsid w:val="00B127A2"/>
    <w:rsid w:val="00B17C55"/>
    <w:rsid w:val="00B42074"/>
    <w:rsid w:val="00B56B95"/>
    <w:rsid w:val="00B57BD6"/>
    <w:rsid w:val="00B64B47"/>
    <w:rsid w:val="00B916A7"/>
    <w:rsid w:val="00BB0F08"/>
    <w:rsid w:val="00BC0E0F"/>
    <w:rsid w:val="00BC701B"/>
    <w:rsid w:val="00BE16BA"/>
    <w:rsid w:val="00BE19B9"/>
    <w:rsid w:val="00C002DE"/>
    <w:rsid w:val="00C44435"/>
    <w:rsid w:val="00C53BF8"/>
    <w:rsid w:val="00C54FD2"/>
    <w:rsid w:val="00C66157"/>
    <w:rsid w:val="00C674FE"/>
    <w:rsid w:val="00C67501"/>
    <w:rsid w:val="00C75633"/>
    <w:rsid w:val="00C81AA2"/>
    <w:rsid w:val="00C97007"/>
    <w:rsid w:val="00CE1C08"/>
    <w:rsid w:val="00CE2EE1"/>
    <w:rsid w:val="00CE3349"/>
    <w:rsid w:val="00CE36E5"/>
    <w:rsid w:val="00CF27F5"/>
    <w:rsid w:val="00CF3FFD"/>
    <w:rsid w:val="00D001E9"/>
    <w:rsid w:val="00D10CCF"/>
    <w:rsid w:val="00D22846"/>
    <w:rsid w:val="00D478AB"/>
    <w:rsid w:val="00D517B2"/>
    <w:rsid w:val="00D76170"/>
    <w:rsid w:val="00D77D0F"/>
    <w:rsid w:val="00D90368"/>
    <w:rsid w:val="00D90822"/>
    <w:rsid w:val="00DA1CF0"/>
    <w:rsid w:val="00DC1E02"/>
    <w:rsid w:val="00DC24B4"/>
    <w:rsid w:val="00DC5FB0"/>
    <w:rsid w:val="00DD1EBB"/>
    <w:rsid w:val="00DF16DC"/>
    <w:rsid w:val="00E1154E"/>
    <w:rsid w:val="00E45211"/>
    <w:rsid w:val="00E473C5"/>
    <w:rsid w:val="00E84438"/>
    <w:rsid w:val="00E92863"/>
    <w:rsid w:val="00E97B51"/>
    <w:rsid w:val="00EA495D"/>
    <w:rsid w:val="00EB796D"/>
    <w:rsid w:val="00EC364F"/>
    <w:rsid w:val="00EE3BBD"/>
    <w:rsid w:val="00EF037D"/>
    <w:rsid w:val="00F058DC"/>
    <w:rsid w:val="00F24FC4"/>
    <w:rsid w:val="00F2676C"/>
    <w:rsid w:val="00F514E9"/>
    <w:rsid w:val="00F52941"/>
    <w:rsid w:val="00F64926"/>
    <w:rsid w:val="00F84366"/>
    <w:rsid w:val="00F85089"/>
    <w:rsid w:val="00F974C5"/>
    <w:rsid w:val="00FA3596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4569F"/>
  <w15:chartTrackingRefBased/>
  <w15:docId w15:val="{08003C77-FE38-4410-804F-1B3CF6EA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Arabic-IR</dc:creator>
  <cp:keywords/>
  <dc:description/>
  <cp:lastModifiedBy>TSB</cp:lastModifiedBy>
  <cp:revision>5</cp:revision>
  <dcterms:created xsi:type="dcterms:W3CDTF">2023-10-13T13:56:00Z</dcterms:created>
  <dcterms:modified xsi:type="dcterms:W3CDTF">2023-11-22T14:04:00Z</dcterms:modified>
</cp:coreProperties>
</file>