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70"/>
        <w:gridCol w:w="3650"/>
        <w:gridCol w:w="2977"/>
        <w:gridCol w:w="1984"/>
      </w:tblGrid>
      <w:tr w:rsidR="00852B82" w:rsidRPr="00D7384A" w14:paraId="13E39A66" w14:textId="77777777" w:rsidTr="003A4B29">
        <w:trPr>
          <w:trHeight w:val="1282"/>
          <w:jc w:val="center"/>
        </w:trPr>
        <w:tc>
          <w:tcPr>
            <w:tcW w:w="1170" w:type="dxa"/>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627" w:type="dxa"/>
            <w:gridSpan w:val="2"/>
            <w:shd w:val="clear" w:color="auto" w:fill="auto"/>
            <w:tcMar>
              <w:left w:w="142" w:type="dxa"/>
            </w:tcMar>
            <w:vAlign w:val="center"/>
          </w:tcPr>
          <w:p w14:paraId="2FA5FD0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DEA0151"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rPr>
            </w:pPr>
          </w:p>
        </w:tc>
      </w:tr>
      <w:tr w:rsidR="00852B82" w:rsidRPr="008C682F" w14:paraId="43C905BB" w14:textId="77777777" w:rsidTr="006E0B19">
        <w:trPr>
          <w:trHeight w:val="80"/>
          <w:jc w:val="center"/>
        </w:trPr>
        <w:tc>
          <w:tcPr>
            <w:tcW w:w="4820" w:type="dxa"/>
            <w:gridSpan w:val="2"/>
            <w:vAlign w:val="center"/>
          </w:tcPr>
          <w:p w14:paraId="1DA70469" w14:textId="77777777" w:rsidR="00852B82" w:rsidRPr="008C682F" w:rsidRDefault="00852B82" w:rsidP="001F3BDD">
            <w:pPr>
              <w:pStyle w:val="Tabletext"/>
              <w:spacing w:after="60"/>
              <w:jc w:val="right"/>
              <w:rPr>
                <w:sz w:val="22"/>
                <w:szCs w:val="22"/>
              </w:rPr>
            </w:pPr>
          </w:p>
        </w:tc>
        <w:tc>
          <w:tcPr>
            <w:tcW w:w="4961" w:type="dxa"/>
            <w:gridSpan w:val="2"/>
            <w:vAlign w:val="center"/>
          </w:tcPr>
          <w:p w14:paraId="2B610351" w14:textId="71AC6011" w:rsidR="00852B82" w:rsidRPr="008C682F" w:rsidRDefault="006E0B19" w:rsidP="00067FDC">
            <w:pPr>
              <w:pStyle w:val="Tabletext"/>
              <w:spacing w:before="120" w:after="60"/>
              <w:rPr>
                <w:sz w:val="22"/>
                <w:szCs w:val="22"/>
              </w:rPr>
            </w:pPr>
            <w:r w:rsidRPr="00F021C5">
              <w:rPr>
                <w:sz w:val="22"/>
                <w:szCs w:val="22"/>
              </w:rPr>
              <w:t xml:space="preserve">Geneva, </w:t>
            </w:r>
            <w:r w:rsidR="005F758C">
              <w:rPr>
                <w:sz w:val="22"/>
                <w:szCs w:val="22"/>
              </w:rPr>
              <w:t>11</w:t>
            </w:r>
            <w:r w:rsidR="00E33303">
              <w:rPr>
                <w:sz w:val="22"/>
                <w:szCs w:val="22"/>
              </w:rPr>
              <w:t xml:space="preserve"> October</w:t>
            </w:r>
            <w:r w:rsidR="00F620EF">
              <w:rPr>
                <w:sz w:val="22"/>
                <w:szCs w:val="22"/>
              </w:rPr>
              <w:t xml:space="preserve"> 2023</w:t>
            </w:r>
          </w:p>
        </w:tc>
      </w:tr>
      <w:tr w:rsidR="006E0B19" w:rsidRPr="008C682F" w14:paraId="1C87A4ED" w14:textId="77777777" w:rsidTr="003A4B29">
        <w:trPr>
          <w:trHeight w:val="746"/>
          <w:jc w:val="center"/>
        </w:trPr>
        <w:tc>
          <w:tcPr>
            <w:tcW w:w="1170" w:type="dxa"/>
          </w:tcPr>
          <w:p w14:paraId="11ED9F78" w14:textId="77777777" w:rsidR="006E0B19" w:rsidRPr="008C682F" w:rsidRDefault="006E0B19" w:rsidP="008C682F">
            <w:pPr>
              <w:pStyle w:val="Tabletext"/>
              <w:ind w:left="-110"/>
              <w:rPr>
                <w:sz w:val="22"/>
                <w:szCs w:val="22"/>
              </w:rPr>
            </w:pPr>
            <w:r w:rsidRPr="008C682F">
              <w:rPr>
                <w:b/>
                <w:sz w:val="22"/>
                <w:szCs w:val="22"/>
              </w:rPr>
              <w:t>Ref:</w:t>
            </w:r>
          </w:p>
        </w:tc>
        <w:tc>
          <w:tcPr>
            <w:tcW w:w="3650" w:type="dxa"/>
          </w:tcPr>
          <w:p w14:paraId="105A3A4B" w14:textId="522482DE" w:rsidR="006E0B19" w:rsidRPr="008C682F" w:rsidRDefault="006E0B19" w:rsidP="008C682F">
            <w:pPr>
              <w:pStyle w:val="Tabletext"/>
              <w:ind w:left="-106"/>
              <w:rPr>
                <w:b/>
                <w:bCs/>
                <w:sz w:val="22"/>
                <w:szCs w:val="22"/>
              </w:rPr>
            </w:pPr>
            <w:r w:rsidRPr="008C682F">
              <w:rPr>
                <w:b/>
                <w:bCs/>
                <w:sz w:val="22"/>
                <w:szCs w:val="22"/>
              </w:rPr>
              <w:t xml:space="preserve">TSB Circular </w:t>
            </w:r>
            <w:r w:rsidR="00E33303">
              <w:rPr>
                <w:b/>
                <w:bCs/>
                <w:sz w:val="22"/>
                <w:szCs w:val="22"/>
              </w:rPr>
              <w:t>142</w:t>
            </w:r>
          </w:p>
          <w:p w14:paraId="2526F998" w14:textId="707B0138" w:rsidR="006E0B19" w:rsidRPr="008C682F" w:rsidRDefault="006E0B19" w:rsidP="008C682F">
            <w:pPr>
              <w:pStyle w:val="Tabletext"/>
              <w:ind w:left="-106"/>
              <w:rPr>
                <w:sz w:val="22"/>
                <w:szCs w:val="22"/>
              </w:rPr>
            </w:pPr>
            <w:r w:rsidRPr="008C682F">
              <w:rPr>
                <w:sz w:val="22"/>
                <w:szCs w:val="22"/>
              </w:rPr>
              <w:t>SG17/XY</w:t>
            </w:r>
          </w:p>
        </w:tc>
        <w:tc>
          <w:tcPr>
            <w:tcW w:w="4961" w:type="dxa"/>
            <w:gridSpan w:val="2"/>
            <w:vMerge w:val="restart"/>
          </w:tcPr>
          <w:p w14:paraId="634200A0" w14:textId="77777777" w:rsidR="006E0B19" w:rsidRPr="008C682F" w:rsidRDefault="006E0B19" w:rsidP="006E0B19">
            <w:pPr>
              <w:pStyle w:val="Tabletext"/>
              <w:rPr>
                <w:sz w:val="22"/>
                <w:szCs w:val="22"/>
              </w:rPr>
            </w:pPr>
            <w:r w:rsidRPr="008C682F">
              <w:rPr>
                <w:b/>
                <w:sz w:val="22"/>
                <w:szCs w:val="22"/>
              </w:rPr>
              <w:t>To:</w:t>
            </w:r>
          </w:p>
          <w:p w14:paraId="5DCA1969" w14:textId="77777777" w:rsidR="006E0B19" w:rsidRDefault="006E0B19" w:rsidP="006E0B19">
            <w:pPr>
              <w:pStyle w:val="Tabletext"/>
              <w:ind w:left="283" w:hanging="283"/>
              <w:rPr>
                <w:sz w:val="22"/>
                <w:szCs w:val="22"/>
              </w:rPr>
            </w:pPr>
            <w:r w:rsidRPr="008C682F">
              <w:rPr>
                <w:sz w:val="22"/>
                <w:szCs w:val="22"/>
              </w:rPr>
              <w:t>-</w:t>
            </w:r>
            <w:r w:rsidRPr="008C682F">
              <w:rPr>
                <w:sz w:val="22"/>
                <w:szCs w:val="22"/>
              </w:rPr>
              <w:tab/>
              <w:t>Administrations of Member States of the Union</w:t>
            </w:r>
          </w:p>
          <w:p w14:paraId="2D3DC057" w14:textId="77777777" w:rsidR="008C682F" w:rsidRPr="008C682F" w:rsidRDefault="008C682F" w:rsidP="008C682F">
            <w:pPr>
              <w:pStyle w:val="Tabletext"/>
              <w:rPr>
                <w:sz w:val="22"/>
                <w:szCs w:val="22"/>
              </w:rPr>
            </w:pPr>
            <w:r w:rsidRPr="008C682F">
              <w:rPr>
                <w:b/>
                <w:sz w:val="22"/>
                <w:szCs w:val="22"/>
              </w:rPr>
              <w:t>Copy to:</w:t>
            </w:r>
          </w:p>
          <w:p w14:paraId="3508925D" w14:textId="77777777" w:rsidR="008C682F" w:rsidRPr="008C682F" w:rsidRDefault="008C682F" w:rsidP="008C682F">
            <w:pPr>
              <w:tabs>
                <w:tab w:val="clear" w:pos="794"/>
                <w:tab w:val="clear" w:pos="1191"/>
                <w:tab w:val="clear" w:pos="1588"/>
                <w:tab w:val="clear" w:pos="1985"/>
              </w:tabs>
              <w:spacing w:before="40" w:after="40"/>
              <w:ind w:left="283" w:hanging="391"/>
              <w:rPr>
                <w:sz w:val="22"/>
                <w:szCs w:val="22"/>
              </w:rPr>
            </w:pPr>
            <w:r w:rsidRPr="008C682F">
              <w:rPr>
                <w:sz w:val="22"/>
                <w:szCs w:val="22"/>
              </w:rPr>
              <w:t>-</w:t>
            </w:r>
            <w:r w:rsidRPr="008C682F">
              <w:rPr>
                <w:sz w:val="22"/>
                <w:szCs w:val="22"/>
              </w:rPr>
              <w:tab/>
              <w:t>ITU-T Sector Members;</w:t>
            </w:r>
          </w:p>
          <w:p w14:paraId="24E3BB93" w14:textId="77777777" w:rsidR="008C682F" w:rsidRPr="008C682F" w:rsidRDefault="008C682F" w:rsidP="008C682F">
            <w:pPr>
              <w:tabs>
                <w:tab w:val="clear" w:pos="794"/>
                <w:tab w:val="clear" w:pos="1191"/>
                <w:tab w:val="clear" w:pos="1588"/>
                <w:tab w:val="clear" w:pos="1985"/>
              </w:tabs>
              <w:spacing w:before="40" w:after="40"/>
              <w:ind w:left="283" w:hanging="391"/>
              <w:rPr>
                <w:sz w:val="22"/>
                <w:szCs w:val="22"/>
                <w:lang w:val="en-US"/>
              </w:rPr>
            </w:pPr>
            <w:r w:rsidRPr="008C682F">
              <w:rPr>
                <w:sz w:val="22"/>
                <w:szCs w:val="22"/>
                <w:lang w:val="en-US"/>
              </w:rPr>
              <w:t>-</w:t>
            </w:r>
            <w:r w:rsidRPr="008C682F">
              <w:rPr>
                <w:sz w:val="22"/>
                <w:szCs w:val="22"/>
                <w:lang w:val="en-US"/>
              </w:rPr>
              <w:tab/>
              <w:t>ITU-T Associates of Study Group 17;</w:t>
            </w:r>
          </w:p>
          <w:p w14:paraId="4F9FBC4F" w14:textId="77777777" w:rsidR="008C682F" w:rsidRPr="008C682F" w:rsidRDefault="008C682F" w:rsidP="008C682F">
            <w:pPr>
              <w:pStyle w:val="Tabletext"/>
              <w:ind w:left="283" w:hanging="391"/>
              <w:rPr>
                <w:sz w:val="22"/>
                <w:szCs w:val="22"/>
              </w:rPr>
            </w:pPr>
            <w:r w:rsidRPr="008C682F">
              <w:rPr>
                <w:sz w:val="22"/>
                <w:szCs w:val="22"/>
              </w:rPr>
              <w:t>-</w:t>
            </w:r>
            <w:r w:rsidRPr="008C682F">
              <w:rPr>
                <w:sz w:val="22"/>
                <w:szCs w:val="22"/>
              </w:rPr>
              <w:tab/>
              <w:t>ITU Academia</w:t>
            </w:r>
          </w:p>
          <w:p w14:paraId="3E080E99" w14:textId="77777777" w:rsidR="008C682F" w:rsidRPr="008C682F" w:rsidRDefault="008C682F" w:rsidP="008C682F">
            <w:pPr>
              <w:pStyle w:val="Tabletext"/>
              <w:tabs>
                <w:tab w:val="clear" w:pos="284"/>
                <w:tab w:val="clear" w:pos="567"/>
              </w:tabs>
              <w:ind w:left="283" w:hanging="388"/>
              <w:rPr>
                <w:sz w:val="22"/>
                <w:szCs w:val="22"/>
              </w:rPr>
            </w:pPr>
            <w:r w:rsidRPr="008C682F">
              <w:rPr>
                <w:sz w:val="22"/>
                <w:szCs w:val="22"/>
              </w:rPr>
              <w:t>-</w:t>
            </w:r>
            <w:r w:rsidRPr="008C682F">
              <w:rPr>
                <w:sz w:val="22"/>
                <w:szCs w:val="22"/>
              </w:rPr>
              <w:tab/>
              <w:t>The Chairman and Vice-Chairmen of ITU-T Study Group 17;</w:t>
            </w:r>
          </w:p>
          <w:p w14:paraId="5624CCA3" w14:textId="77777777" w:rsidR="008C682F" w:rsidRPr="008C682F" w:rsidRDefault="008C682F" w:rsidP="008C682F">
            <w:pPr>
              <w:pStyle w:val="Tabletext"/>
              <w:tabs>
                <w:tab w:val="clear" w:pos="284"/>
                <w:tab w:val="clear" w:pos="567"/>
              </w:tabs>
              <w:ind w:left="283" w:hanging="388"/>
              <w:rPr>
                <w:sz w:val="22"/>
                <w:szCs w:val="22"/>
              </w:rPr>
            </w:pPr>
            <w:r w:rsidRPr="008C682F">
              <w:rPr>
                <w:sz w:val="22"/>
                <w:szCs w:val="22"/>
              </w:rPr>
              <w:t>-</w:t>
            </w:r>
            <w:r w:rsidRPr="008C682F">
              <w:rPr>
                <w:sz w:val="22"/>
                <w:szCs w:val="22"/>
              </w:rPr>
              <w:tab/>
              <w:t>The Director of the Telecommunication Development Bureau;</w:t>
            </w:r>
          </w:p>
          <w:p w14:paraId="761EF41B" w14:textId="5CCB66E0" w:rsidR="008C682F" w:rsidRPr="008C682F" w:rsidRDefault="008C682F" w:rsidP="008C682F">
            <w:pPr>
              <w:pStyle w:val="Tabletext"/>
              <w:ind w:left="283" w:hanging="283"/>
              <w:rPr>
                <w:sz w:val="22"/>
                <w:szCs w:val="22"/>
              </w:rPr>
            </w:pPr>
            <w:r w:rsidRPr="008C682F">
              <w:rPr>
                <w:sz w:val="22"/>
                <w:szCs w:val="22"/>
              </w:rPr>
              <w:t>-</w:t>
            </w:r>
            <w:r w:rsidRPr="008C682F">
              <w:rPr>
                <w:sz w:val="22"/>
                <w:szCs w:val="22"/>
              </w:rPr>
              <w:tab/>
              <w:t>The Director of the Radiocommunication Bureau</w:t>
            </w:r>
          </w:p>
        </w:tc>
      </w:tr>
      <w:tr w:rsidR="006E0B19" w:rsidRPr="008C682F" w14:paraId="7B1C03BC" w14:textId="77777777" w:rsidTr="003A4B29">
        <w:trPr>
          <w:trHeight w:val="221"/>
          <w:jc w:val="center"/>
        </w:trPr>
        <w:tc>
          <w:tcPr>
            <w:tcW w:w="1170" w:type="dxa"/>
          </w:tcPr>
          <w:p w14:paraId="1ACEC7FB" w14:textId="77777777" w:rsidR="006E0B19" w:rsidRPr="008C682F" w:rsidRDefault="006E0B19" w:rsidP="008C682F">
            <w:pPr>
              <w:pStyle w:val="Tabletext"/>
              <w:ind w:left="-110"/>
              <w:rPr>
                <w:sz w:val="22"/>
                <w:szCs w:val="22"/>
              </w:rPr>
            </w:pPr>
            <w:r w:rsidRPr="008C682F">
              <w:rPr>
                <w:b/>
                <w:sz w:val="22"/>
                <w:szCs w:val="22"/>
              </w:rPr>
              <w:t>Tel:</w:t>
            </w:r>
          </w:p>
        </w:tc>
        <w:tc>
          <w:tcPr>
            <w:tcW w:w="3650" w:type="dxa"/>
          </w:tcPr>
          <w:p w14:paraId="09DA9E49" w14:textId="7EF2FF76" w:rsidR="006E0B19" w:rsidRPr="008C682F" w:rsidRDefault="006E0B19" w:rsidP="008C682F">
            <w:pPr>
              <w:pStyle w:val="Tabletext"/>
              <w:ind w:left="-106"/>
              <w:rPr>
                <w:b/>
                <w:sz w:val="22"/>
                <w:szCs w:val="22"/>
              </w:rPr>
            </w:pPr>
            <w:r w:rsidRPr="008C682F">
              <w:rPr>
                <w:sz w:val="22"/>
                <w:szCs w:val="22"/>
                <w:lang w:val="en-US"/>
              </w:rPr>
              <w:t>+41 22 730 6206</w:t>
            </w:r>
          </w:p>
        </w:tc>
        <w:tc>
          <w:tcPr>
            <w:tcW w:w="4961" w:type="dxa"/>
            <w:gridSpan w:val="2"/>
            <w:vMerge/>
          </w:tcPr>
          <w:p w14:paraId="22F70F8B" w14:textId="77777777" w:rsidR="006E0B19" w:rsidRPr="008C682F" w:rsidRDefault="006E0B19" w:rsidP="006E0B19">
            <w:pPr>
              <w:pStyle w:val="Tabletext"/>
              <w:ind w:left="142" w:hanging="142"/>
              <w:rPr>
                <w:sz w:val="22"/>
                <w:szCs w:val="22"/>
              </w:rPr>
            </w:pPr>
          </w:p>
        </w:tc>
      </w:tr>
      <w:tr w:rsidR="006E0B19" w:rsidRPr="008C682F" w14:paraId="0D921AEC" w14:textId="77777777" w:rsidTr="003A4B29">
        <w:trPr>
          <w:trHeight w:val="2344"/>
          <w:jc w:val="center"/>
        </w:trPr>
        <w:tc>
          <w:tcPr>
            <w:tcW w:w="1170" w:type="dxa"/>
          </w:tcPr>
          <w:p w14:paraId="73BABD7D" w14:textId="77777777" w:rsidR="006E0B19" w:rsidRDefault="006E0B19" w:rsidP="008C682F">
            <w:pPr>
              <w:pStyle w:val="Tabletext"/>
              <w:ind w:left="-110"/>
              <w:rPr>
                <w:b/>
                <w:sz w:val="22"/>
                <w:szCs w:val="22"/>
              </w:rPr>
            </w:pPr>
            <w:r w:rsidRPr="008C682F">
              <w:rPr>
                <w:b/>
                <w:sz w:val="22"/>
                <w:szCs w:val="22"/>
              </w:rPr>
              <w:t>Fax:</w:t>
            </w:r>
          </w:p>
          <w:p w14:paraId="7CC844FF" w14:textId="175AF053" w:rsidR="008C682F" w:rsidRPr="008C682F" w:rsidRDefault="008C682F" w:rsidP="008C682F">
            <w:pPr>
              <w:pStyle w:val="Tabletext"/>
              <w:ind w:left="-110"/>
              <w:rPr>
                <w:sz w:val="22"/>
                <w:szCs w:val="22"/>
              </w:rPr>
            </w:pPr>
            <w:r w:rsidRPr="008C682F">
              <w:rPr>
                <w:b/>
                <w:sz w:val="22"/>
                <w:szCs w:val="22"/>
              </w:rPr>
              <w:t>E-mail:</w:t>
            </w:r>
          </w:p>
        </w:tc>
        <w:tc>
          <w:tcPr>
            <w:tcW w:w="3650" w:type="dxa"/>
          </w:tcPr>
          <w:p w14:paraId="1608A65B" w14:textId="77777777" w:rsidR="006E0B19" w:rsidRDefault="006E0B19" w:rsidP="008C682F">
            <w:pPr>
              <w:pStyle w:val="Tabletext"/>
              <w:ind w:left="-106"/>
              <w:rPr>
                <w:sz w:val="22"/>
                <w:szCs w:val="22"/>
              </w:rPr>
            </w:pPr>
            <w:r w:rsidRPr="008C682F">
              <w:rPr>
                <w:sz w:val="22"/>
                <w:szCs w:val="22"/>
              </w:rPr>
              <w:t>+41 22 730 5853</w:t>
            </w:r>
          </w:p>
          <w:p w14:paraId="2A0BD4A9" w14:textId="035F2CEE" w:rsidR="008C682F" w:rsidRPr="008C682F" w:rsidRDefault="00913A26" w:rsidP="008C682F">
            <w:pPr>
              <w:pStyle w:val="Tabletext"/>
              <w:ind w:left="-106"/>
              <w:rPr>
                <w:sz w:val="22"/>
                <w:szCs w:val="22"/>
              </w:rPr>
            </w:pPr>
            <w:hyperlink r:id="rId8" w:history="1">
              <w:r w:rsidR="008C682F" w:rsidRPr="008C682F">
                <w:rPr>
                  <w:rStyle w:val="Hyperlink"/>
                  <w:sz w:val="22"/>
                  <w:szCs w:val="22"/>
                </w:rPr>
                <w:t>tsbsg17@itu.int</w:t>
              </w:r>
            </w:hyperlink>
          </w:p>
        </w:tc>
        <w:tc>
          <w:tcPr>
            <w:tcW w:w="4961" w:type="dxa"/>
            <w:gridSpan w:val="2"/>
            <w:vMerge/>
          </w:tcPr>
          <w:p w14:paraId="22EA3223" w14:textId="77777777" w:rsidR="006E0B19" w:rsidRPr="008C682F" w:rsidRDefault="006E0B19" w:rsidP="006E0B19">
            <w:pPr>
              <w:pStyle w:val="Tabletext"/>
              <w:ind w:left="142" w:hanging="142"/>
              <w:rPr>
                <w:sz w:val="22"/>
                <w:szCs w:val="22"/>
              </w:rPr>
            </w:pPr>
          </w:p>
        </w:tc>
      </w:tr>
      <w:tr w:rsidR="00852B82" w:rsidRPr="008C682F" w14:paraId="466A2A59" w14:textId="77777777" w:rsidTr="003A4B29">
        <w:trPr>
          <w:trHeight w:val="618"/>
          <w:jc w:val="center"/>
        </w:trPr>
        <w:tc>
          <w:tcPr>
            <w:tcW w:w="1170" w:type="dxa"/>
          </w:tcPr>
          <w:p w14:paraId="24BB4B6A" w14:textId="11900333" w:rsidR="00852B82" w:rsidRPr="008C682F" w:rsidRDefault="00691DAA" w:rsidP="008C682F">
            <w:pPr>
              <w:pStyle w:val="Tabletext"/>
              <w:ind w:left="-110"/>
              <w:rPr>
                <w:sz w:val="22"/>
                <w:szCs w:val="22"/>
              </w:rPr>
            </w:pPr>
            <w:r w:rsidRPr="008C682F">
              <w:rPr>
                <w:b/>
                <w:sz w:val="22"/>
                <w:szCs w:val="22"/>
              </w:rPr>
              <w:t>Subject:</w:t>
            </w:r>
          </w:p>
        </w:tc>
        <w:tc>
          <w:tcPr>
            <w:tcW w:w="8611" w:type="dxa"/>
            <w:gridSpan w:val="3"/>
          </w:tcPr>
          <w:p w14:paraId="4048DD9A" w14:textId="22F82252" w:rsidR="00852B82" w:rsidRPr="008C682F" w:rsidRDefault="0072062B" w:rsidP="00F620EF">
            <w:pPr>
              <w:pStyle w:val="Tabletext"/>
              <w:ind w:left="-106"/>
              <w:rPr>
                <w:sz w:val="22"/>
                <w:szCs w:val="22"/>
              </w:rPr>
            </w:pPr>
            <w:bookmarkStart w:id="0" w:name="_Hlk115258431"/>
            <w:r w:rsidRPr="008C682F">
              <w:rPr>
                <w:b/>
                <w:sz w:val="22"/>
                <w:szCs w:val="22"/>
              </w:rPr>
              <w:t>Member State c</w:t>
            </w:r>
            <w:r w:rsidR="00C007D7" w:rsidRPr="008C682F">
              <w:rPr>
                <w:b/>
                <w:sz w:val="22"/>
                <w:szCs w:val="22"/>
              </w:rPr>
              <w:t xml:space="preserve">onsultation on </w:t>
            </w:r>
            <w:r w:rsidR="0016049B" w:rsidRPr="008C682F">
              <w:rPr>
                <w:b/>
                <w:sz w:val="22"/>
                <w:szCs w:val="22"/>
              </w:rPr>
              <w:t xml:space="preserve">Determined </w:t>
            </w:r>
            <w:r w:rsidR="00D62CEF" w:rsidRPr="008C682F">
              <w:rPr>
                <w:b/>
                <w:sz w:val="22"/>
                <w:szCs w:val="22"/>
              </w:rPr>
              <w:t>draft</w:t>
            </w:r>
            <w:r w:rsidR="00212725" w:rsidRPr="008C682F">
              <w:rPr>
                <w:b/>
                <w:sz w:val="22"/>
                <w:szCs w:val="22"/>
              </w:rPr>
              <w:t xml:space="preserve"> </w:t>
            </w:r>
            <w:r w:rsidR="004C55F3" w:rsidRPr="008C682F">
              <w:rPr>
                <w:b/>
                <w:sz w:val="22"/>
                <w:szCs w:val="22"/>
              </w:rPr>
              <w:t>R</w:t>
            </w:r>
            <w:r w:rsidR="00212725" w:rsidRPr="008C682F">
              <w:rPr>
                <w:b/>
                <w:sz w:val="22"/>
                <w:szCs w:val="22"/>
              </w:rPr>
              <w:t>ecommendations</w:t>
            </w:r>
            <w:r w:rsidR="00D62CEF" w:rsidRPr="008C682F">
              <w:rPr>
                <w:b/>
                <w:sz w:val="22"/>
                <w:szCs w:val="22"/>
              </w:rPr>
              <w:t xml:space="preserve"> </w:t>
            </w:r>
            <w:bookmarkStart w:id="1" w:name="_Hlk113369711"/>
            <w:r w:rsidR="00A67008" w:rsidRPr="00A67008">
              <w:rPr>
                <w:b/>
                <w:sz w:val="22"/>
                <w:szCs w:val="22"/>
              </w:rPr>
              <w:t>ITU T X.1150 (X.saf</w:t>
            </w:r>
            <w:r w:rsidR="0013447B">
              <w:rPr>
                <w:b/>
                <w:sz w:val="22"/>
                <w:szCs w:val="22"/>
              </w:rPr>
              <w:t>-</w:t>
            </w:r>
            <w:r w:rsidR="00A67008" w:rsidRPr="00A67008">
              <w:rPr>
                <w:b/>
                <w:sz w:val="22"/>
                <w:szCs w:val="22"/>
              </w:rPr>
              <w:t>dfs), X.1221 (X.stie), X.1222 (X.taeii), X.1280 (X.oob-sa), X.1281 (X.osia), Amendment 1 to X.1352, revised X1373, and X1818 (X.5Gsec-ctrl)</w:t>
            </w:r>
            <w:r w:rsidR="003A4B29">
              <w:rPr>
                <w:b/>
                <w:sz w:val="22"/>
                <w:szCs w:val="22"/>
              </w:rPr>
              <w:t xml:space="preserve">, </w:t>
            </w:r>
            <w:r w:rsidR="002354E7">
              <w:rPr>
                <w:b/>
                <w:sz w:val="22"/>
                <w:szCs w:val="22"/>
              </w:rPr>
              <w:t>proposed</w:t>
            </w:r>
            <w:r w:rsidR="009C0CA1">
              <w:rPr>
                <w:b/>
                <w:sz w:val="22"/>
                <w:szCs w:val="22"/>
              </w:rPr>
              <w:t xml:space="preserve"> </w:t>
            </w:r>
            <w:bookmarkEnd w:id="1"/>
            <w:r w:rsidR="0006765F" w:rsidRPr="008C682F">
              <w:rPr>
                <w:b/>
                <w:sz w:val="22"/>
                <w:szCs w:val="22"/>
              </w:rPr>
              <w:t>for approval</w:t>
            </w:r>
            <w:r w:rsidR="00691DAA" w:rsidRPr="008C682F">
              <w:rPr>
                <w:b/>
                <w:sz w:val="22"/>
                <w:szCs w:val="22"/>
              </w:rPr>
              <w:t xml:space="preserve"> </w:t>
            </w:r>
            <w:r w:rsidR="00C007D7" w:rsidRPr="008C682F">
              <w:rPr>
                <w:b/>
                <w:sz w:val="22"/>
                <w:szCs w:val="22"/>
              </w:rPr>
              <w:t xml:space="preserve">at </w:t>
            </w:r>
            <w:r w:rsidR="0016049B" w:rsidRPr="008C682F">
              <w:rPr>
                <w:b/>
                <w:sz w:val="22"/>
                <w:szCs w:val="22"/>
              </w:rPr>
              <w:t>the</w:t>
            </w:r>
            <w:r w:rsidR="00C007D7" w:rsidRPr="008C682F">
              <w:rPr>
                <w:b/>
                <w:sz w:val="22"/>
                <w:szCs w:val="22"/>
              </w:rPr>
              <w:t xml:space="preserve"> meeting of ITU-T Study Group </w:t>
            </w:r>
            <w:r w:rsidR="003F775D" w:rsidRPr="008C682F">
              <w:rPr>
                <w:b/>
                <w:sz w:val="22"/>
                <w:szCs w:val="22"/>
              </w:rPr>
              <w:t>17</w:t>
            </w:r>
            <w:r w:rsidR="002354E7">
              <w:rPr>
                <w:b/>
                <w:sz w:val="22"/>
                <w:szCs w:val="22"/>
              </w:rPr>
              <w:t xml:space="preserve">, </w:t>
            </w:r>
            <w:r w:rsidR="003A4B29" w:rsidRPr="00476BC7">
              <w:rPr>
                <w:b/>
                <w:sz w:val="22"/>
                <w:szCs w:val="22"/>
              </w:rPr>
              <w:t>20 </w:t>
            </w:r>
            <w:r w:rsidR="00E33303" w:rsidRPr="00476BC7">
              <w:rPr>
                <w:b/>
                <w:sz w:val="22"/>
                <w:szCs w:val="22"/>
              </w:rPr>
              <w:t>February</w:t>
            </w:r>
            <w:r w:rsidR="00AC33F3" w:rsidRPr="00476BC7">
              <w:rPr>
                <w:b/>
                <w:sz w:val="22"/>
                <w:szCs w:val="22"/>
              </w:rPr>
              <w:t xml:space="preserve"> </w:t>
            </w:r>
            <w:r w:rsidR="003A4B29" w:rsidRPr="00476BC7">
              <w:rPr>
                <w:b/>
                <w:sz w:val="22"/>
                <w:szCs w:val="22"/>
              </w:rPr>
              <w:t xml:space="preserve">– 1 March </w:t>
            </w:r>
            <w:r w:rsidR="00AC33F3" w:rsidRPr="00476BC7">
              <w:rPr>
                <w:b/>
                <w:sz w:val="22"/>
                <w:szCs w:val="22"/>
              </w:rPr>
              <w:t>202</w:t>
            </w:r>
            <w:bookmarkEnd w:id="0"/>
            <w:r w:rsidR="00E33303" w:rsidRPr="00476BC7">
              <w:rPr>
                <w:b/>
                <w:sz w:val="22"/>
                <w:szCs w:val="22"/>
              </w:rPr>
              <w:t>4</w:t>
            </w:r>
          </w:p>
        </w:tc>
      </w:tr>
    </w:tbl>
    <w:p w14:paraId="71E76428" w14:textId="5AAB516D" w:rsidR="00852B82" w:rsidRPr="008C682F" w:rsidRDefault="00691DAA" w:rsidP="00733A9C">
      <w:pPr>
        <w:spacing w:before="80"/>
        <w:rPr>
          <w:sz w:val="22"/>
          <w:szCs w:val="22"/>
        </w:rPr>
      </w:pPr>
      <w:r w:rsidRPr="008C682F">
        <w:rPr>
          <w:sz w:val="22"/>
          <w:szCs w:val="22"/>
        </w:rPr>
        <w:t>Dear Sir/Madam,</w:t>
      </w:r>
    </w:p>
    <w:p w14:paraId="54FA4BD7" w14:textId="2E29F374" w:rsidR="00E32F10" w:rsidRPr="008C682F" w:rsidRDefault="00691DAA" w:rsidP="00733A9C">
      <w:pPr>
        <w:spacing w:before="80"/>
        <w:rPr>
          <w:sz w:val="22"/>
          <w:szCs w:val="22"/>
        </w:rPr>
      </w:pPr>
      <w:r w:rsidRPr="008C682F">
        <w:rPr>
          <w:bCs/>
          <w:sz w:val="22"/>
          <w:szCs w:val="22"/>
        </w:rPr>
        <w:t>1</w:t>
      </w:r>
      <w:r w:rsidRPr="008C682F">
        <w:rPr>
          <w:sz w:val="22"/>
          <w:szCs w:val="22"/>
        </w:rPr>
        <w:tab/>
      </w:r>
      <w:r w:rsidR="00C007D7" w:rsidRPr="008C682F">
        <w:rPr>
          <w:sz w:val="22"/>
          <w:szCs w:val="22"/>
        </w:rPr>
        <w:t xml:space="preserve">ITU-T Study </w:t>
      </w:r>
      <w:r w:rsidR="003F775D" w:rsidRPr="008C682F">
        <w:rPr>
          <w:sz w:val="22"/>
          <w:szCs w:val="22"/>
        </w:rPr>
        <w:t xml:space="preserve">Group 17 (Security) </w:t>
      </w:r>
      <w:r w:rsidRPr="008C682F">
        <w:rPr>
          <w:sz w:val="22"/>
          <w:szCs w:val="22"/>
        </w:rPr>
        <w:t>intends to apply the</w:t>
      </w:r>
      <w:r w:rsidR="0016049B" w:rsidRPr="008C682F">
        <w:rPr>
          <w:sz w:val="22"/>
          <w:szCs w:val="22"/>
        </w:rPr>
        <w:t xml:space="preserve"> Traditional Approval P</w:t>
      </w:r>
      <w:r w:rsidRPr="008C682F">
        <w:rPr>
          <w:sz w:val="22"/>
          <w:szCs w:val="22"/>
        </w:rPr>
        <w:t xml:space="preserve">rocedure </w:t>
      </w:r>
      <w:r w:rsidR="0006765F" w:rsidRPr="008C682F">
        <w:rPr>
          <w:sz w:val="22"/>
          <w:szCs w:val="22"/>
        </w:rPr>
        <w:t xml:space="preserve">as </w:t>
      </w:r>
      <w:r w:rsidRPr="008C682F">
        <w:rPr>
          <w:sz w:val="22"/>
          <w:szCs w:val="22"/>
        </w:rPr>
        <w:t xml:space="preserve">described in </w:t>
      </w:r>
      <w:r w:rsidR="00B45C37" w:rsidRPr="008C682F">
        <w:rPr>
          <w:sz w:val="22"/>
          <w:szCs w:val="22"/>
        </w:rPr>
        <w:t>Section</w:t>
      </w:r>
      <w:r w:rsidR="00C51F4B" w:rsidRPr="008C682F">
        <w:rPr>
          <w:sz w:val="22"/>
          <w:szCs w:val="22"/>
        </w:rPr>
        <w:t xml:space="preserve"> 9 of WTSA </w:t>
      </w:r>
      <w:r w:rsidRPr="008C682F">
        <w:rPr>
          <w:sz w:val="22"/>
          <w:szCs w:val="22"/>
        </w:rPr>
        <w:t>Resolution 1 (</w:t>
      </w:r>
      <w:r w:rsidR="00A4376F" w:rsidRPr="008C682F">
        <w:rPr>
          <w:sz w:val="22"/>
          <w:szCs w:val="22"/>
        </w:rPr>
        <w:t xml:space="preserve">Rev. </w:t>
      </w:r>
      <w:r w:rsidR="002F03A2">
        <w:rPr>
          <w:sz w:val="22"/>
          <w:szCs w:val="22"/>
        </w:rPr>
        <w:t>Geneva</w:t>
      </w:r>
      <w:r w:rsidRPr="008C682F">
        <w:rPr>
          <w:sz w:val="22"/>
          <w:szCs w:val="22"/>
        </w:rPr>
        <w:t>, 20</w:t>
      </w:r>
      <w:r w:rsidR="002F03A2">
        <w:rPr>
          <w:sz w:val="22"/>
          <w:szCs w:val="22"/>
        </w:rPr>
        <w:t>22</w:t>
      </w:r>
      <w:r w:rsidRPr="008C682F">
        <w:rPr>
          <w:sz w:val="22"/>
          <w:szCs w:val="22"/>
        </w:rPr>
        <w:t>) for the approval of the above-mentioned draft Recommendations</w:t>
      </w:r>
      <w:r w:rsidR="00C007D7" w:rsidRPr="008C682F">
        <w:rPr>
          <w:sz w:val="22"/>
          <w:szCs w:val="22"/>
        </w:rPr>
        <w:t xml:space="preserve"> at its next meeting</w:t>
      </w:r>
      <w:r w:rsidR="00476BC7">
        <w:rPr>
          <w:sz w:val="22"/>
          <w:szCs w:val="22"/>
        </w:rPr>
        <w:t xml:space="preserve"> in </w:t>
      </w:r>
      <w:r w:rsidR="00913A26">
        <w:rPr>
          <w:sz w:val="22"/>
          <w:szCs w:val="22"/>
        </w:rPr>
        <w:t>Geneva</w:t>
      </w:r>
      <w:r w:rsidR="00E33303">
        <w:rPr>
          <w:sz w:val="22"/>
          <w:szCs w:val="22"/>
        </w:rPr>
        <w:t>,</w:t>
      </w:r>
      <w:r w:rsidR="00C007D7" w:rsidRPr="008C682F">
        <w:rPr>
          <w:sz w:val="22"/>
          <w:szCs w:val="22"/>
        </w:rPr>
        <w:t xml:space="preserve"> </w:t>
      </w:r>
      <w:r w:rsidR="003A4B29" w:rsidRPr="00476BC7">
        <w:rPr>
          <w:sz w:val="22"/>
          <w:szCs w:val="22"/>
        </w:rPr>
        <w:t xml:space="preserve">20 February – 1 March </w:t>
      </w:r>
      <w:r w:rsidR="00C545A3" w:rsidRPr="00476BC7">
        <w:rPr>
          <w:sz w:val="22"/>
          <w:szCs w:val="22"/>
        </w:rPr>
        <w:t>202</w:t>
      </w:r>
      <w:r w:rsidR="00E33303" w:rsidRPr="00476BC7">
        <w:rPr>
          <w:sz w:val="22"/>
          <w:szCs w:val="22"/>
        </w:rPr>
        <w:t>4</w:t>
      </w:r>
      <w:r w:rsidR="00733B5C" w:rsidRPr="008C682F">
        <w:rPr>
          <w:sz w:val="22"/>
          <w:szCs w:val="22"/>
        </w:rPr>
        <w:t xml:space="preserve">. The agenda and all relevant information concerning the ITU-T Study Group </w:t>
      </w:r>
      <w:r w:rsidR="00074D44" w:rsidRPr="008C682F">
        <w:rPr>
          <w:sz w:val="22"/>
          <w:szCs w:val="22"/>
        </w:rPr>
        <w:t>17</w:t>
      </w:r>
      <w:r w:rsidR="00733B5C" w:rsidRPr="008C682F">
        <w:rPr>
          <w:sz w:val="22"/>
          <w:szCs w:val="22"/>
        </w:rPr>
        <w:t xml:space="preserve"> meeting will be available in Collective letter </w:t>
      </w:r>
      <w:hyperlink r:id="rId9" w:history="1">
        <w:r w:rsidR="00E33303">
          <w:rPr>
            <w:rStyle w:val="Hyperlink"/>
            <w:rFonts w:asciiTheme="minorHAnsi" w:hAnsiTheme="minorHAnsi" w:cstheme="minorHAnsi"/>
            <w:sz w:val="22"/>
            <w:szCs w:val="22"/>
          </w:rPr>
          <w:t>6</w:t>
        </w:r>
        <w:r w:rsidR="002F03A2">
          <w:rPr>
            <w:rStyle w:val="Hyperlink"/>
            <w:rFonts w:asciiTheme="minorHAnsi" w:hAnsiTheme="minorHAnsi" w:cstheme="minorHAnsi"/>
            <w:sz w:val="22"/>
            <w:szCs w:val="22"/>
          </w:rPr>
          <w:t>/17</w:t>
        </w:r>
      </w:hyperlink>
      <w:r w:rsidR="00733B5C" w:rsidRPr="008C682F">
        <w:rPr>
          <w:sz w:val="22"/>
          <w:szCs w:val="22"/>
        </w:rPr>
        <w:t>.</w:t>
      </w:r>
    </w:p>
    <w:p w14:paraId="213C53F2" w14:textId="2E1D8721" w:rsidR="007C7DA8" w:rsidRPr="008C682F" w:rsidRDefault="007C7DA8" w:rsidP="00733A9C">
      <w:pPr>
        <w:spacing w:before="80"/>
        <w:rPr>
          <w:sz w:val="22"/>
          <w:szCs w:val="22"/>
        </w:rPr>
      </w:pPr>
      <w:r w:rsidRPr="008C682F">
        <w:rPr>
          <w:bCs/>
          <w:sz w:val="22"/>
          <w:szCs w:val="22"/>
        </w:rPr>
        <w:t>2</w:t>
      </w:r>
      <w:r w:rsidRPr="008C682F">
        <w:rPr>
          <w:sz w:val="22"/>
          <w:szCs w:val="22"/>
        </w:rPr>
        <w:tab/>
        <w:t xml:space="preserve">The titles, summaries and locations of the draft ITU-T Recommendations proposed for approval </w:t>
      </w:r>
      <w:r w:rsidR="00C51F4B" w:rsidRPr="008C682F">
        <w:rPr>
          <w:sz w:val="22"/>
          <w:szCs w:val="22"/>
        </w:rPr>
        <w:t>can</w:t>
      </w:r>
      <w:r w:rsidRPr="008C682F">
        <w:rPr>
          <w:sz w:val="22"/>
          <w:szCs w:val="22"/>
        </w:rPr>
        <w:t xml:space="preserve"> be found in </w:t>
      </w:r>
      <w:r w:rsidRPr="008C682F">
        <w:rPr>
          <w:b/>
          <w:bCs/>
          <w:sz w:val="22"/>
          <w:szCs w:val="22"/>
        </w:rPr>
        <w:t>Annex 1</w:t>
      </w:r>
      <w:r w:rsidRPr="008C682F">
        <w:rPr>
          <w:sz w:val="22"/>
          <w:szCs w:val="22"/>
        </w:rPr>
        <w:t>.</w:t>
      </w:r>
    </w:p>
    <w:p w14:paraId="15DE3623" w14:textId="343B3E55" w:rsidR="00447CD5" w:rsidRPr="00497F59" w:rsidRDefault="008450C6" w:rsidP="00733A9C">
      <w:pPr>
        <w:spacing w:before="80"/>
        <w:rPr>
          <w:sz w:val="22"/>
          <w:szCs w:val="22"/>
        </w:rPr>
      </w:pPr>
      <w:r w:rsidRPr="00497F59">
        <w:rPr>
          <w:sz w:val="22"/>
          <w:szCs w:val="22"/>
        </w:rPr>
        <w:t xml:space="preserve">TSB NOTE 1 </w:t>
      </w:r>
      <w:r w:rsidR="002354E7" w:rsidRPr="00497F59">
        <w:rPr>
          <w:sz w:val="22"/>
          <w:szCs w:val="22"/>
        </w:rPr>
        <w:t>–</w:t>
      </w:r>
      <w:r w:rsidR="00DE4405" w:rsidRPr="00497F59">
        <w:rPr>
          <w:sz w:val="22"/>
          <w:szCs w:val="22"/>
        </w:rPr>
        <w:t xml:space="preserve"> Except for draft new Recommendation</w:t>
      </w:r>
      <w:r w:rsidR="00497F59" w:rsidRPr="00497F59">
        <w:rPr>
          <w:sz w:val="22"/>
          <w:szCs w:val="22"/>
        </w:rPr>
        <w:t>s</w:t>
      </w:r>
      <w:r w:rsidR="00DE4405" w:rsidRPr="00497F59">
        <w:rPr>
          <w:sz w:val="22"/>
          <w:szCs w:val="22"/>
        </w:rPr>
        <w:t xml:space="preserve"> </w:t>
      </w:r>
      <w:r w:rsidR="00497F59" w:rsidRPr="00497F59">
        <w:rPr>
          <w:sz w:val="22"/>
          <w:szCs w:val="22"/>
        </w:rPr>
        <w:t>X.1221 (X.stie), X.1222 (X.taeii)</w:t>
      </w:r>
      <w:r w:rsidR="00DE4405" w:rsidRPr="00497F59">
        <w:rPr>
          <w:sz w:val="22"/>
          <w:szCs w:val="22"/>
        </w:rPr>
        <w:t>, n</w:t>
      </w:r>
      <w:r w:rsidR="00447CD5" w:rsidRPr="00497F59">
        <w:rPr>
          <w:sz w:val="22"/>
          <w:szCs w:val="22"/>
        </w:rPr>
        <w:t>o ITU-T A.5 justification</w:t>
      </w:r>
      <w:r w:rsidR="00DE4405" w:rsidRPr="00497F59">
        <w:rPr>
          <w:sz w:val="22"/>
          <w:szCs w:val="22"/>
        </w:rPr>
        <w:t xml:space="preserve">s </w:t>
      </w:r>
      <w:r w:rsidR="00447CD5" w:rsidRPr="00497F59">
        <w:rPr>
          <w:sz w:val="22"/>
          <w:szCs w:val="22"/>
        </w:rPr>
        <w:t>ha</w:t>
      </w:r>
      <w:r w:rsidR="00DE4405" w:rsidRPr="00497F59">
        <w:rPr>
          <w:sz w:val="22"/>
          <w:szCs w:val="22"/>
        </w:rPr>
        <w:t>ve</w:t>
      </w:r>
      <w:r w:rsidR="00447CD5" w:rsidRPr="00497F59">
        <w:rPr>
          <w:sz w:val="22"/>
          <w:szCs w:val="22"/>
        </w:rPr>
        <w:t xml:space="preserve"> been </w:t>
      </w:r>
      <w:r w:rsidR="00DE4405" w:rsidRPr="00497F59">
        <w:rPr>
          <w:sz w:val="22"/>
          <w:szCs w:val="22"/>
        </w:rPr>
        <w:t>submitted</w:t>
      </w:r>
      <w:r w:rsidR="00447CD5" w:rsidRPr="00497F59">
        <w:rPr>
          <w:sz w:val="22"/>
          <w:szCs w:val="22"/>
        </w:rPr>
        <w:t xml:space="preserve"> for </w:t>
      </w:r>
      <w:r w:rsidR="00DE4405" w:rsidRPr="00497F59">
        <w:rPr>
          <w:sz w:val="22"/>
          <w:szCs w:val="22"/>
        </w:rPr>
        <w:t xml:space="preserve">the </w:t>
      </w:r>
      <w:r w:rsidR="00447CD5" w:rsidRPr="00497F59">
        <w:rPr>
          <w:sz w:val="22"/>
          <w:szCs w:val="22"/>
        </w:rPr>
        <w:t>other determined texts.</w:t>
      </w:r>
    </w:p>
    <w:p w14:paraId="1600B36F" w14:textId="050197DE" w:rsidR="008450C6" w:rsidRPr="008C682F" w:rsidRDefault="008450C6" w:rsidP="00733A9C">
      <w:pPr>
        <w:spacing w:before="80"/>
        <w:rPr>
          <w:sz w:val="22"/>
          <w:szCs w:val="22"/>
        </w:rPr>
      </w:pPr>
      <w:r w:rsidRPr="00476BC7">
        <w:rPr>
          <w:sz w:val="22"/>
          <w:szCs w:val="22"/>
        </w:rPr>
        <w:t xml:space="preserve">TSB NOTE 2 – As of the date of this Circular, no IPR statement had been received by TSB </w:t>
      </w:r>
      <w:r w:rsidR="00DE4405" w:rsidRPr="00476BC7">
        <w:rPr>
          <w:sz w:val="22"/>
          <w:szCs w:val="22"/>
        </w:rPr>
        <w:t>for</w:t>
      </w:r>
      <w:r w:rsidRPr="00476BC7">
        <w:rPr>
          <w:sz w:val="22"/>
          <w:szCs w:val="22"/>
        </w:rPr>
        <w:t xml:space="preserve"> any of these </w:t>
      </w:r>
      <w:r w:rsidR="00DE4405" w:rsidRPr="00476BC7">
        <w:rPr>
          <w:sz w:val="22"/>
          <w:szCs w:val="22"/>
        </w:rPr>
        <w:t xml:space="preserve">determined </w:t>
      </w:r>
      <w:r w:rsidRPr="00476BC7">
        <w:rPr>
          <w:sz w:val="22"/>
          <w:szCs w:val="22"/>
        </w:rPr>
        <w:t xml:space="preserve">texts. For up-to-date information, members are invited to consult the IPR database at </w:t>
      </w:r>
      <w:hyperlink r:id="rId10" w:history="1">
        <w:r w:rsidRPr="00476BC7">
          <w:rPr>
            <w:rStyle w:val="Hyperlink"/>
            <w:sz w:val="22"/>
            <w:szCs w:val="22"/>
          </w:rPr>
          <w:t>www.itu.int/ipr/</w:t>
        </w:r>
      </w:hyperlink>
      <w:r w:rsidRPr="00476BC7">
        <w:rPr>
          <w:sz w:val="22"/>
          <w:szCs w:val="22"/>
        </w:rPr>
        <w:t>.</w:t>
      </w:r>
    </w:p>
    <w:p w14:paraId="226D206A" w14:textId="51E34869" w:rsidR="00A43CA0" w:rsidRPr="008C682F" w:rsidRDefault="007C7DA8" w:rsidP="00733A9C">
      <w:pPr>
        <w:spacing w:before="80"/>
        <w:rPr>
          <w:sz w:val="22"/>
          <w:szCs w:val="22"/>
        </w:rPr>
      </w:pPr>
      <w:r w:rsidRPr="008C682F">
        <w:rPr>
          <w:bCs/>
          <w:sz w:val="22"/>
          <w:szCs w:val="22"/>
        </w:rPr>
        <w:t>3</w:t>
      </w:r>
      <w:r w:rsidR="00691DAA" w:rsidRPr="008C682F">
        <w:rPr>
          <w:sz w:val="22"/>
          <w:szCs w:val="22"/>
        </w:rPr>
        <w:tab/>
      </w:r>
      <w:r w:rsidR="00B233EC" w:rsidRPr="008C682F">
        <w:rPr>
          <w:rFonts w:asciiTheme="minorHAnsi" w:hAnsiTheme="minorHAnsi" w:cstheme="minorHAnsi"/>
          <w:sz w:val="22"/>
          <w:szCs w:val="22"/>
        </w:rPr>
        <w:t>This Ci</w:t>
      </w:r>
      <w:r w:rsidR="00B233EC" w:rsidRPr="009549AB">
        <w:rPr>
          <w:rFonts w:asciiTheme="minorHAnsi" w:hAnsiTheme="minorHAnsi" w:cstheme="minorHAnsi"/>
          <w:sz w:val="22"/>
          <w:szCs w:val="22"/>
        </w:rPr>
        <w:t xml:space="preserve">rcular initiates the formal consultation with ITU Member States on whether these texts may be considered for approval at the upcoming meeting, in accordance with clause 9.4 of Resolution 1. </w:t>
      </w:r>
      <w:r w:rsidR="00B233EC" w:rsidRPr="009549AB">
        <w:rPr>
          <w:sz w:val="22"/>
          <w:szCs w:val="22"/>
        </w:rPr>
        <w:t>Member</w:t>
      </w:r>
      <w:r w:rsidR="009549AB" w:rsidRPr="009549AB">
        <w:rPr>
          <w:sz w:val="22"/>
          <w:szCs w:val="22"/>
        </w:rPr>
        <w:t> </w:t>
      </w:r>
      <w:r w:rsidR="00B233EC" w:rsidRPr="009549AB">
        <w:rPr>
          <w:sz w:val="22"/>
          <w:szCs w:val="22"/>
        </w:rPr>
        <w:t>States</w:t>
      </w:r>
      <w:r w:rsidR="00B233EC" w:rsidRPr="009549AB">
        <w:rPr>
          <w:rFonts w:asciiTheme="minorHAnsi" w:hAnsiTheme="minorHAnsi" w:cstheme="minorHAnsi"/>
          <w:sz w:val="22"/>
          <w:szCs w:val="22"/>
        </w:rPr>
        <w:t xml:space="preserve"> are kindly requested to complete and return the form in </w:t>
      </w:r>
      <w:r w:rsidR="00B233EC" w:rsidRPr="009549AB">
        <w:rPr>
          <w:rFonts w:asciiTheme="minorHAnsi" w:hAnsiTheme="minorHAnsi" w:cstheme="minorHAnsi"/>
          <w:b/>
          <w:bCs/>
          <w:sz w:val="22"/>
          <w:szCs w:val="22"/>
        </w:rPr>
        <w:t>Annex 2</w:t>
      </w:r>
      <w:r w:rsidR="00B233EC" w:rsidRPr="009549AB">
        <w:rPr>
          <w:rFonts w:asciiTheme="minorHAnsi" w:hAnsiTheme="minorHAnsi" w:cstheme="minorHAnsi"/>
          <w:sz w:val="22"/>
          <w:szCs w:val="22"/>
        </w:rPr>
        <w:t xml:space="preserve"> by 2359 hours UTC on </w:t>
      </w:r>
      <w:r w:rsidR="003A4B29" w:rsidRPr="009549AB">
        <w:rPr>
          <w:rFonts w:asciiTheme="minorHAnsi" w:hAnsiTheme="minorHAnsi" w:cstheme="minorHAnsi"/>
          <w:b/>
          <w:bCs/>
          <w:sz w:val="22"/>
          <w:szCs w:val="22"/>
        </w:rPr>
        <w:t>8</w:t>
      </w:r>
      <w:r w:rsidR="009549AB">
        <w:rPr>
          <w:rFonts w:asciiTheme="minorHAnsi" w:hAnsiTheme="minorHAnsi" w:cstheme="minorHAnsi"/>
          <w:b/>
          <w:bCs/>
          <w:sz w:val="22"/>
          <w:szCs w:val="22"/>
        </w:rPr>
        <w:t> </w:t>
      </w:r>
      <w:r w:rsidR="003A4B29" w:rsidRPr="009549AB">
        <w:rPr>
          <w:rFonts w:asciiTheme="minorHAnsi" w:hAnsiTheme="minorHAnsi" w:cstheme="minorHAnsi"/>
          <w:b/>
          <w:bCs/>
          <w:sz w:val="22"/>
          <w:szCs w:val="22"/>
        </w:rPr>
        <w:t>February 2024</w:t>
      </w:r>
      <w:r w:rsidR="00733A9C" w:rsidRPr="009549AB">
        <w:rPr>
          <w:rFonts w:asciiTheme="minorHAnsi" w:hAnsiTheme="minorHAnsi" w:cstheme="minorHAnsi"/>
          <w:b/>
          <w:bCs/>
          <w:sz w:val="22"/>
          <w:szCs w:val="22"/>
        </w:rPr>
        <w:t>.</w:t>
      </w:r>
    </w:p>
    <w:p w14:paraId="46006D00" w14:textId="4305BE72" w:rsidR="00B233EC" w:rsidRPr="008C682F" w:rsidRDefault="006A2FAB" w:rsidP="00733A9C">
      <w:pPr>
        <w:keepNext/>
        <w:keepLines/>
        <w:spacing w:before="80"/>
        <w:rPr>
          <w:sz w:val="22"/>
          <w:szCs w:val="22"/>
        </w:rPr>
      </w:pPr>
      <w:r w:rsidRPr="008C682F">
        <w:rPr>
          <w:bCs/>
          <w:sz w:val="22"/>
          <w:szCs w:val="22"/>
        </w:rPr>
        <w:t>4</w:t>
      </w:r>
      <w:r w:rsidR="007C7DA8" w:rsidRPr="008C682F">
        <w:rPr>
          <w:sz w:val="22"/>
          <w:szCs w:val="22"/>
        </w:rPr>
        <w:tab/>
        <w:t xml:space="preserve">If 70% or more of the replies </w:t>
      </w:r>
      <w:r w:rsidR="00F751B3" w:rsidRPr="008C682F">
        <w:rPr>
          <w:sz w:val="22"/>
          <w:szCs w:val="22"/>
        </w:rPr>
        <w:t xml:space="preserve">from Member States </w:t>
      </w:r>
      <w:r w:rsidR="007C7DA8" w:rsidRPr="008C682F">
        <w:rPr>
          <w:sz w:val="22"/>
          <w:szCs w:val="22"/>
        </w:rPr>
        <w:t>support consideration for approva</w:t>
      </w:r>
      <w:r w:rsidR="00C51F4B" w:rsidRPr="008C682F">
        <w:rPr>
          <w:sz w:val="22"/>
          <w:szCs w:val="22"/>
        </w:rPr>
        <w:t>l</w:t>
      </w:r>
      <w:r w:rsidR="007C7DA8" w:rsidRPr="008C682F">
        <w:rPr>
          <w:sz w:val="22"/>
          <w:szCs w:val="22"/>
        </w:rPr>
        <w:t>, one Plenary session will be devote</w:t>
      </w:r>
      <w:r w:rsidR="003E07CD" w:rsidRPr="008C682F">
        <w:rPr>
          <w:sz w:val="22"/>
          <w:szCs w:val="22"/>
        </w:rPr>
        <w:t xml:space="preserve">d </w:t>
      </w:r>
      <w:r w:rsidR="007C7DA8" w:rsidRPr="008C682F">
        <w:rPr>
          <w:sz w:val="22"/>
          <w:szCs w:val="22"/>
        </w:rPr>
        <w:t>to apply the approval procedure.</w:t>
      </w:r>
      <w:r w:rsidR="00E54801" w:rsidRPr="008C682F">
        <w:rPr>
          <w:sz w:val="22"/>
          <w:szCs w:val="22"/>
        </w:rPr>
        <w:t xml:space="preserve"> Member States that do not assign authority to proceed should inform the Director of TSB of the reasons for this opinion and indicate the possible changes that would enable the work to progress.</w:t>
      </w:r>
    </w:p>
    <w:p w14:paraId="57856907" w14:textId="1B749F84" w:rsidR="00852B82" w:rsidRPr="008C682F" w:rsidRDefault="00691DAA" w:rsidP="00733A9C">
      <w:pPr>
        <w:keepNext/>
        <w:keepLines/>
        <w:spacing w:before="80"/>
        <w:rPr>
          <w:sz w:val="22"/>
          <w:szCs w:val="22"/>
        </w:rPr>
      </w:pPr>
      <w:r w:rsidRPr="008C682F">
        <w:rPr>
          <w:sz w:val="22"/>
          <w:szCs w:val="22"/>
        </w:rPr>
        <w:t>Yours faithfully,</w:t>
      </w:r>
    </w:p>
    <w:p w14:paraId="341B114D" w14:textId="64185A3A" w:rsidR="00852B82" w:rsidRPr="008C682F" w:rsidRDefault="002C5A87" w:rsidP="004815DF">
      <w:pPr>
        <w:spacing w:before="920"/>
        <w:rPr>
          <w:sz w:val="22"/>
          <w:szCs w:val="22"/>
        </w:rPr>
      </w:pPr>
      <w:r>
        <w:rPr>
          <w:noProof/>
          <w:sz w:val="22"/>
          <w:szCs w:val="22"/>
        </w:rPr>
        <w:drawing>
          <wp:anchor distT="0" distB="0" distL="114300" distR="114300" simplePos="0" relativeHeight="251659264" behindDoc="1" locked="0" layoutInCell="1" allowOverlap="1" wp14:anchorId="02A65743" wp14:editId="1E9D7F22">
            <wp:simplePos x="0" y="0"/>
            <wp:positionH relativeFrom="column">
              <wp:posOffset>0</wp:posOffset>
            </wp:positionH>
            <wp:positionV relativeFrom="paragraph">
              <wp:posOffset>132715</wp:posOffset>
            </wp:positionV>
            <wp:extent cx="729084" cy="307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29084" cy="307975"/>
                    </a:xfrm>
                    <a:prstGeom prst="rect">
                      <a:avLst/>
                    </a:prstGeom>
                  </pic:spPr>
                </pic:pic>
              </a:graphicData>
            </a:graphic>
            <wp14:sizeRelH relativeFrom="margin">
              <wp14:pctWidth>0</wp14:pctWidth>
            </wp14:sizeRelH>
            <wp14:sizeRelV relativeFrom="margin">
              <wp14:pctHeight>0</wp14:pctHeight>
            </wp14:sizeRelV>
          </wp:anchor>
        </w:drawing>
      </w:r>
      <w:r w:rsidR="004815DF" w:rsidRPr="004815DF">
        <w:rPr>
          <w:sz w:val="22"/>
          <w:szCs w:val="22"/>
        </w:rPr>
        <w:t>Seizo Onoe</w:t>
      </w:r>
      <w:r w:rsidR="00691DAA" w:rsidRPr="008C682F">
        <w:rPr>
          <w:sz w:val="22"/>
          <w:szCs w:val="22"/>
        </w:rPr>
        <w:br/>
        <w:t>Director of the Telecommunication</w:t>
      </w:r>
      <w:r w:rsidR="00691DAA" w:rsidRPr="008C682F">
        <w:rPr>
          <w:sz w:val="22"/>
          <w:szCs w:val="22"/>
        </w:rPr>
        <w:br/>
        <w:t>Standardization Bureau</w:t>
      </w:r>
    </w:p>
    <w:p w14:paraId="0D73960F" w14:textId="77777777" w:rsidR="00852B82" w:rsidRPr="008C682F" w:rsidRDefault="00691DAA" w:rsidP="00067FDC">
      <w:pPr>
        <w:rPr>
          <w:sz w:val="22"/>
          <w:szCs w:val="22"/>
        </w:rPr>
      </w:pPr>
      <w:r w:rsidRPr="008C682F">
        <w:rPr>
          <w:b/>
          <w:sz w:val="22"/>
          <w:szCs w:val="22"/>
        </w:rPr>
        <w:t>Annex</w:t>
      </w:r>
      <w:r w:rsidR="00F96117" w:rsidRPr="008C682F">
        <w:rPr>
          <w:b/>
          <w:sz w:val="22"/>
          <w:szCs w:val="22"/>
        </w:rPr>
        <w:t>es</w:t>
      </w:r>
      <w:r w:rsidRPr="008C682F">
        <w:rPr>
          <w:b/>
          <w:sz w:val="22"/>
          <w:szCs w:val="22"/>
        </w:rPr>
        <w:t xml:space="preserve">: </w:t>
      </w:r>
      <w:r w:rsidR="00F96117" w:rsidRPr="008C682F">
        <w:rPr>
          <w:bCs/>
          <w:sz w:val="22"/>
          <w:szCs w:val="22"/>
        </w:rPr>
        <w:t>2</w:t>
      </w:r>
      <w:r w:rsidRPr="008C682F">
        <w:rPr>
          <w:sz w:val="22"/>
          <w:szCs w:val="22"/>
        </w:rPr>
        <w:br w:type="page"/>
      </w:r>
    </w:p>
    <w:p w14:paraId="2650842F" w14:textId="77777777" w:rsidR="00852B82" w:rsidRPr="00D7384A" w:rsidRDefault="00C13D40" w:rsidP="007C7DA8">
      <w:pPr>
        <w:pStyle w:val="Annextitle"/>
      </w:pPr>
      <w:r>
        <w:lastRenderedPageBreak/>
        <w:t>Annex 1</w:t>
      </w:r>
    </w:p>
    <w:p w14:paraId="79EBC488" w14:textId="304053DD" w:rsidR="00852B82" w:rsidRPr="00D7384A" w:rsidRDefault="00691DAA" w:rsidP="00A279F9">
      <w:pPr>
        <w:pStyle w:val="Annextitle"/>
        <w:spacing w:before="120"/>
      </w:pPr>
      <w:r w:rsidRPr="00D7384A">
        <w:t>Summary and location</w:t>
      </w:r>
      <w:r w:rsidR="0006765F" w:rsidRPr="00D7384A">
        <w:t xml:space="preserve"> of Determined </w:t>
      </w:r>
      <w:r w:rsidR="002F03A2">
        <w:t>draft</w:t>
      </w:r>
      <w:r w:rsidR="008450C6" w:rsidRPr="008450C6">
        <w:t xml:space="preserve"> Recommendations </w:t>
      </w:r>
      <w:r w:rsidR="002F03A2">
        <w:br/>
      </w:r>
      <w:r w:rsidR="003A4B29" w:rsidRPr="003A4B29">
        <w:t>ITU T X.1150 (X.saf</w:t>
      </w:r>
      <w:r w:rsidR="0013447B">
        <w:t>-</w:t>
      </w:r>
      <w:r w:rsidR="003A4B29" w:rsidRPr="003A4B29">
        <w:t xml:space="preserve">dfs), </w:t>
      </w:r>
      <w:bookmarkStart w:id="2" w:name="_Hlk147301343"/>
      <w:r w:rsidR="003A4B29" w:rsidRPr="003A4B29">
        <w:t>X.1221 (X.stie)</w:t>
      </w:r>
      <w:bookmarkEnd w:id="2"/>
      <w:r w:rsidR="003A4B29" w:rsidRPr="003A4B29">
        <w:t xml:space="preserve">, X.1222 (X.taeii), X.1280 (X.oob-sa), X.1281 (X.osia), </w:t>
      </w:r>
      <w:r w:rsidR="00A67008">
        <w:t xml:space="preserve">Amendment 1 to </w:t>
      </w:r>
      <w:r w:rsidR="003A4B29" w:rsidRPr="003A4B29">
        <w:t xml:space="preserve">X.1352, </w:t>
      </w:r>
      <w:r w:rsidR="00A67008">
        <w:t xml:space="preserve">revised </w:t>
      </w:r>
      <w:r w:rsidR="003A4B29" w:rsidRPr="003A4B29">
        <w:t xml:space="preserve">X1373, </w:t>
      </w:r>
      <w:r w:rsidR="003A4B29">
        <w:t xml:space="preserve">and </w:t>
      </w:r>
      <w:r w:rsidR="003A4B29" w:rsidRPr="003A4B29">
        <w:t>X1818 (X.5Gsec-ctrl)</w:t>
      </w:r>
    </w:p>
    <w:p w14:paraId="64DF7DDB" w14:textId="1785A105" w:rsidR="00852B82" w:rsidRPr="005F363D" w:rsidRDefault="007C7DA8" w:rsidP="00A858B4">
      <w:pPr>
        <w:pStyle w:val="Heading1"/>
        <w:numPr>
          <w:ilvl w:val="0"/>
          <w:numId w:val="18"/>
        </w:numPr>
        <w:rPr>
          <w:sz w:val="24"/>
          <w:szCs w:val="24"/>
          <w:lang w:val="fr-CH"/>
        </w:rPr>
      </w:pPr>
      <w:r w:rsidRPr="005F363D">
        <w:rPr>
          <w:sz w:val="24"/>
          <w:szCs w:val="24"/>
          <w:lang w:val="fr-CH"/>
        </w:rPr>
        <w:t xml:space="preserve">Draft </w:t>
      </w:r>
      <w:r w:rsidR="00877EBD">
        <w:rPr>
          <w:sz w:val="24"/>
          <w:szCs w:val="24"/>
          <w:lang w:val="fr-CH"/>
        </w:rPr>
        <w:t>new</w:t>
      </w:r>
      <w:r w:rsidR="008450C6" w:rsidRPr="005F363D">
        <w:rPr>
          <w:sz w:val="24"/>
          <w:szCs w:val="24"/>
          <w:lang w:val="fr-CH"/>
        </w:rPr>
        <w:t xml:space="preserve"> Recommendation ITU-T </w:t>
      </w:r>
      <w:r w:rsidR="00335037" w:rsidRPr="00335037">
        <w:rPr>
          <w:sz w:val="24"/>
          <w:szCs w:val="24"/>
          <w:lang w:val="fr-CH"/>
        </w:rPr>
        <w:t>X.1150 (X.saf</w:t>
      </w:r>
      <w:r w:rsidR="0013447B">
        <w:rPr>
          <w:sz w:val="24"/>
          <w:szCs w:val="24"/>
          <w:lang w:val="fr-CH"/>
        </w:rPr>
        <w:t>-</w:t>
      </w:r>
      <w:r w:rsidR="00335037" w:rsidRPr="00335037">
        <w:rPr>
          <w:sz w:val="24"/>
          <w:szCs w:val="24"/>
          <w:lang w:val="fr-CH"/>
        </w:rPr>
        <w:t xml:space="preserve">dfs) </w:t>
      </w:r>
      <w:r w:rsidR="00087690" w:rsidRPr="005F363D">
        <w:rPr>
          <w:sz w:val="24"/>
          <w:szCs w:val="24"/>
          <w:lang w:val="fr-CH"/>
        </w:rPr>
        <w:t>[</w:t>
      </w:r>
      <w:hyperlink r:id="rId12" w:history="1">
        <w:r w:rsidR="00CA05C9" w:rsidRPr="005F363D">
          <w:rPr>
            <w:rStyle w:val="Hyperlink"/>
            <w:bCs/>
            <w:sz w:val="24"/>
            <w:szCs w:val="24"/>
            <w:lang w:val="fr-CH"/>
          </w:rPr>
          <w:t>R</w:t>
        </w:r>
        <w:r w:rsidR="00497F59">
          <w:rPr>
            <w:rStyle w:val="Hyperlink"/>
            <w:bCs/>
            <w:sz w:val="24"/>
            <w:szCs w:val="24"/>
            <w:lang w:val="fr-CH"/>
          </w:rPr>
          <w:t>50</w:t>
        </w:r>
      </w:hyperlink>
      <w:r w:rsidR="00087690" w:rsidRPr="005F363D">
        <w:rPr>
          <w:sz w:val="24"/>
          <w:szCs w:val="24"/>
          <w:lang w:val="fr-CH"/>
        </w:rPr>
        <w:t>]</w:t>
      </w:r>
    </w:p>
    <w:p w14:paraId="6CEC1C7D" w14:textId="699F917E" w:rsidR="007C7DA8" w:rsidRDefault="00877EBD" w:rsidP="00622A3E">
      <w:pPr>
        <w:rPr>
          <w:sz w:val="22"/>
          <w:szCs w:val="22"/>
        </w:rPr>
      </w:pPr>
      <w:r w:rsidRPr="00877EBD">
        <w:rPr>
          <w:sz w:val="22"/>
          <w:szCs w:val="22"/>
        </w:rPr>
        <w:t>Security assurance framework for digital financial services</w:t>
      </w:r>
    </w:p>
    <w:p w14:paraId="4A4BD366" w14:textId="77777777" w:rsidR="00877EBD" w:rsidRPr="005F363D" w:rsidRDefault="00877EBD" w:rsidP="00877EBD">
      <w:pPr>
        <w:pStyle w:val="Heading2"/>
        <w:rPr>
          <w:sz w:val="22"/>
          <w:szCs w:val="22"/>
        </w:rPr>
      </w:pPr>
      <w:r w:rsidRPr="005F363D">
        <w:rPr>
          <w:sz w:val="22"/>
          <w:szCs w:val="22"/>
        </w:rPr>
        <w:t>Summary</w:t>
      </w:r>
    </w:p>
    <w:p w14:paraId="5F18188B" w14:textId="7C718696" w:rsidR="00877EBD" w:rsidRPr="00877EBD" w:rsidRDefault="00877EBD" w:rsidP="00877EBD">
      <w:pPr>
        <w:rPr>
          <w:sz w:val="22"/>
          <w:szCs w:val="22"/>
        </w:rPr>
      </w:pPr>
      <w:r w:rsidRPr="00877EBD">
        <w:rPr>
          <w:sz w:val="22"/>
          <w:szCs w:val="22"/>
        </w:rPr>
        <w:t>Digital financial service (DFS) involves a complex ecosystem with the participation of different stakeholders such as banks, DFS providers, mobile network operators (MNOs), DFS platform providers, regulators, agents, merchants, payment service providers, device manufacturers, application developers, token service providers, original equipment manufacturers (OEMs), and clients. The interconnectedness of these entities and reliance on several parties in the ecosystem extends the security boundaries beyond the DFS provider to customers, network providers, mobile phone manufacturer, and other third-party providers in the ecosystem.</w:t>
      </w:r>
    </w:p>
    <w:p w14:paraId="3A727373" w14:textId="3C1710E4" w:rsidR="00877EBD" w:rsidRPr="00877EBD" w:rsidRDefault="00877EBD" w:rsidP="00877EBD">
      <w:pPr>
        <w:rPr>
          <w:sz w:val="22"/>
          <w:szCs w:val="22"/>
        </w:rPr>
      </w:pPr>
      <w:r w:rsidRPr="00877EBD">
        <w:rPr>
          <w:sz w:val="22"/>
          <w:szCs w:val="22"/>
        </w:rPr>
        <w:t xml:space="preserve">A DFS security assurance framework provides an overview of the security threats and vulnerabilities facing the applicable DFS stakeholders. Regulators including telecom authorities, banking, and payment regulators could also make use of the DFS security assurance framework </w:t>
      </w:r>
      <w:r w:rsidR="00C55AE3">
        <w:rPr>
          <w:sz w:val="22"/>
          <w:szCs w:val="22"/>
        </w:rPr>
        <w:t>to</w:t>
      </w:r>
      <w:r w:rsidR="00C55AE3" w:rsidRPr="00877EBD">
        <w:rPr>
          <w:sz w:val="22"/>
          <w:szCs w:val="22"/>
        </w:rPr>
        <w:t xml:space="preserve"> </w:t>
      </w:r>
      <w:r w:rsidRPr="00877EBD">
        <w:rPr>
          <w:sz w:val="22"/>
          <w:szCs w:val="22"/>
        </w:rPr>
        <w:t>establish security baselines for the DFS providers as well.</w:t>
      </w:r>
    </w:p>
    <w:p w14:paraId="53C3CC48" w14:textId="5BEFBE1D" w:rsidR="00877EBD" w:rsidRPr="00877EBD" w:rsidRDefault="00877EBD" w:rsidP="00877EBD">
      <w:pPr>
        <w:rPr>
          <w:sz w:val="22"/>
          <w:szCs w:val="22"/>
        </w:rPr>
      </w:pPr>
      <w:r w:rsidRPr="00877EBD">
        <w:rPr>
          <w:sz w:val="22"/>
          <w:szCs w:val="22"/>
        </w:rPr>
        <w:t xml:space="preserve">The framework, when implemented, would complement established risk and information security management practices of the stakeholders involved in the DFS ecosystem. For example, the security controls in </w:t>
      </w:r>
      <w:r w:rsidR="00C55AE3">
        <w:rPr>
          <w:sz w:val="22"/>
          <w:szCs w:val="22"/>
        </w:rPr>
        <w:t>this Recommendation</w:t>
      </w:r>
      <w:r w:rsidRPr="00877EBD">
        <w:rPr>
          <w:sz w:val="22"/>
          <w:szCs w:val="22"/>
        </w:rPr>
        <w:t xml:space="preserve"> can be included as part of the information and communication technology (ICT) security programme of the DFS provider.</w:t>
      </w:r>
    </w:p>
    <w:p w14:paraId="1980C744" w14:textId="5574814F" w:rsidR="00877EBD" w:rsidRPr="00877EBD" w:rsidRDefault="00C55AE3" w:rsidP="00877EBD">
      <w:pPr>
        <w:rPr>
          <w:sz w:val="22"/>
          <w:szCs w:val="22"/>
        </w:rPr>
      </w:pPr>
      <w:r>
        <w:rPr>
          <w:sz w:val="22"/>
          <w:szCs w:val="22"/>
        </w:rPr>
        <w:t xml:space="preserve">This </w:t>
      </w:r>
      <w:r w:rsidR="00877EBD" w:rsidRPr="00877EBD">
        <w:rPr>
          <w:sz w:val="22"/>
          <w:szCs w:val="22"/>
        </w:rPr>
        <w:t xml:space="preserve">Recommendation describes </w:t>
      </w:r>
      <w:r>
        <w:rPr>
          <w:sz w:val="22"/>
          <w:szCs w:val="22"/>
        </w:rPr>
        <w:t>a</w:t>
      </w:r>
      <w:r w:rsidRPr="00877EBD">
        <w:rPr>
          <w:sz w:val="22"/>
          <w:szCs w:val="22"/>
        </w:rPr>
        <w:t xml:space="preserve"> </w:t>
      </w:r>
      <w:r w:rsidR="00877EBD" w:rsidRPr="00877EBD">
        <w:rPr>
          <w:sz w:val="22"/>
          <w:szCs w:val="22"/>
        </w:rPr>
        <w:t xml:space="preserve">DFS security assurance framework which provides a systematic security risk management process </w:t>
      </w:r>
      <w:r>
        <w:rPr>
          <w:sz w:val="22"/>
          <w:szCs w:val="22"/>
        </w:rPr>
        <w:t xml:space="preserve">to </w:t>
      </w:r>
      <w:r w:rsidR="00877EBD" w:rsidRPr="00877EBD">
        <w:rPr>
          <w:sz w:val="22"/>
          <w:szCs w:val="22"/>
        </w:rPr>
        <w:t xml:space="preserve">assess threats and vulnerabilities and identifies appropriate security controls to be implemented by the DFS stakeholders. Threats related to merchants, payment service providers and other financial services organizations and the specific mitigations for addressing the threats that they face are out of scope for this Recommendation. </w:t>
      </w:r>
    </w:p>
    <w:p w14:paraId="7C693EC3" w14:textId="77777777" w:rsidR="00877EBD" w:rsidRPr="00877EBD" w:rsidRDefault="00877EBD" w:rsidP="00877EBD">
      <w:pPr>
        <w:rPr>
          <w:sz w:val="22"/>
          <w:szCs w:val="22"/>
        </w:rPr>
      </w:pPr>
      <w:r w:rsidRPr="00877EBD">
        <w:rPr>
          <w:sz w:val="22"/>
          <w:szCs w:val="22"/>
        </w:rPr>
        <w:t>The DFS security assurance framework consists of the following components:</w:t>
      </w:r>
    </w:p>
    <w:p w14:paraId="6C99AE7B" w14:textId="77777777" w:rsidR="00877EBD" w:rsidRPr="00877EBD" w:rsidRDefault="00877EBD" w:rsidP="00877EBD">
      <w:pPr>
        <w:rPr>
          <w:sz w:val="22"/>
          <w:szCs w:val="22"/>
        </w:rPr>
      </w:pPr>
      <w:r w:rsidRPr="00877EBD">
        <w:rPr>
          <w:sz w:val="22"/>
          <w:szCs w:val="22"/>
        </w:rPr>
        <w:t>a) A security risk management process based on [b-ISO/IEC 27005].</w:t>
      </w:r>
    </w:p>
    <w:p w14:paraId="5EC79766" w14:textId="77777777" w:rsidR="00877EBD" w:rsidRPr="00877EBD" w:rsidRDefault="00877EBD" w:rsidP="00877EBD">
      <w:pPr>
        <w:rPr>
          <w:sz w:val="22"/>
          <w:szCs w:val="22"/>
        </w:rPr>
      </w:pPr>
      <w:r w:rsidRPr="00877EBD">
        <w:rPr>
          <w:sz w:val="22"/>
          <w:szCs w:val="22"/>
        </w:rPr>
        <w:t>b) Assessment of threats and vulnerabilities to the underlying infrastructure of the mobile network operator and DFS provider, DFS applications, services, network operations and third-party providers involved in the ecosystem for DFS delivery.</w:t>
      </w:r>
    </w:p>
    <w:p w14:paraId="1BDC25FF" w14:textId="7191A06B" w:rsidR="00877EBD" w:rsidRPr="005F363D" w:rsidRDefault="00877EBD" w:rsidP="00877EBD">
      <w:pPr>
        <w:rPr>
          <w:sz w:val="22"/>
          <w:szCs w:val="22"/>
          <w:highlight w:val="yellow"/>
        </w:rPr>
      </w:pPr>
      <w:r w:rsidRPr="00877EBD">
        <w:rPr>
          <w:sz w:val="22"/>
          <w:szCs w:val="22"/>
        </w:rPr>
        <w:t>c) Mitigation strategies based on the outcome of (b) above. The mitigation measures identify 119 security controls for security threats which are outlined in clause 13 of this Recommendation</w:t>
      </w:r>
      <w:r>
        <w:rPr>
          <w:sz w:val="22"/>
          <w:szCs w:val="22"/>
        </w:rPr>
        <w:t>.</w:t>
      </w:r>
    </w:p>
    <w:p w14:paraId="2841416A" w14:textId="404CB0D3" w:rsidR="008450C6" w:rsidRPr="005F363D" w:rsidRDefault="008450C6" w:rsidP="005F363D">
      <w:pPr>
        <w:pStyle w:val="Heading1"/>
        <w:numPr>
          <w:ilvl w:val="0"/>
          <w:numId w:val="18"/>
        </w:numPr>
        <w:rPr>
          <w:sz w:val="24"/>
          <w:szCs w:val="24"/>
        </w:rPr>
      </w:pPr>
      <w:r w:rsidRPr="005F363D">
        <w:rPr>
          <w:sz w:val="24"/>
          <w:szCs w:val="24"/>
        </w:rPr>
        <w:t xml:space="preserve">Draft new Recommendation </w:t>
      </w:r>
      <w:r w:rsidR="00335037" w:rsidRPr="00335037">
        <w:rPr>
          <w:sz w:val="24"/>
          <w:szCs w:val="24"/>
        </w:rPr>
        <w:t>X.1221 (X.stie)</w:t>
      </w:r>
      <w:r w:rsidR="002E0553" w:rsidRPr="005F363D">
        <w:rPr>
          <w:sz w:val="24"/>
          <w:szCs w:val="24"/>
        </w:rPr>
        <w:t xml:space="preserve">, </w:t>
      </w:r>
      <w:r w:rsidRPr="005F363D">
        <w:rPr>
          <w:sz w:val="24"/>
          <w:szCs w:val="24"/>
        </w:rPr>
        <w:t>[</w:t>
      </w:r>
      <w:hyperlink r:id="rId13" w:history="1">
        <w:r w:rsidR="00CA05C9" w:rsidRPr="005F363D">
          <w:rPr>
            <w:rStyle w:val="Hyperlink"/>
            <w:sz w:val="24"/>
            <w:szCs w:val="24"/>
          </w:rPr>
          <w:t>R</w:t>
        </w:r>
        <w:r w:rsidR="00335037">
          <w:rPr>
            <w:rStyle w:val="Hyperlink"/>
            <w:sz w:val="24"/>
            <w:szCs w:val="24"/>
          </w:rPr>
          <w:t>47</w:t>
        </w:r>
      </w:hyperlink>
      <w:r w:rsidRPr="005F363D">
        <w:rPr>
          <w:sz w:val="24"/>
          <w:szCs w:val="24"/>
        </w:rPr>
        <w:t>]</w:t>
      </w:r>
    </w:p>
    <w:p w14:paraId="5834F0F2" w14:textId="247B8236" w:rsidR="008450C6" w:rsidRPr="005F363D" w:rsidRDefault="00335037" w:rsidP="00D66A81">
      <w:pPr>
        <w:rPr>
          <w:sz w:val="22"/>
          <w:szCs w:val="22"/>
        </w:rPr>
      </w:pPr>
      <w:r w:rsidRPr="00335037">
        <w:rPr>
          <w:sz w:val="22"/>
          <w:szCs w:val="22"/>
        </w:rPr>
        <w:t xml:space="preserve">Structured </w:t>
      </w:r>
      <w:r w:rsidR="00963202">
        <w:rPr>
          <w:sz w:val="22"/>
          <w:szCs w:val="22"/>
        </w:rPr>
        <w:t>T</w:t>
      </w:r>
      <w:r w:rsidR="00963202" w:rsidRPr="00335037">
        <w:rPr>
          <w:sz w:val="22"/>
          <w:szCs w:val="22"/>
        </w:rPr>
        <w:t xml:space="preserve">hreat </w:t>
      </w:r>
      <w:r w:rsidR="00963202">
        <w:rPr>
          <w:sz w:val="22"/>
          <w:szCs w:val="22"/>
        </w:rPr>
        <w:t>I</w:t>
      </w:r>
      <w:r w:rsidR="00963202" w:rsidRPr="00335037">
        <w:rPr>
          <w:sz w:val="22"/>
          <w:szCs w:val="22"/>
        </w:rPr>
        <w:t>nformation e</w:t>
      </w:r>
      <w:r w:rsidR="00963202">
        <w:rPr>
          <w:sz w:val="22"/>
          <w:szCs w:val="22"/>
        </w:rPr>
        <w:t>X</w:t>
      </w:r>
      <w:r w:rsidR="00963202" w:rsidRPr="00335037">
        <w:rPr>
          <w:sz w:val="22"/>
          <w:szCs w:val="22"/>
        </w:rPr>
        <w:t>pression</w:t>
      </w:r>
      <w:r w:rsidR="00963202">
        <w:rPr>
          <w:sz w:val="22"/>
          <w:szCs w:val="22"/>
        </w:rPr>
        <w:t xml:space="preserve"> (STIX)</w:t>
      </w:r>
    </w:p>
    <w:p w14:paraId="4D151693" w14:textId="77777777" w:rsidR="008450C6" w:rsidRPr="005F363D" w:rsidRDefault="008450C6" w:rsidP="008450C6">
      <w:pPr>
        <w:pStyle w:val="Heading2"/>
        <w:rPr>
          <w:sz w:val="22"/>
          <w:szCs w:val="22"/>
        </w:rPr>
      </w:pPr>
      <w:r w:rsidRPr="005F363D">
        <w:rPr>
          <w:sz w:val="22"/>
          <w:szCs w:val="22"/>
        </w:rPr>
        <w:t>Summary</w:t>
      </w:r>
    </w:p>
    <w:p w14:paraId="38D3F803" w14:textId="313F1701" w:rsidR="008450C6" w:rsidRPr="005F363D" w:rsidRDefault="00335037" w:rsidP="00D66A81">
      <w:pPr>
        <w:rPr>
          <w:sz w:val="22"/>
          <w:szCs w:val="22"/>
        </w:rPr>
      </w:pPr>
      <w:r w:rsidRPr="00335037">
        <w:rPr>
          <w:sz w:val="22"/>
          <w:szCs w:val="22"/>
        </w:rPr>
        <w:t xml:space="preserve">This Recommendation defines Structured Threat Information Expression (STIX), a language used to express data objects and exchange cyber threat intelligence, along with a JSON serialization format.  STIX does not rely on any specific transport mechanism.  This Recommendation is technically equivalent and compatible with the </w:t>
      </w:r>
      <w:r w:rsidR="00C55AE3" w:rsidRPr="00C55AE3">
        <w:rPr>
          <w:sz w:val="22"/>
          <w:szCs w:val="22"/>
          <w:lang w:val="en-US"/>
        </w:rPr>
        <w:t xml:space="preserve">published </w:t>
      </w:r>
      <w:r w:rsidRPr="00335037">
        <w:rPr>
          <w:sz w:val="22"/>
          <w:szCs w:val="22"/>
        </w:rPr>
        <w:t>OASIS standard</w:t>
      </w:r>
      <w:r w:rsidR="00C55AE3">
        <w:rPr>
          <w:sz w:val="22"/>
          <w:szCs w:val="22"/>
        </w:rPr>
        <w:t xml:space="preserve"> </w:t>
      </w:r>
      <w:r w:rsidR="00C55AE3" w:rsidRPr="00335037">
        <w:rPr>
          <w:sz w:val="22"/>
          <w:szCs w:val="22"/>
        </w:rPr>
        <w:t xml:space="preserve">STIX 2.1 </w:t>
      </w:r>
      <w:r w:rsidR="00C55AE3" w:rsidRPr="00C55AE3">
        <w:rPr>
          <w:sz w:val="22"/>
          <w:szCs w:val="22"/>
        </w:rPr>
        <w:t>[b-STIX v2.1]</w:t>
      </w:r>
      <w:r w:rsidR="00D66A81" w:rsidRPr="005F363D">
        <w:rPr>
          <w:sz w:val="22"/>
          <w:szCs w:val="22"/>
        </w:rPr>
        <w:t>.</w:t>
      </w:r>
    </w:p>
    <w:p w14:paraId="0C2E918E" w14:textId="45DAEA25" w:rsidR="008450C6" w:rsidRPr="005F363D" w:rsidRDefault="008450C6" w:rsidP="00497F59">
      <w:pPr>
        <w:pStyle w:val="Heading1"/>
        <w:numPr>
          <w:ilvl w:val="0"/>
          <w:numId w:val="18"/>
        </w:numPr>
        <w:rPr>
          <w:sz w:val="24"/>
          <w:szCs w:val="24"/>
        </w:rPr>
      </w:pPr>
      <w:r w:rsidRPr="005F363D">
        <w:rPr>
          <w:sz w:val="24"/>
          <w:szCs w:val="24"/>
        </w:rPr>
        <w:lastRenderedPageBreak/>
        <w:t xml:space="preserve">Draft </w:t>
      </w:r>
      <w:r w:rsidR="00CA05C9" w:rsidRPr="005F363D">
        <w:rPr>
          <w:sz w:val="24"/>
          <w:szCs w:val="24"/>
        </w:rPr>
        <w:t xml:space="preserve">new Recommendation </w:t>
      </w:r>
      <w:r w:rsidR="00335037" w:rsidRPr="00335037">
        <w:rPr>
          <w:sz w:val="24"/>
          <w:szCs w:val="24"/>
        </w:rPr>
        <w:t>X.1222 (X.taeii)</w:t>
      </w:r>
      <w:r w:rsidR="00CA05C9" w:rsidRPr="005F363D">
        <w:rPr>
          <w:sz w:val="24"/>
          <w:szCs w:val="24"/>
        </w:rPr>
        <w:t xml:space="preserve"> </w:t>
      </w:r>
      <w:r w:rsidRPr="005F363D">
        <w:rPr>
          <w:sz w:val="24"/>
          <w:szCs w:val="24"/>
        </w:rPr>
        <w:t>[</w:t>
      </w:r>
      <w:hyperlink r:id="rId14" w:history="1">
        <w:r w:rsidR="00CA05C9" w:rsidRPr="005F363D">
          <w:rPr>
            <w:rStyle w:val="Hyperlink"/>
            <w:sz w:val="24"/>
            <w:szCs w:val="24"/>
          </w:rPr>
          <w:t>R</w:t>
        </w:r>
        <w:r w:rsidR="00497F59">
          <w:rPr>
            <w:rStyle w:val="Hyperlink"/>
            <w:sz w:val="24"/>
            <w:szCs w:val="24"/>
          </w:rPr>
          <w:t>48</w:t>
        </w:r>
      </w:hyperlink>
      <w:r w:rsidRPr="005F363D">
        <w:rPr>
          <w:sz w:val="24"/>
          <w:szCs w:val="24"/>
        </w:rPr>
        <w:t>]</w:t>
      </w:r>
    </w:p>
    <w:p w14:paraId="6512CB00" w14:textId="5C623C7B" w:rsidR="00183B93" w:rsidRPr="005F363D" w:rsidRDefault="0026533D" w:rsidP="00497F59">
      <w:pPr>
        <w:keepNext/>
        <w:keepLines/>
        <w:rPr>
          <w:sz w:val="22"/>
          <w:szCs w:val="22"/>
        </w:rPr>
      </w:pPr>
      <w:bookmarkStart w:id="3" w:name="_Hlk113457282"/>
      <w:r w:rsidRPr="0026533D">
        <w:rPr>
          <w:sz w:val="22"/>
          <w:szCs w:val="22"/>
        </w:rPr>
        <w:t xml:space="preserve">Trusted Automated </w:t>
      </w:r>
      <w:r w:rsidR="00963202">
        <w:rPr>
          <w:sz w:val="22"/>
          <w:szCs w:val="22"/>
        </w:rPr>
        <w:t>eX</w:t>
      </w:r>
      <w:r w:rsidR="00963202" w:rsidRPr="0026533D">
        <w:rPr>
          <w:sz w:val="22"/>
          <w:szCs w:val="22"/>
        </w:rPr>
        <w:t xml:space="preserve">change </w:t>
      </w:r>
      <w:r w:rsidRPr="0026533D">
        <w:rPr>
          <w:sz w:val="22"/>
          <w:szCs w:val="22"/>
        </w:rPr>
        <w:t>of Intelligence Information (TAXII)</w:t>
      </w:r>
    </w:p>
    <w:p w14:paraId="01F59676" w14:textId="23AD41AB" w:rsidR="008450C6" w:rsidRPr="005F363D" w:rsidRDefault="008450C6" w:rsidP="00497F59">
      <w:pPr>
        <w:pStyle w:val="Heading2"/>
        <w:rPr>
          <w:sz w:val="22"/>
          <w:szCs w:val="22"/>
        </w:rPr>
      </w:pPr>
      <w:r w:rsidRPr="005F363D">
        <w:rPr>
          <w:sz w:val="22"/>
          <w:szCs w:val="22"/>
        </w:rPr>
        <w:t>Summary</w:t>
      </w:r>
    </w:p>
    <w:bookmarkEnd w:id="3"/>
    <w:p w14:paraId="0F46E2FC" w14:textId="6239C303" w:rsidR="00AF6072" w:rsidRPr="005F363D" w:rsidRDefault="00C55AE3" w:rsidP="001F00F9">
      <w:pPr>
        <w:rPr>
          <w:sz w:val="22"/>
          <w:szCs w:val="22"/>
        </w:rPr>
      </w:pPr>
      <w:r>
        <w:rPr>
          <w:sz w:val="22"/>
          <w:szCs w:val="22"/>
          <w:lang w:val="en-US"/>
        </w:rPr>
        <w:t xml:space="preserve">This </w:t>
      </w:r>
      <w:r w:rsidR="0026533D" w:rsidRPr="0026533D">
        <w:rPr>
          <w:sz w:val="22"/>
          <w:szCs w:val="22"/>
          <w:lang w:val="en-US"/>
        </w:rPr>
        <w:t>Recommendation is an application layer protocol for the communication of cyber threat information in a simple and scalable manner. This specification defines the TAXII REST application programming interface (API) and its resources, along with requirements for TAXII Client and Server implementations. TAXII is a set of methods for sharing and communicating data objects relevant to the exchange of cyber threat intelligence.  This Recommendation is technically equivalent and compatible with the published OASIS Standard TAXII Version 2.1 [b-TAXII v2.1]</w:t>
      </w:r>
      <w:r w:rsidR="001F00F9" w:rsidRPr="005F363D">
        <w:rPr>
          <w:sz w:val="22"/>
          <w:szCs w:val="22"/>
          <w:lang w:val="en-US"/>
        </w:rPr>
        <w:t>.</w:t>
      </w:r>
    </w:p>
    <w:p w14:paraId="72439512" w14:textId="4FF9D61D" w:rsidR="00AF6072" w:rsidRPr="005F363D" w:rsidRDefault="00AF6072" w:rsidP="00EF7B69">
      <w:pPr>
        <w:pStyle w:val="Heading1"/>
        <w:numPr>
          <w:ilvl w:val="0"/>
          <w:numId w:val="18"/>
        </w:numPr>
        <w:rPr>
          <w:sz w:val="24"/>
          <w:szCs w:val="24"/>
        </w:rPr>
      </w:pPr>
      <w:r w:rsidRPr="005F363D">
        <w:rPr>
          <w:sz w:val="24"/>
          <w:szCs w:val="24"/>
        </w:rPr>
        <w:t xml:space="preserve">Draft new Recommendation </w:t>
      </w:r>
      <w:r w:rsidR="00335037" w:rsidRPr="00335037">
        <w:rPr>
          <w:sz w:val="24"/>
          <w:szCs w:val="24"/>
        </w:rPr>
        <w:t>X.1280 (X.oob-sa)</w:t>
      </w:r>
      <w:r w:rsidRPr="005F363D">
        <w:rPr>
          <w:sz w:val="24"/>
          <w:szCs w:val="24"/>
        </w:rPr>
        <w:t xml:space="preserve"> [</w:t>
      </w:r>
      <w:hyperlink r:id="rId15" w:history="1">
        <w:r w:rsidRPr="005F363D">
          <w:rPr>
            <w:rStyle w:val="Hyperlink"/>
            <w:sz w:val="24"/>
            <w:szCs w:val="24"/>
          </w:rPr>
          <w:t>R</w:t>
        </w:r>
        <w:r w:rsidR="00497F59">
          <w:rPr>
            <w:rStyle w:val="Hyperlink"/>
            <w:sz w:val="24"/>
            <w:szCs w:val="24"/>
          </w:rPr>
          <w:t>51</w:t>
        </w:r>
      </w:hyperlink>
      <w:r w:rsidRPr="005F363D">
        <w:rPr>
          <w:sz w:val="24"/>
          <w:szCs w:val="24"/>
        </w:rPr>
        <w:t>]</w:t>
      </w:r>
    </w:p>
    <w:p w14:paraId="2229C27A" w14:textId="097BAEDB" w:rsidR="00AF6072" w:rsidRPr="005F363D" w:rsidRDefault="00877EBD" w:rsidP="00EF7B69">
      <w:pPr>
        <w:keepNext/>
        <w:keepLines/>
        <w:rPr>
          <w:sz w:val="22"/>
          <w:szCs w:val="22"/>
        </w:rPr>
      </w:pPr>
      <w:r w:rsidRPr="00877EBD">
        <w:rPr>
          <w:sz w:val="22"/>
          <w:szCs w:val="22"/>
        </w:rPr>
        <w:t>Framework for out-of-band server authentication using mobile devices</w:t>
      </w:r>
    </w:p>
    <w:p w14:paraId="371682AF" w14:textId="77777777" w:rsidR="00AF6072" w:rsidRPr="005F363D" w:rsidRDefault="00AF6072" w:rsidP="00EF7B69">
      <w:pPr>
        <w:pStyle w:val="Heading2"/>
        <w:rPr>
          <w:sz w:val="22"/>
          <w:szCs w:val="22"/>
        </w:rPr>
      </w:pPr>
      <w:r w:rsidRPr="005F363D">
        <w:rPr>
          <w:sz w:val="22"/>
          <w:szCs w:val="22"/>
        </w:rPr>
        <w:t>Summary</w:t>
      </w:r>
    </w:p>
    <w:p w14:paraId="37825706" w14:textId="77777777" w:rsidR="00877EBD" w:rsidRPr="00877EBD" w:rsidRDefault="00877EBD" w:rsidP="00877EBD">
      <w:pPr>
        <w:rPr>
          <w:rFonts w:eastAsia="SimSun"/>
          <w:sz w:val="22"/>
          <w:szCs w:val="22"/>
          <w:lang w:val="en-US"/>
        </w:rPr>
      </w:pPr>
      <w:r w:rsidRPr="00877EBD">
        <w:rPr>
          <w:rFonts w:eastAsia="SimSun"/>
          <w:sz w:val="22"/>
          <w:szCs w:val="22"/>
          <w:lang w:val="en-US"/>
        </w:rPr>
        <w:t>In the authentication technology standards, the verifier impersonation resistance is considered as a requirement of the highest level of authentication assurance. However, existing authentication technologies focus on user authentication so there is a limitation that cannot verify service providers explicitly.</w:t>
      </w:r>
    </w:p>
    <w:p w14:paraId="3B69CB41" w14:textId="5CFB2C3F" w:rsidR="00A60E8A" w:rsidRPr="005F363D" w:rsidRDefault="00963202" w:rsidP="00877EBD">
      <w:pPr>
        <w:rPr>
          <w:rFonts w:asciiTheme="minorHAnsi" w:hAnsiTheme="minorHAnsi" w:cstheme="minorHAnsi"/>
          <w:sz w:val="22"/>
          <w:szCs w:val="22"/>
        </w:rPr>
      </w:pPr>
      <w:r>
        <w:rPr>
          <w:rFonts w:eastAsia="SimSun"/>
          <w:sz w:val="22"/>
          <w:szCs w:val="22"/>
          <w:lang w:val="en-US"/>
        </w:rPr>
        <w:t xml:space="preserve">This </w:t>
      </w:r>
      <w:r w:rsidR="00877EBD" w:rsidRPr="00877EBD">
        <w:rPr>
          <w:rFonts w:eastAsia="SimSun"/>
          <w:sz w:val="22"/>
          <w:szCs w:val="22"/>
          <w:lang w:val="en-US"/>
        </w:rPr>
        <w:t>Recommendation provides a framework for out-of-band server authentication using mobile devices, which resolves the vulnerability of verifier impersonation and the limitation of user terminal dependency of the existing authenticators. It allows a user to provide user authentication information after verifying the service provider explicitly and independently in the user authentication process on any user terminals</w:t>
      </w:r>
      <w:r w:rsidR="001F00F9" w:rsidRPr="005F363D">
        <w:rPr>
          <w:rFonts w:eastAsia="SimSun"/>
          <w:sz w:val="22"/>
          <w:szCs w:val="22"/>
          <w:lang w:val="en-US"/>
        </w:rPr>
        <w:t>.</w:t>
      </w:r>
    </w:p>
    <w:p w14:paraId="25BAB732" w14:textId="76FAE2F6" w:rsidR="00AF6072" w:rsidRPr="005F363D" w:rsidRDefault="00AF6072" w:rsidP="00AF6072">
      <w:pPr>
        <w:pStyle w:val="Heading1"/>
        <w:numPr>
          <w:ilvl w:val="0"/>
          <w:numId w:val="18"/>
        </w:numPr>
        <w:rPr>
          <w:sz w:val="24"/>
          <w:szCs w:val="24"/>
        </w:rPr>
      </w:pPr>
      <w:r w:rsidRPr="005F363D">
        <w:rPr>
          <w:sz w:val="24"/>
          <w:szCs w:val="24"/>
        </w:rPr>
        <w:t xml:space="preserve">Draft new Recommendation </w:t>
      </w:r>
      <w:r w:rsidR="00335037" w:rsidRPr="00335037">
        <w:rPr>
          <w:sz w:val="24"/>
          <w:szCs w:val="24"/>
        </w:rPr>
        <w:t>X.1281 (X.osia)</w:t>
      </w:r>
      <w:r w:rsidRPr="005F363D">
        <w:rPr>
          <w:sz w:val="24"/>
          <w:szCs w:val="24"/>
        </w:rPr>
        <w:t xml:space="preserve"> [</w:t>
      </w:r>
      <w:hyperlink r:id="rId16" w:history="1">
        <w:r w:rsidRPr="005F363D">
          <w:rPr>
            <w:rStyle w:val="Hyperlink"/>
            <w:sz w:val="24"/>
            <w:szCs w:val="24"/>
          </w:rPr>
          <w:t>R</w:t>
        </w:r>
        <w:r w:rsidR="00497F59">
          <w:rPr>
            <w:rStyle w:val="Hyperlink"/>
            <w:sz w:val="24"/>
            <w:szCs w:val="24"/>
          </w:rPr>
          <w:t>52</w:t>
        </w:r>
      </w:hyperlink>
      <w:r w:rsidRPr="005F363D">
        <w:rPr>
          <w:sz w:val="24"/>
          <w:szCs w:val="24"/>
        </w:rPr>
        <w:t>]</w:t>
      </w:r>
    </w:p>
    <w:p w14:paraId="42BD7920" w14:textId="4CC16B04" w:rsidR="00AF6072" w:rsidRPr="005F363D" w:rsidRDefault="00101593" w:rsidP="00AF6072">
      <w:pPr>
        <w:keepNext/>
        <w:keepLines/>
        <w:rPr>
          <w:sz w:val="22"/>
          <w:szCs w:val="22"/>
        </w:rPr>
      </w:pPr>
      <w:r w:rsidRPr="00101593">
        <w:rPr>
          <w:sz w:val="22"/>
          <w:szCs w:val="22"/>
        </w:rPr>
        <w:t>APIs for interoperability of identity management systems</w:t>
      </w:r>
    </w:p>
    <w:p w14:paraId="79DCA853" w14:textId="77777777" w:rsidR="00AF6072" w:rsidRPr="005F363D" w:rsidRDefault="00AF6072" w:rsidP="00AF6072">
      <w:pPr>
        <w:pStyle w:val="Heading2"/>
        <w:rPr>
          <w:sz w:val="22"/>
          <w:szCs w:val="22"/>
        </w:rPr>
      </w:pPr>
      <w:r w:rsidRPr="005F363D">
        <w:rPr>
          <w:sz w:val="22"/>
          <w:szCs w:val="22"/>
        </w:rPr>
        <w:t>Summary</w:t>
      </w:r>
    </w:p>
    <w:p w14:paraId="75463421" w14:textId="7DDB2B25" w:rsidR="00AF6072" w:rsidRPr="007F66CE" w:rsidRDefault="00101593" w:rsidP="007F66C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40"/>
        <w:contextualSpacing/>
        <w:jc w:val="both"/>
        <w:rPr>
          <w:rFonts w:eastAsia="SimSun"/>
          <w:color w:val="000000"/>
          <w:lang w:eastAsia="ko-KR"/>
        </w:rPr>
      </w:pPr>
      <w:r w:rsidRPr="00101593">
        <w:rPr>
          <w:rFonts w:eastAsia="MS Mincho"/>
          <w:sz w:val="22"/>
          <w:szCs w:val="22"/>
        </w:rPr>
        <w:t>This Recommendation describes a set of standardized application program interfaces (APIs) needed to connect the multiple building blocks of an identity management solution</w:t>
      </w:r>
      <w:r w:rsidR="007F66CE" w:rsidRPr="007F66CE">
        <w:rPr>
          <w:rFonts w:eastAsia="SimSun"/>
          <w:color w:val="000000"/>
          <w:sz w:val="22"/>
          <w:szCs w:val="22"/>
          <w:lang w:eastAsia="ko-KR"/>
        </w:rPr>
        <w:t>.</w:t>
      </w:r>
    </w:p>
    <w:p w14:paraId="0712C31F" w14:textId="50A7ECE9" w:rsidR="00AF6072" w:rsidRPr="005F363D" w:rsidRDefault="00AF6072" w:rsidP="00AF6072">
      <w:pPr>
        <w:pStyle w:val="Heading1"/>
        <w:keepNext w:val="0"/>
        <w:keepLines w:val="0"/>
        <w:numPr>
          <w:ilvl w:val="0"/>
          <w:numId w:val="18"/>
        </w:numPr>
        <w:rPr>
          <w:sz w:val="24"/>
          <w:szCs w:val="24"/>
        </w:rPr>
      </w:pPr>
      <w:r w:rsidRPr="005F363D">
        <w:rPr>
          <w:sz w:val="24"/>
          <w:szCs w:val="24"/>
        </w:rPr>
        <w:t xml:space="preserve">Draft new </w:t>
      </w:r>
      <w:r w:rsidR="00D87FCE">
        <w:rPr>
          <w:sz w:val="24"/>
          <w:szCs w:val="24"/>
        </w:rPr>
        <w:t xml:space="preserve">Amendment 1 to </w:t>
      </w:r>
      <w:r w:rsidRPr="005F363D">
        <w:rPr>
          <w:sz w:val="24"/>
          <w:szCs w:val="24"/>
        </w:rPr>
        <w:t xml:space="preserve">Recommendation </w:t>
      </w:r>
      <w:r w:rsidR="00335037" w:rsidRPr="00335037">
        <w:rPr>
          <w:sz w:val="24"/>
          <w:szCs w:val="24"/>
        </w:rPr>
        <w:t>X.1352</w:t>
      </w:r>
      <w:r w:rsidRPr="005F363D">
        <w:rPr>
          <w:sz w:val="24"/>
          <w:szCs w:val="24"/>
        </w:rPr>
        <w:t xml:space="preserve"> [</w:t>
      </w:r>
      <w:hyperlink r:id="rId17" w:history="1">
        <w:r w:rsidR="00254682">
          <w:rPr>
            <w:rStyle w:val="Hyperlink"/>
            <w:sz w:val="24"/>
            <w:szCs w:val="24"/>
          </w:rPr>
          <w:t>R</w:t>
        </w:r>
        <w:r w:rsidR="00497F59">
          <w:rPr>
            <w:rStyle w:val="Hyperlink"/>
            <w:sz w:val="24"/>
            <w:szCs w:val="24"/>
          </w:rPr>
          <w:t>49</w:t>
        </w:r>
      </w:hyperlink>
      <w:r w:rsidRPr="005F363D">
        <w:rPr>
          <w:sz w:val="24"/>
          <w:szCs w:val="24"/>
        </w:rPr>
        <w:t>]</w:t>
      </w:r>
    </w:p>
    <w:p w14:paraId="367783E7" w14:textId="7F3F627D" w:rsidR="00AF6072" w:rsidRPr="005F363D" w:rsidRDefault="00D87FCE" w:rsidP="00AF6072">
      <w:pPr>
        <w:rPr>
          <w:sz w:val="22"/>
          <w:szCs w:val="22"/>
        </w:rPr>
      </w:pPr>
      <w:bookmarkStart w:id="4" w:name="_Hlk147303868"/>
      <w:r w:rsidRPr="00D87FCE">
        <w:rPr>
          <w:sz w:val="22"/>
          <w:szCs w:val="22"/>
        </w:rPr>
        <w:t>Security requirements for Internet of things devices and gateways</w:t>
      </w:r>
    </w:p>
    <w:p w14:paraId="220C1581" w14:textId="77777777" w:rsidR="00AF6072" w:rsidRPr="005F363D" w:rsidRDefault="00AF6072" w:rsidP="00AF6072">
      <w:pPr>
        <w:pStyle w:val="Heading2"/>
        <w:keepNext w:val="0"/>
        <w:keepLines w:val="0"/>
        <w:rPr>
          <w:sz w:val="22"/>
          <w:szCs w:val="22"/>
        </w:rPr>
      </w:pPr>
      <w:r w:rsidRPr="005F363D">
        <w:rPr>
          <w:sz w:val="22"/>
          <w:szCs w:val="22"/>
        </w:rPr>
        <w:t>Summary</w:t>
      </w:r>
    </w:p>
    <w:p w14:paraId="2C64BF96" w14:textId="77777777" w:rsidR="00D87FCE" w:rsidRPr="007B07A8" w:rsidRDefault="00D87FCE" w:rsidP="00D87FCE">
      <w:pPr>
        <w:rPr>
          <w:rFonts w:eastAsia="SimSun"/>
          <w:sz w:val="22"/>
          <w:szCs w:val="22"/>
          <w:lang w:val="en-US"/>
        </w:rPr>
      </w:pPr>
      <w:r w:rsidRPr="007B07A8">
        <w:rPr>
          <w:rFonts w:eastAsia="SimSun"/>
          <w:sz w:val="22"/>
          <w:szCs w:val="22"/>
          <w:lang w:val="en-US"/>
        </w:rPr>
        <w:t>Recommendation ITU-T X.1352 establishes detailed requirements for five security dimensions applicable to Internet of things (IoT) device and gateway: authentication; cryptography; data security; device platform security; and physical security, based on the IoT reference model specified in Recommendation ITU</w:t>
      </w:r>
      <w:r w:rsidRPr="007B07A8">
        <w:rPr>
          <w:rFonts w:eastAsia="SimSun"/>
          <w:sz w:val="22"/>
          <w:szCs w:val="22"/>
          <w:lang w:val="en-US"/>
        </w:rPr>
        <w:noBreakHyphen/>
        <w:t>T Y.4100 and the IoT security framework in Recommendation ITU-T X.1361.</w:t>
      </w:r>
    </w:p>
    <w:p w14:paraId="124BFF8C" w14:textId="2ED27D54" w:rsidR="00AF6072" w:rsidRPr="007B07A8" w:rsidRDefault="00D87FCE" w:rsidP="007B07A8">
      <w:pPr>
        <w:rPr>
          <w:rFonts w:eastAsia="SimSun"/>
          <w:sz w:val="22"/>
          <w:szCs w:val="22"/>
          <w:lang w:val="en-US"/>
        </w:rPr>
      </w:pPr>
      <w:r w:rsidRPr="007B07A8">
        <w:rPr>
          <w:rFonts w:eastAsia="SimSun"/>
          <w:sz w:val="22"/>
          <w:szCs w:val="22"/>
          <w:lang w:val="en-US"/>
        </w:rPr>
        <w:t>The authentication dimension includes user authentication, secure use of authentication credentials and device authentication. The cryptography dimension includes the use of secure cryptography, secure key management and secure random number generation. The data security dimension includes secure transmission and storage, information flow control, secure session management and personally identifiable information (PII) management. The device platform security dimension includes five elements: software security; secure update; security management; logging; and timestamp. Likewise, the physical security dimension includes a secure physical interface and tamper-proofing</w:t>
      </w:r>
      <w:bookmarkEnd w:id="4"/>
      <w:r w:rsidR="001F1686" w:rsidRPr="007B07A8">
        <w:rPr>
          <w:rFonts w:eastAsia="SimSun"/>
          <w:sz w:val="22"/>
          <w:szCs w:val="22"/>
          <w:lang w:val="en-US"/>
        </w:rPr>
        <w:t>.</w:t>
      </w:r>
    </w:p>
    <w:p w14:paraId="1D79B4F2" w14:textId="7154E8F8" w:rsidR="00335037" w:rsidRDefault="00335037" w:rsidP="00A67008">
      <w:pPr>
        <w:pStyle w:val="Heading1"/>
        <w:numPr>
          <w:ilvl w:val="0"/>
          <w:numId w:val="18"/>
        </w:numPr>
        <w:rPr>
          <w:sz w:val="24"/>
          <w:szCs w:val="24"/>
        </w:rPr>
      </w:pPr>
      <w:r w:rsidRPr="005F363D">
        <w:rPr>
          <w:sz w:val="24"/>
          <w:szCs w:val="24"/>
        </w:rPr>
        <w:lastRenderedPageBreak/>
        <w:t xml:space="preserve">Draft </w:t>
      </w:r>
      <w:r w:rsidR="007B07A8">
        <w:rPr>
          <w:sz w:val="24"/>
          <w:szCs w:val="24"/>
        </w:rPr>
        <w:t>revised</w:t>
      </w:r>
      <w:r w:rsidRPr="005F363D">
        <w:rPr>
          <w:sz w:val="24"/>
          <w:szCs w:val="24"/>
        </w:rPr>
        <w:t xml:space="preserve"> Recommendation </w:t>
      </w:r>
      <w:r w:rsidRPr="00335037">
        <w:rPr>
          <w:sz w:val="24"/>
          <w:szCs w:val="24"/>
        </w:rPr>
        <w:t>X.13</w:t>
      </w:r>
      <w:r w:rsidR="007B07A8">
        <w:rPr>
          <w:sz w:val="24"/>
          <w:szCs w:val="24"/>
        </w:rPr>
        <w:t>73</w:t>
      </w:r>
      <w:r w:rsidRPr="005F363D">
        <w:rPr>
          <w:sz w:val="24"/>
          <w:szCs w:val="24"/>
        </w:rPr>
        <w:t xml:space="preserve"> [</w:t>
      </w:r>
      <w:hyperlink r:id="rId18" w:history="1">
        <w:r>
          <w:rPr>
            <w:rStyle w:val="Hyperlink"/>
            <w:sz w:val="24"/>
            <w:szCs w:val="24"/>
          </w:rPr>
          <w:t>R</w:t>
        </w:r>
        <w:r w:rsidR="00497F59">
          <w:rPr>
            <w:rStyle w:val="Hyperlink"/>
            <w:sz w:val="24"/>
            <w:szCs w:val="24"/>
          </w:rPr>
          <w:t>5</w:t>
        </w:r>
        <w:r>
          <w:rPr>
            <w:rStyle w:val="Hyperlink"/>
            <w:sz w:val="24"/>
            <w:szCs w:val="24"/>
          </w:rPr>
          <w:t>3</w:t>
        </w:r>
      </w:hyperlink>
      <w:r w:rsidRPr="005F363D">
        <w:rPr>
          <w:sz w:val="24"/>
          <w:szCs w:val="24"/>
        </w:rPr>
        <w:t>]</w:t>
      </w:r>
    </w:p>
    <w:p w14:paraId="3587E38D" w14:textId="2255A524" w:rsidR="007B07A8" w:rsidRPr="005F363D" w:rsidRDefault="007B07A8" w:rsidP="00A67008">
      <w:pPr>
        <w:keepNext/>
        <w:keepLines/>
        <w:rPr>
          <w:sz w:val="22"/>
          <w:szCs w:val="22"/>
        </w:rPr>
      </w:pPr>
      <w:bookmarkStart w:id="5" w:name="_Hlk147304018"/>
      <w:r w:rsidRPr="007B07A8">
        <w:rPr>
          <w:sz w:val="22"/>
          <w:szCs w:val="22"/>
        </w:rPr>
        <w:t>Secure software update capability for intelligent transportation system communication devices</w:t>
      </w:r>
    </w:p>
    <w:p w14:paraId="393171D6" w14:textId="77777777" w:rsidR="007B07A8" w:rsidRPr="005F363D" w:rsidRDefault="007B07A8" w:rsidP="00A67008">
      <w:pPr>
        <w:pStyle w:val="Heading2"/>
        <w:rPr>
          <w:sz w:val="22"/>
          <w:szCs w:val="22"/>
        </w:rPr>
      </w:pPr>
      <w:r w:rsidRPr="005F363D">
        <w:rPr>
          <w:sz w:val="22"/>
          <w:szCs w:val="22"/>
        </w:rPr>
        <w:t>Summary</w:t>
      </w:r>
    </w:p>
    <w:p w14:paraId="3AE6A13E" w14:textId="70D1D8F9" w:rsidR="007B07A8" w:rsidRPr="007B07A8" w:rsidRDefault="007B07A8" w:rsidP="00A67008">
      <w:pPr>
        <w:keepNext/>
        <w:keepLines/>
        <w:rPr>
          <w:rFonts w:eastAsia="SimSun"/>
          <w:sz w:val="22"/>
          <w:szCs w:val="22"/>
          <w:lang w:val="en-US"/>
        </w:rPr>
      </w:pPr>
      <w:r w:rsidRPr="007B07A8">
        <w:rPr>
          <w:rFonts w:eastAsia="SimSun"/>
          <w:sz w:val="22"/>
          <w:szCs w:val="22"/>
          <w:lang w:val="en-US"/>
        </w:rPr>
        <w:t xml:space="preserve">As Intelligent Transportation System (ITS) technologies improve, it has become common for vehicles to communicate with other entities such as other vehicles, Vehicle-to-Vehicle (V2V) and Vehicle-to Infrastructure (V2I) communications. Electric devices inside a vehicle such as Electronic Control Units (ECUs), Electronic Toll Collections (ETCs) and car navigation systems are becoming more sophisticated. As a result, software modules inside these electric devices need to be appropriately updated for the purposes of bug fixing and performance and security improvements, to avoid accidents. </w:t>
      </w:r>
    </w:p>
    <w:p w14:paraId="21B0ADDC" w14:textId="1B0C89CD" w:rsidR="007B07A8" w:rsidRPr="007B07A8" w:rsidRDefault="007B07A8" w:rsidP="007B07A8">
      <w:pPr>
        <w:rPr>
          <w:rFonts w:eastAsia="SimSun"/>
          <w:sz w:val="22"/>
          <w:szCs w:val="22"/>
          <w:lang w:val="en-US"/>
        </w:rPr>
      </w:pPr>
      <w:r w:rsidRPr="007B07A8">
        <w:rPr>
          <w:rFonts w:eastAsia="SimSun"/>
          <w:sz w:val="22"/>
          <w:szCs w:val="22"/>
          <w:lang w:val="en-US"/>
        </w:rPr>
        <w:t>In order to fulfil the above requirements, Recommendation ITU-T X.1373 provides secure software update procedures between a software update server and vehicles with appropriate security controls including in-vehicle communication messages. This Recommendation can be utilized by car manufacturers and ITS-related industries as a set of standard capabilities for best practice.</w:t>
      </w:r>
    </w:p>
    <w:bookmarkEnd w:id="5"/>
    <w:p w14:paraId="611F5E16" w14:textId="09242BAA" w:rsidR="00335037" w:rsidRPr="005F363D" w:rsidRDefault="00335037" w:rsidP="00335037">
      <w:pPr>
        <w:pStyle w:val="Heading1"/>
        <w:keepNext w:val="0"/>
        <w:keepLines w:val="0"/>
        <w:numPr>
          <w:ilvl w:val="0"/>
          <w:numId w:val="18"/>
        </w:numPr>
        <w:rPr>
          <w:sz w:val="24"/>
          <w:szCs w:val="24"/>
        </w:rPr>
      </w:pPr>
      <w:r w:rsidRPr="005F363D">
        <w:rPr>
          <w:sz w:val="24"/>
          <w:szCs w:val="24"/>
        </w:rPr>
        <w:t xml:space="preserve">Draft new Recommendation </w:t>
      </w:r>
      <w:r w:rsidRPr="00335037">
        <w:rPr>
          <w:sz w:val="24"/>
          <w:szCs w:val="24"/>
        </w:rPr>
        <w:t>X.</w:t>
      </w:r>
      <w:r w:rsidR="00A67008">
        <w:rPr>
          <w:sz w:val="24"/>
          <w:szCs w:val="24"/>
        </w:rPr>
        <w:t>1818 (X.5Gsec-ctrl)</w:t>
      </w:r>
      <w:r w:rsidRPr="005F363D">
        <w:rPr>
          <w:sz w:val="24"/>
          <w:szCs w:val="24"/>
        </w:rPr>
        <w:t xml:space="preserve"> [</w:t>
      </w:r>
      <w:hyperlink r:id="rId19" w:history="1">
        <w:r>
          <w:rPr>
            <w:rStyle w:val="Hyperlink"/>
            <w:sz w:val="24"/>
            <w:szCs w:val="24"/>
          </w:rPr>
          <w:t>R</w:t>
        </w:r>
        <w:r w:rsidR="00497F59">
          <w:rPr>
            <w:rStyle w:val="Hyperlink"/>
            <w:sz w:val="24"/>
            <w:szCs w:val="24"/>
          </w:rPr>
          <w:t>46</w:t>
        </w:r>
      </w:hyperlink>
      <w:r w:rsidRPr="005F363D">
        <w:rPr>
          <w:sz w:val="24"/>
          <w:szCs w:val="24"/>
        </w:rPr>
        <w:t>]</w:t>
      </w:r>
    </w:p>
    <w:p w14:paraId="1D5E028B" w14:textId="31CD350F" w:rsidR="00A67008" w:rsidRPr="005F363D" w:rsidRDefault="00A67008" w:rsidP="00A67008">
      <w:pPr>
        <w:rPr>
          <w:sz w:val="22"/>
          <w:szCs w:val="22"/>
        </w:rPr>
      </w:pPr>
      <w:r w:rsidRPr="00A67008">
        <w:rPr>
          <w:sz w:val="22"/>
          <w:szCs w:val="22"/>
        </w:rPr>
        <w:t>Security controls for operation and maintenance of IMT-2020/5G network systems</w:t>
      </w:r>
    </w:p>
    <w:p w14:paraId="3A9443F5" w14:textId="77777777" w:rsidR="00A67008" w:rsidRPr="005F363D" w:rsidRDefault="00A67008" w:rsidP="00A67008">
      <w:pPr>
        <w:pStyle w:val="Heading2"/>
        <w:keepNext w:val="0"/>
        <w:keepLines w:val="0"/>
        <w:rPr>
          <w:sz w:val="22"/>
          <w:szCs w:val="22"/>
        </w:rPr>
      </w:pPr>
      <w:r w:rsidRPr="005F363D">
        <w:rPr>
          <w:sz w:val="22"/>
          <w:szCs w:val="22"/>
        </w:rPr>
        <w:t>Summary</w:t>
      </w:r>
    </w:p>
    <w:p w14:paraId="74723C60" w14:textId="77777777" w:rsidR="00A67008" w:rsidRPr="00A67008" w:rsidRDefault="00A67008" w:rsidP="00A67008">
      <w:pPr>
        <w:rPr>
          <w:rFonts w:eastAsia="SimSun"/>
          <w:sz w:val="22"/>
          <w:szCs w:val="22"/>
          <w:lang w:val="en-US"/>
        </w:rPr>
      </w:pPr>
      <w:r w:rsidRPr="00A67008">
        <w:rPr>
          <w:rFonts w:eastAsia="SimSun"/>
          <w:sz w:val="22"/>
          <w:szCs w:val="22"/>
          <w:lang w:val="en-US"/>
        </w:rPr>
        <w:t>This Recommendation provides comprehensive guidance on securing the IMT-2020 (aka 5G) system during operation and maintenance phases in practice. The described security threats and recommended security controls are the result of a threat analysis.</w:t>
      </w:r>
    </w:p>
    <w:p w14:paraId="49022484" w14:textId="5D8327A8" w:rsidR="00A67008" w:rsidRPr="007B07A8" w:rsidRDefault="00A67008" w:rsidP="00A67008">
      <w:pPr>
        <w:rPr>
          <w:rFonts w:eastAsia="SimSun"/>
          <w:sz w:val="22"/>
          <w:szCs w:val="22"/>
          <w:lang w:val="en-US"/>
        </w:rPr>
      </w:pPr>
      <w:r w:rsidRPr="00A67008">
        <w:rPr>
          <w:rFonts w:eastAsia="SimSun"/>
          <w:sz w:val="22"/>
          <w:szCs w:val="22"/>
          <w:lang w:val="en-US"/>
        </w:rPr>
        <w:t>The focus of this Recommendation is the 5G Standalone (5G SA) system as well as the virtual infrastructure and associated management systems that are expected to form the foundation for 5G deployments. Furthermore, consideration has been given not only to technology, but also people and process aspects affecting the security of 5G services. Recommended security controls are described at a high-level and reference established standards and best practices where relevant</w:t>
      </w:r>
      <w:r w:rsidRPr="007B07A8">
        <w:rPr>
          <w:rFonts w:eastAsia="SimSun"/>
          <w:sz w:val="22"/>
          <w:szCs w:val="22"/>
          <w:lang w:val="en-US"/>
        </w:rPr>
        <w:t>.</w:t>
      </w:r>
    </w:p>
    <w:p w14:paraId="68978CC4" w14:textId="77777777" w:rsidR="00335037" w:rsidRPr="001F1686" w:rsidRDefault="00335037" w:rsidP="001F1686">
      <w:pPr>
        <w:jc w:val="both"/>
        <w:rPr>
          <w:rFonts w:eastAsia="MS Mincho"/>
          <w:lang w:val="en-US"/>
        </w:rPr>
      </w:pPr>
    </w:p>
    <w:p w14:paraId="7A74A5A0" w14:textId="7942B5D7" w:rsidR="009A1A66" w:rsidRPr="00D7384A" w:rsidRDefault="009A1A66" w:rsidP="00AF6072">
      <w:pPr>
        <w:pStyle w:val="Annextitle"/>
        <w:spacing w:before="120" w:after="120"/>
      </w:pPr>
      <w:r w:rsidRPr="00D7384A">
        <w:rPr>
          <w:highlight w:val="cyan"/>
        </w:rPr>
        <w:br w:type="page"/>
      </w:r>
      <w:r w:rsidR="00C13D40">
        <w:lastRenderedPageBreak/>
        <w:t>Annex 2</w:t>
      </w:r>
    </w:p>
    <w:p w14:paraId="6802D8BE" w14:textId="2895376E" w:rsidR="008F14F3" w:rsidRPr="00D7384A" w:rsidRDefault="008F14F3" w:rsidP="00A279F9">
      <w:pPr>
        <w:pStyle w:val="Annextitle"/>
        <w:spacing w:before="120" w:after="120"/>
      </w:pPr>
      <w:r w:rsidRPr="00D7384A">
        <w:t xml:space="preserve">Subject: </w:t>
      </w:r>
      <w:r w:rsidR="00692261" w:rsidRPr="00D7384A">
        <w:t>Member State response</w:t>
      </w:r>
      <w:r w:rsidRPr="00D7384A">
        <w:t xml:space="preserve"> to TSB Circular</w:t>
      </w:r>
      <w:r w:rsidR="00006B04">
        <w:t xml:space="preserve"> </w:t>
      </w:r>
      <w:r w:rsidR="00A67008">
        <w:t>142</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00062724" w:rsidRPr="00062724">
        <w:t xml:space="preserve"> Recommendations </w:t>
      </w:r>
      <w:bookmarkStart w:id="6" w:name="_Hlk147304395"/>
      <w:r w:rsidR="00A67008" w:rsidRPr="003A4B29">
        <w:t>ITU T X.1150 (X.saf</w:t>
      </w:r>
      <w:r w:rsidR="00AB24E2">
        <w:t>-</w:t>
      </w:r>
      <w:r w:rsidR="00A67008" w:rsidRPr="003A4B29">
        <w:t xml:space="preserve">dfs), X.1221 (X.stie), X.1222 (X.taeii), X.1280 (X.oob-sa), X.1281 (X.osia), </w:t>
      </w:r>
      <w:r w:rsidR="00A67008">
        <w:t xml:space="preserve">Amendment 1 to </w:t>
      </w:r>
      <w:r w:rsidR="00A67008" w:rsidRPr="003A4B29">
        <w:t xml:space="preserve">X.1352, </w:t>
      </w:r>
      <w:r w:rsidR="00A67008">
        <w:t xml:space="preserve">revised </w:t>
      </w:r>
      <w:r w:rsidR="00A67008" w:rsidRPr="003A4B29">
        <w:t xml:space="preserve">X1373, </w:t>
      </w:r>
      <w:r w:rsidR="00A67008">
        <w:t xml:space="preserve">and </w:t>
      </w:r>
      <w:r w:rsidR="00A67008" w:rsidRPr="003A4B29">
        <w:t>X1818 (X.5Gsec-ctrl)</w:t>
      </w:r>
      <w:bookmarkEnd w:id="6"/>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301329B0" w14:textId="77777777" w:rsidTr="00780D16">
        <w:tc>
          <w:tcPr>
            <w:tcW w:w="1005" w:type="dxa"/>
            <w:shd w:val="clear" w:color="auto" w:fill="auto"/>
          </w:tcPr>
          <w:p w14:paraId="5041E756"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0B54A0D1"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8AA2BD8" w14:textId="77777777" w:rsidR="008A779C" w:rsidRPr="00A43CA0" w:rsidRDefault="008A779C" w:rsidP="008F14F3">
            <w:pPr>
              <w:spacing w:before="0"/>
              <w:rPr>
                <w:szCs w:val="24"/>
                <w:lang w:val="fr-CH"/>
              </w:rPr>
            </w:pPr>
            <w:r w:rsidRPr="00A43CA0">
              <w:rPr>
                <w:szCs w:val="24"/>
                <w:lang w:val="fr-CH"/>
              </w:rPr>
              <w:t>International Telecommunication Union</w:t>
            </w:r>
          </w:p>
          <w:p w14:paraId="4360E6F8" w14:textId="77777777" w:rsidR="008A779C" w:rsidRPr="00A43CA0" w:rsidRDefault="008A779C" w:rsidP="008F14F3">
            <w:pPr>
              <w:spacing w:before="0"/>
              <w:rPr>
                <w:szCs w:val="24"/>
                <w:lang w:val="fr-CH"/>
              </w:rPr>
            </w:pPr>
            <w:r w:rsidRPr="00A43CA0">
              <w:rPr>
                <w:szCs w:val="24"/>
                <w:lang w:val="fr-CH"/>
              </w:rPr>
              <w:t>Place des Nations</w:t>
            </w:r>
          </w:p>
          <w:p w14:paraId="77898857"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7240600C"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2AB1A2AC" w14:textId="77777777" w:rsidR="009A1A66" w:rsidRPr="00D7384A" w:rsidRDefault="008A779C" w:rsidP="009A1A66">
            <w:pPr>
              <w:rPr>
                <w:szCs w:val="24"/>
                <w:highlight w:val="green"/>
              </w:rPr>
            </w:pPr>
            <w:r w:rsidRPr="00D7384A">
              <w:rPr>
                <w:szCs w:val="24"/>
                <w:highlight w:val="green"/>
              </w:rPr>
              <w:t>[Name]</w:t>
            </w:r>
          </w:p>
          <w:p w14:paraId="7BBA7321" w14:textId="77777777" w:rsidR="008A779C" w:rsidRPr="00D7384A" w:rsidRDefault="008A779C" w:rsidP="008F14F3">
            <w:pPr>
              <w:spacing w:before="0"/>
              <w:rPr>
                <w:szCs w:val="24"/>
                <w:highlight w:val="green"/>
              </w:rPr>
            </w:pPr>
            <w:r w:rsidRPr="00D7384A">
              <w:rPr>
                <w:szCs w:val="24"/>
                <w:highlight w:val="green"/>
              </w:rPr>
              <w:t>[Official role/title]</w:t>
            </w:r>
          </w:p>
          <w:p w14:paraId="3ADFA03D" w14:textId="77777777" w:rsidR="008A779C" w:rsidRPr="00D7384A" w:rsidRDefault="008A779C" w:rsidP="009B72DB">
            <w:pPr>
              <w:spacing w:before="0"/>
              <w:rPr>
                <w:szCs w:val="24"/>
              </w:rPr>
            </w:pPr>
            <w:r w:rsidRPr="00D7384A">
              <w:rPr>
                <w:szCs w:val="24"/>
                <w:highlight w:val="green"/>
              </w:rPr>
              <w:t>[Address]</w:t>
            </w:r>
          </w:p>
        </w:tc>
      </w:tr>
      <w:tr w:rsidR="009A1A66" w:rsidRPr="00D7384A" w14:paraId="154EBAE8" w14:textId="77777777" w:rsidTr="00780D16">
        <w:tc>
          <w:tcPr>
            <w:tcW w:w="1005" w:type="dxa"/>
            <w:shd w:val="clear" w:color="auto" w:fill="auto"/>
          </w:tcPr>
          <w:p w14:paraId="6A33237F"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46E5A1D1"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727DB13B" w14:textId="77777777" w:rsidR="009A1A66" w:rsidRPr="00D7384A" w:rsidRDefault="008A779C" w:rsidP="00692261">
            <w:pPr>
              <w:spacing w:before="0"/>
              <w:rPr>
                <w:szCs w:val="24"/>
              </w:rPr>
            </w:pPr>
            <w:r w:rsidRPr="00D7384A">
              <w:rPr>
                <w:szCs w:val="24"/>
              </w:rPr>
              <w:t>+41-22-730-5853</w:t>
            </w:r>
          </w:p>
          <w:p w14:paraId="5B050A43" w14:textId="77777777" w:rsidR="008A779C" w:rsidRPr="00D7384A" w:rsidRDefault="00913A26" w:rsidP="00692261">
            <w:pPr>
              <w:spacing w:before="0"/>
              <w:rPr>
                <w:szCs w:val="24"/>
              </w:rPr>
            </w:pPr>
            <w:hyperlink r:id="rId20"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B67807B"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7CB8EE3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5D976D73" w14:textId="77777777" w:rsidR="009A1A66" w:rsidRPr="00D7384A" w:rsidRDefault="009A1A66" w:rsidP="00692261">
            <w:pPr>
              <w:spacing w:before="0"/>
              <w:rPr>
                <w:szCs w:val="24"/>
              </w:rPr>
            </w:pPr>
          </w:p>
        </w:tc>
      </w:tr>
      <w:tr w:rsidR="009A1A66" w:rsidRPr="00D7384A" w14:paraId="0E5681F0" w14:textId="77777777" w:rsidTr="00780D16">
        <w:tc>
          <w:tcPr>
            <w:tcW w:w="1005" w:type="dxa"/>
            <w:shd w:val="clear" w:color="auto" w:fill="auto"/>
          </w:tcPr>
          <w:p w14:paraId="08651FDD"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2A842300"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2A3F75F1"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5F9C6834"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7C38F02" w14:textId="77777777" w:rsidR="00C51F4B" w:rsidRPr="00D7384A" w:rsidRDefault="00C51F4B" w:rsidP="00A279F9">
      <w:pPr>
        <w:rPr>
          <w:szCs w:val="24"/>
        </w:rPr>
      </w:pPr>
      <w:r w:rsidRPr="00D7384A">
        <w:rPr>
          <w:szCs w:val="24"/>
        </w:rPr>
        <w:t xml:space="preserve">Dear </w:t>
      </w:r>
      <w:r w:rsidR="00964A6B" w:rsidRPr="00D7384A">
        <w:rPr>
          <w:szCs w:val="24"/>
        </w:rPr>
        <w:t>Sir/Madam</w:t>
      </w:r>
      <w:r w:rsidR="00692261" w:rsidRPr="00D7384A">
        <w:rPr>
          <w:szCs w:val="24"/>
        </w:rPr>
        <w:t>,</w:t>
      </w:r>
    </w:p>
    <w:p w14:paraId="145209C2" w14:textId="4D1F7390"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3B6D10">
        <w:rPr>
          <w:szCs w:val="24"/>
        </w:rPr>
        <w:t>text(s)</w:t>
      </w:r>
      <w:r w:rsidRPr="00D7384A">
        <w:rPr>
          <w:szCs w:val="24"/>
        </w:rPr>
        <w:t xml:space="preserve"> listed in </w:t>
      </w:r>
      <w:r w:rsidR="00C51F4B" w:rsidRPr="00D7384A">
        <w:rPr>
          <w:szCs w:val="24"/>
        </w:rPr>
        <w:t xml:space="preserve">TSB Circular </w:t>
      </w:r>
      <w:r w:rsidR="00A67008">
        <w:rPr>
          <w:szCs w:val="24"/>
        </w:rPr>
        <w:t>142</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BC4AC3" w:rsidRPr="00BC4AC3" w14:paraId="065DE8A7" w14:textId="77777777" w:rsidTr="00EF7B69">
        <w:trPr>
          <w:cantSplit/>
          <w:tblHeader/>
        </w:trPr>
        <w:tc>
          <w:tcPr>
            <w:tcW w:w="2263" w:type="dxa"/>
            <w:shd w:val="clear" w:color="auto" w:fill="auto"/>
            <w:vAlign w:val="center"/>
          </w:tcPr>
          <w:p w14:paraId="2A4D1CA3" w14:textId="77777777" w:rsidR="00BC4AC3" w:rsidRPr="00BC4AC3" w:rsidRDefault="00BC4AC3" w:rsidP="00AB24E2">
            <w:pPr>
              <w:spacing w:after="120"/>
              <w:jc w:val="center"/>
              <w:rPr>
                <w:b/>
                <w:bCs/>
                <w:szCs w:val="24"/>
                <w:lang w:val="en-US"/>
              </w:rPr>
            </w:pPr>
          </w:p>
        </w:tc>
        <w:tc>
          <w:tcPr>
            <w:tcW w:w="7456" w:type="dxa"/>
            <w:shd w:val="clear" w:color="auto" w:fill="auto"/>
            <w:vAlign w:val="center"/>
          </w:tcPr>
          <w:p w14:paraId="6B5065CA" w14:textId="77777777" w:rsidR="00BC4AC3" w:rsidRPr="00BC4AC3" w:rsidRDefault="00BC4AC3" w:rsidP="00AB24E2">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FBA8083" w14:textId="77777777" w:rsidTr="00EF7B69">
        <w:trPr>
          <w:cantSplit/>
          <w:trHeight w:val="748"/>
        </w:trPr>
        <w:tc>
          <w:tcPr>
            <w:tcW w:w="2263" w:type="dxa"/>
            <w:vMerge w:val="restart"/>
            <w:shd w:val="clear" w:color="auto" w:fill="auto"/>
            <w:vAlign w:val="center"/>
          </w:tcPr>
          <w:p w14:paraId="5BB3024B" w14:textId="602B3C1B" w:rsidR="00BC4AC3" w:rsidRPr="00C7386B" w:rsidRDefault="001E7AE5" w:rsidP="00AB24E2">
            <w:pPr>
              <w:spacing w:before="60" w:after="60"/>
              <w:jc w:val="center"/>
              <w:rPr>
                <w:b/>
                <w:bCs/>
                <w:szCs w:val="24"/>
              </w:rPr>
            </w:pPr>
            <w:r w:rsidRPr="00C7386B">
              <w:rPr>
                <w:b/>
                <w:bCs/>
                <w:szCs w:val="24"/>
              </w:rPr>
              <w:t xml:space="preserve">Draft </w:t>
            </w:r>
            <w:r w:rsidR="00A67008">
              <w:rPr>
                <w:b/>
                <w:bCs/>
                <w:szCs w:val="24"/>
              </w:rPr>
              <w:t>new</w:t>
            </w:r>
            <w:r w:rsidR="007E04BC" w:rsidRPr="00C7386B">
              <w:rPr>
                <w:b/>
                <w:bCs/>
                <w:szCs w:val="24"/>
              </w:rPr>
              <w:t xml:space="preserve"> </w:t>
            </w:r>
            <w:r w:rsidRPr="00C7386B">
              <w:rPr>
                <w:b/>
                <w:bCs/>
                <w:szCs w:val="24"/>
              </w:rPr>
              <w:t xml:space="preserve">Recommendation </w:t>
            </w:r>
            <w:r w:rsidR="007E04BC" w:rsidRPr="00C7386B">
              <w:rPr>
                <w:b/>
                <w:bCs/>
                <w:szCs w:val="24"/>
              </w:rPr>
              <w:t xml:space="preserve">ITU-T </w:t>
            </w:r>
            <w:r w:rsidR="00062724" w:rsidRPr="00C7386B">
              <w:rPr>
                <w:b/>
                <w:bCs/>
                <w:szCs w:val="24"/>
              </w:rPr>
              <w:t>X.</w:t>
            </w:r>
            <w:r w:rsidR="00A67008">
              <w:rPr>
                <w:b/>
                <w:bCs/>
                <w:szCs w:val="24"/>
              </w:rPr>
              <w:t>1150</w:t>
            </w:r>
            <w:r w:rsidR="00451C00">
              <w:rPr>
                <w:b/>
                <w:bCs/>
                <w:szCs w:val="24"/>
              </w:rPr>
              <w:br/>
            </w:r>
            <w:r w:rsidR="00A67008">
              <w:rPr>
                <w:b/>
                <w:bCs/>
                <w:szCs w:val="24"/>
              </w:rPr>
              <w:t>(X.saf-dfs</w:t>
            </w:r>
            <w:r w:rsidR="00AB24E2">
              <w:rPr>
                <w:b/>
                <w:bCs/>
                <w:szCs w:val="24"/>
              </w:rPr>
              <w:t>)</w:t>
            </w:r>
          </w:p>
        </w:tc>
        <w:tc>
          <w:tcPr>
            <w:tcW w:w="7456" w:type="dxa"/>
            <w:shd w:val="clear" w:color="auto" w:fill="auto"/>
            <w:vAlign w:val="center"/>
          </w:tcPr>
          <w:p w14:paraId="7D6BD6DA" w14:textId="4C6DAB79" w:rsidR="00BC4AC3" w:rsidRPr="00BC4AC3" w:rsidRDefault="00BC4AC3" w:rsidP="00AB24E2">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D1E60B5" w14:textId="77777777" w:rsidR="00BC4AC3" w:rsidRPr="00BC4AC3" w:rsidRDefault="00BC4AC3" w:rsidP="00AB24E2">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0170CECF" w14:textId="77777777" w:rsidR="00BC4AC3" w:rsidRPr="00BC4AC3" w:rsidRDefault="00BC4AC3" w:rsidP="00AB24E2">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B40C2DF" w14:textId="77777777" w:rsidTr="00EF7B69">
        <w:trPr>
          <w:cantSplit/>
          <w:trHeight w:val="747"/>
        </w:trPr>
        <w:tc>
          <w:tcPr>
            <w:tcW w:w="2263" w:type="dxa"/>
            <w:vMerge/>
            <w:shd w:val="clear" w:color="auto" w:fill="auto"/>
            <w:vAlign w:val="center"/>
          </w:tcPr>
          <w:p w14:paraId="10E10CF7" w14:textId="77777777" w:rsidR="00BC4AC3" w:rsidRPr="00C7386B" w:rsidRDefault="00BC4AC3" w:rsidP="00AB24E2">
            <w:pPr>
              <w:spacing w:before="60" w:after="60"/>
              <w:jc w:val="center"/>
              <w:rPr>
                <w:b/>
                <w:bCs/>
                <w:szCs w:val="24"/>
              </w:rPr>
            </w:pPr>
          </w:p>
        </w:tc>
        <w:tc>
          <w:tcPr>
            <w:tcW w:w="7456" w:type="dxa"/>
            <w:shd w:val="clear" w:color="auto" w:fill="auto"/>
            <w:vAlign w:val="center"/>
          </w:tcPr>
          <w:p w14:paraId="24BB29D6" w14:textId="07BF3373" w:rsidR="00BC4AC3" w:rsidRPr="00BC4AC3" w:rsidRDefault="00BC4AC3" w:rsidP="00AB24E2">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363D64C6" w14:textId="77777777" w:rsidTr="00EF7B69">
        <w:trPr>
          <w:cantSplit/>
          <w:trHeight w:val="747"/>
        </w:trPr>
        <w:tc>
          <w:tcPr>
            <w:tcW w:w="2263" w:type="dxa"/>
            <w:vMerge w:val="restart"/>
            <w:shd w:val="clear" w:color="auto" w:fill="auto"/>
            <w:vAlign w:val="center"/>
          </w:tcPr>
          <w:p w14:paraId="2D2ADD6A" w14:textId="74CA0305" w:rsidR="00062724" w:rsidRPr="00AB24E2" w:rsidRDefault="009C6B8E" w:rsidP="00AB24E2">
            <w:pPr>
              <w:spacing w:before="60" w:after="60"/>
              <w:jc w:val="center"/>
              <w:rPr>
                <w:b/>
                <w:bCs/>
                <w:szCs w:val="24"/>
                <w:lang w:val="fr-CH"/>
              </w:rPr>
            </w:pPr>
            <w:r w:rsidRPr="00AB24E2">
              <w:rPr>
                <w:b/>
                <w:bCs/>
                <w:szCs w:val="24"/>
                <w:lang w:val="fr-CH"/>
              </w:rPr>
              <w:t>Draft new Recommendation ITU-T X.1</w:t>
            </w:r>
            <w:r w:rsidR="00AB24E2" w:rsidRPr="00AB24E2">
              <w:rPr>
                <w:b/>
                <w:bCs/>
                <w:szCs w:val="24"/>
                <w:lang w:val="fr-CH"/>
              </w:rPr>
              <w:t>221</w:t>
            </w:r>
            <w:r w:rsidR="005F363D" w:rsidRPr="00AB24E2">
              <w:rPr>
                <w:b/>
                <w:bCs/>
                <w:szCs w:val="24"/>
                <w:lang w:val="fr-CH"/>
              </w:rPr>
              <w:br/>
            </w:r>
            <w:r w:rsidRPr="00AB24E2">
              <w:rPr>
                <w:b/>
                <w:bCs/>
                <w:szCs w:val="24"/>
                <w:lang w:val="fr-CH"/>
              </w:rPr>
              <w:t>(X.</w:t>
            </w:r>
            <w:r w:rsidR="00AB24E2" w:rsidRPr="00AB24E2">
              <w:rPr>
                <w:b/>
                <w:bCs/>
                <w:szCs w:val="24"/>
                <w:lang w:val="fr-CH"/>
              </w:rPr>
              <w:t>stie</w:t>
            </w:r>
            <w:r w:rsidRPr="00AB24E2">
              <w:rPr>
                <w:b/>
                <w:bCs/>
                <w:szCs w:val="24"/>
                <w:lang w:val="fr-CH"/>
              </w:rPr>
              <w:t>)</w:t>
            </w:r>
          </w:p>
        </w:tc>
        <w:tc>
          <w:tcPr>
            <w:tcW w:w="7456" w:type="dxa"/>
            <w:shd w:val="clear" w:color="auto" w:fill="auto"/>
            <w:vAlign w:val="center"/>
          </w:tcPr>
          <w:p w14:paraId="54D3427C" w14:textId="6B713F89" w:rsidR="00062724" w:rsidRPr="00BC4AC3" w:rsidRDefault="00062724" w:rsidP="00AB24E2">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47AA825D" w14:textId="77777777" w:rsidR="00062724" w:rsidRPr="00BC4AC3" w:rsidRDefault="00062724" w:rsidP="00AB24E2">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607CFE87" w14:textId="7357F22A" w:rsidR="00062724" w:rsidRPr="00BC4AC3" w:rsidRDefault="00062724" w:rsidP="00AB24E2">
            <w:pPr>
              <w:tabs>
                <w:tab w:val="clear" w:pos="794"/>
                <w:tab w:val="clear" w:pos="1191"/>
                <w:tab w:val="clear" w:pos="1588"/>
                <w:tab w:val="clear" w:pos="1985"/>
                <w:tab w:val="left" w:pos="250"/>
              </w:tabs>
              <w:spacing w:before="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325C9B9F" w14:textId="77777777" w:rsidTr="00EF7B69">
        <w:trPr>
          <w:cantSplit/>
          <w:trHeight w:val="747"/>
        </w:trPr>
        <w:tc>
          <w:tcPr>
            <w:tcW w:w="2263" w:type="dxa"/>
            <w:vMerge/>
            <w:shd w:val="clear" w:color="auto" w:fill="auto"/>
            <w:vAlign w:val="center"/>
          </w:tcPr>
          <w:p w14:paraId="5FDB0B60" w14:textId="77777777" w:rsidR="00062724" w:rsidRPr="00062724" w:rsidRDefault="00062724" w:rsidP="00AB24E2">
            <w:pPr>
              <w:spacing w:before="60" w:after="60"/>
              <w:jc w:val="center"/>
              <w:rPr>
                <w:b/>
                <w:bCs/>
                <w:szCs w:val="24"/>
                <w:lang w:val="en-US"/>
              </w:rPr>
            </w:pPr>
          </w:p>
        </w:tc>
        <w:tc>
          <w:tcPr>
            <w:tcW w:w="7456" w:type="dxa"/>
            <w:shd w:val="clear" w:color="auto" w:fill="auto"/>
            <w:vAlign w:val="center"/>
          </w:tcPr>
          <w:p w14:paraId="71505869" w14:textId="30A6B3C1" w:rsidR="00062724" w:rsidRPr="00BC4AC3" w:rsidRDefault="00062724" w:rsidP="00AB24E2">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16BC698F" w14:textId="77777777" w:rsidTr="00EF7B69">
        <w:trPr>
          <w:cantSplit/>
          <w:trHeight w:val="747"/>
        </w:trPr>
        <w:tc>
          <w:tcPr>
            <w:tcW w:w="2263" w:type="dxa"/>
            <w:vMerge w:val="restart"/>
            <w:shd w:val="clear" w:color="auto" w:fill="auto"/>
            <w:vAlign w:val="center"/>
          </w:tcPr>
          <w:p w14:paraId="5F4ED29D" w14:textId="0B29FEED" w:rsidR="00062724" w:rsidRPr="00C7386B" w:rsidRDefault="009C6B8E" w:rsidP="00AB24E2">
            <w:pPr>
              <w:spacing w:before="60" w:after="60"/>
              <w:jc w:val="center"/>
              <w:rPr>
                <w:b/>
                <w:bCs/>
                <w:szCs w:val="24"/>
              </w:rPr>
            </w:pPr>
            <w:r w:rsidRPr="00D77C09">
              <w:rPr>
                <w:b/>
                <w:bCs/>
                <w:szCs w:val="24"/>
              </w:rPr>
              <w:t>Draft new Recommendation ITU-T X.</w:t>
            </w:r>
            <w:r w:rsidR="00AB24E2">
              <w:rPr>
                <w:b/>
                <w:bCs/>
                <w:szCs w:val="24"/>
              </w:rPr>
              <w:t>1222</w:t>
            </w:r>
            <w:r w:rsidRPr="00D77C09">
              <w:rPr>
                <w:b/>
                <w:bCs/>
                <w:szCs w:val="24"/>
              </w:rPr>
              <w:t xml:space="preserve"> (X.</w:t>
            </w:r>
            <w:r w:rsidR="00AB24E2">
              <w:rPr>
                <w:b/>
                <w:bCs/>
                <w:szCs w:val="24"/>
              </w:rPr>
              <w:t>taeii</w:t>
            </w:r>
            <w:r w:rsidRPr="00D77C09">
              <w:rPr>
                <w:b/>
                <w:bCs/>
                <w:szCs w:val="24"/>
              </w:rPr>
              <w:t>)</w:t>
            </w:r>
          </w:p>
        </w:tc>
        <w:tc>
          <w:tcPr>
            <w:tcW w:w="7456" w:type="dxa"/>
            <w:shd w:val="clear" w:color="auto" w:fill="auto"/>
            <w:vAlign w:val="center"/>
          </w:tcPr>
          <w:p w14:paraId="0395A57B" w14:textId="565715CE" w:rsidR="00062724" w:rsidRPr="00BC4AC3" w:rsidRDefault="00062724" w:rsidP="00AB24E2">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1EF9FFAE" w14:textId="77777777" w:rsidR="00062724" w:rsidRPr="00BC4AC3" w:rsidRDefault="00062724" w:rsidP="00AB24E2">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6DF2CD57" w14:textId="77D27F30" w:rsidR="00062724" w:rsidRPr="00BC4AC3" w:rsidRDefault="00062724" w:rsidP="00AB24E2">
            <w:pPr>
              <w:tabs>
                <w:tab w:val="clear" w:pos="794"/>
                <w:tab w:val="clear" w:pos="1191"/>
                <w:tab w:val="clear" w:pos="1588"/>
                <w:tab w:val="clear" w:pos="1985"/>
                <w:tab w:val="left" w:pos="250"/>
              </w:tabs>
              <w:spacing w:before="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360A767A" w14:textId="77777777" w:rsidTr="00EF7B69">
        <w:trPr>
          <w:cantSplit/>
          <w:trHeight w:val="747"/>
        </w:trPr>
        <w:tc>
          <w:tcPr>
            <w:tcW w:w="2263" w:type="dxa"/>
            <w:vMerge/>
            <w:shd w:val="clear" w:color="auto" w:fill="auto"/>
            <w:vAlign w:val="center"/>
          </w:tcPr>
          <w:p w14:paraId="756B0F40" w14:textId="77777777" w:rsidR="00062724" w:rsidRPr="00BC4AC3" w:rsidRDefault="00062724" w:rsidP="00AB24E2">
            <w:pPr>
              <w:spacing w:before="60" w:after="60"/>
              <w:jc w:val="center"/>
              <w:rPr>
                <w:b/>
                <w:bCs/>
                <w:szCs w:val="24"/>
                <w:lang w:val="en-US"/>
              </w:rPr>
            </w:pPr>
          </w:p>
        </w:tc>
        <w:tc>
          <w:tcPr>
            <w:tcW w:w="7456" w:type="dxa"/>
            <w:shd w:val="clear" w:color="auto" w:fill="auto"/>
            <w:vAlign w:val="center"/>
          </w:tcPr>
          <w:p w14:paraId="2734F792" w14:textId="13520D56" w:rsidR="00062724" w:rsidRPr="00BC4AC3" w:rsidRDefault="00062724" w:rsidP="00AB24E2">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A433A3" w:rsidRPr="00BC4AC3" w14:paraId="727D1908" w14:textId="77777777" w:rsidTr="00EF7B69">
        <w:trPr>
          <w:cantSplit/>
          <w:trHeight w:val="357"/>
        </w:trPr>
        <w:tc>
          <w:tcPr>
            <w:tcW w:w="2263" w:type="dxa"/>
            <w:vMerge w:val="restart"/>
            <w:shd w:val="clear" w:color="auto" w:fill="auto"/>
            <w:vAlign w:val="center"/>
          </w:tcPr>
          <w:p w14:paraId="152624F5" w14:textId="51CA7209" w:rsidR="00A433A3" w:rsidRPr="00AB24E2" w:rsidRDefault="009C6B8E" w:rsidP="00AB24E2">
            <w:pPr>
              <w:keepNext/>
              <w:keepLines/>
              <w:spacing w:before="60" w:after="60"/>
              <w:jc w:val="center"/>
              <w:rPr>
                <w:b/>
                <w:bCs/>
                <w:szCs w:val="24"/>
                <w:lang w:val="fr-CH"/>
              </w:rPr>
            </w:pPr>
            <w:r w:rsidRPr="00AB24E2">
              <w:rPr>
                <w:b/>
                <w:bCs/>
                <w:szCs w:val="24"/>
                <w:lang w:val="fr-CH"/>
              </w:rPr>
              <w:lastRenderedPageBreak/>
              <w:t>Draft new Recommendation ITU-T X.1</w:t>
            </w:r>
            <w:r w:rsidR="00AB24E2" w:rsidRPr="00AB24E2">
              <w:rPr>
                <w:b/>
                <w:bCs/>
                <w:szCs w:val="24"/>
                <w:lang w:val="fr-CH"/>
              </w:rPr>
              <w:t>280</w:t>
            </w:r>
            <w:r w:rsidRPr="00AB24E2">
              <w:rPr>
                <w:b/>
                <w:bCs/>
                <w:szCs w:val="24"/>
                <w:lang w:val="fr-CH"/>
              </w:rPr>
              <w:t xml:space="preserve"> </w:t>
            </w:r>
            <w:r w:rsidRPr="00AB24E2">
              <w:rPr>
                <w:b/>
                <w:bCs/>
                <w:szCs w:val="24"/>
                <w:lang w:val="fr-CH"/>
              </w:rPr>
              <w:br/>
              <w:t>(X.</w:t>
            </w:r>
            <w:r w:rsidR="00AB24E2" w:rsidRPr="00AB24E2">
              <w:rPr>
                <w:b/>
                <w:bCs/>
                <w:szCs w:val="24"/>
                <w:lang w:val="fr-CH"/>
              </w:rPr>
              <w:t>oob-sa</w:t>
            </w:r>
            <w:r w:rsidRPr="00AB24E2">
              <w:rPr>
                <w:b/>
                <w:bCs/>
                <w:szCs w:val="24"/>
                <w:lang w:val="fr-CH"/>
              </w:rPr>
              <w:t>)</w:t>
            </w:r>
          </w:p>
        </w:tc>
        <w:tc>
          <w:tcPr>
            <w:tcW w:w="7456" w:type="dxa"/>
            <w:shd w:val="clear" w:color="auto" w:fill="auto"/>
            <w:vAlign w:val="center"/>
          </w:tcPr>
          <w:p w14:paraId="77DE60C0" w14:textId="77777777" w:rsidR="00A433A3" w:rsidRPr="00BC4AC3" w:rsidRDefault="00A433A3" w:rsidP="00AB24E2">
            <w:pPr>
              <w:keepNext/>
              <w:keepLines/>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932A8BA" w14:textId="77777777" w:rsidR="00A433A3" w:rsidRPr="00BC4AC3" w:rsidRDefault="00A433A3" w:rsidP="00AB24E2">
            <w:pPr>
              <w:keepNext/>
              <w:keepLines/>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73648632" w14:textId="177FAE88" w:rsidR="00A433A3" w:rsidRPr="00BC4AC3" w:rsidRDefault="00A433A3" w:rsidP="00AB24E2">
            <w:pPr>
              <w:keepNext/>
              <w:keepLines/>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A433A3" w:rsidRPr="00BC4AC3" w14:paraId="2DC32013" w14:textId="77777777" w:rsidTr="00EF7B69">
        <w:trPr>
          <w:cantSplit/>
          <w:trHeight w:val="380"/>
        </w:trPr>
        <w:tc>
          <w:tcPr>
            <w:tcW w:w="2263" w:type="dxa"/>
            <w:vMerge/>
            <w:shd w:val="clear" w:color="auto" w:fill="auto"/>
          </w:tcPr>
          <w:p w14:paraId="3ACFC85B" w14:textId="77777777" w:rsidR="00A433A3" w:rsidRPr="00BC4AC3" w:rsidRDefault="00A433A3" w:rsidP="00AB24E2">
            <w:pPr>
              <w:keepNext/>
              <w:keepLines/>
              <w:spacing w:before="60" w:after="60"/>
              <w:jc w:val="center"/>
              <w:rPr>
                <w:b/>
                <w:bCs/>
                <w:szCs w:val="24"/>
                <w:lang w:val="en-US"/>
              </w:rPr>
            </w:pPr>
          </w:p>
        </w:tc>
        <w:tc>
          <w:tcPr>
            <w:tcW w:w="7456" w:type="dxa"/>
            <w:shd w:val="clear" w:color="auto" w:fill="auto"/>
            <w:vAlign w:val="center"/>
          </w:tcPr>
          <w:p w14:paraId="50462340" w14:textId="18574B69" w:rsidR="00A433A3" w:rsidRPr="00BC4AC3" w:rsidRDefault="00A433A3" w:rsidP="00AB24E2">
            <w:pPr>
              <w:keepNext/>
              <w:keepLines/>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A433A3" w:rsidRPr="00BC4AC3" w14:paraId="7222FEE2" w14:textId="77777777" w:rsidTr="00EF7B69">
        <w:trPr>
          <w:cantSplit/>
          <w:trHeight w:val="368"/>
        </w:trPr>
        <w:tc>
          <w:tcPr>
            <w:tcW w:w="2263" w:type="dxa"/>
            <w:vMerge w:val="restart"/>
            <w:shd w:val="clear" w:color="auto" w:fill="auto"/>
            <w:vAlign w:val="center"/>
          </w:tcPr>
          <w:p w14:paraId="44364543" w14:textId="19937A23" w:rsidR="00A433A3" w:rsidRPr="00BC4AC3" w:rsidRDefault="009C6B8E" w:rsidP="00AB24E2">
            <w:pPr>
              <w:spacing w:before="60" w:after="60"/>
              <w:jc w:val="center"/>
              <w:rPr>
                <w:b/>
                <w:bCs/>
                <w:szCs w:val="24"/>
                <w:lang w:val="en-US"/>
              </w:rPr>
            </w:pPr>
            <w:r w:rsidRPr="00C7386B">
              <w:rPr>
                <w:b/>
                <w:bCs/>
                <w:szCs w:val="24"/>
              </w:rPr>
              <w:t xml:space="preserve">Draft new Recommendation </w:t>
            </w:r>
            <w:r w:rsidRPr="00C7386B">
              <w:rPr>
                <w:b/>
                <w:bCs/>
                <w:szCs w:val="24"/>
                <w:lang w:val="fr-CH"/>
              </w:rPr>
              <w:t xml:space="preserve">ITU-T </w:t>
            </w:r>
            <w:r w:rsidRPr="00C7386B">
              <w:rPr>
                <w:b/>
                <w:bCs/>
                <w:szCs w:val="24"/>
              </w:rPr>
              <w:t>X.</w:t>
            </w:r>
            <w:r w:rsidR="0076712A">
              <w:rPr>
                <w:b/>
                <w:bCs/>
                <w:szCs w:val="24"/>
              </w:rPr>
              <w:t>128</w:t>
            </w:r>
            <w:r w:rsidR="00EF7B69">
              <w:rPr>
                <w:b/>
                <w:bCs/>
                <w:szCs w:val="24"/>
              </w:rPr>
              <w:t>1</w:t>
            </w:r>
            <w:r w:rsidRPr="00C7386B">
              <w:rPr>
                <w:b/>
                <w:bCs/>
                <w:szCs w:val="24"/>
              </w:rPr>
              <w:t xml:space="preserve"> </w:t>
            </w:r>
            <w:r>
              <w:rPr>
                <w:b/>
                <w:bCs/>
                <w:szCs w:val="24"/>
              </w:rPr>
              <w:br/>
            </w:r>
            <w:r w:rsidRPr="00C7386B">
              <w:rPr>
                <w:b/>
                <w:bCs/>
                <w:szCs w:val="24"/>
              </w:rPr>
              <w:t>(X.</w:t>
            </w:r>
            <w:r w:rsidR="00AB24E2">
              <w:rPr>
                <w:b/>
                <w:bCs/>
                <w:szCs w:val="24"/>
              </w:rPr>
              <w:t>osia</w:t>
            </w:r>
            <w:r w:rsidRPr="00C7386B">
              <w:rPr>
                <w:b/>
                <w:bCs/>
                <w:szCs w:val="24"/>
              </w:rPr>
              <w:t>)</w:t>
            </w:r>
          </w:p>
        </w:tc>
        <w:tc>
          <w:tcPr>
            <w:tcW w:w="7456" w:type="dxa"/>
            <w:shd w:val="clear" w:color="auto" w:fill="auto"/>
            <w:vAlign w:val="center"/>
          </w:tcPr>
          <w:p w14:paraId="43921494" w14:textId="77777777" w:rsidR="00A433A3" w:rsidRPr="00BC4AC3" w:rsidRDefault="00A433A3" w:rsidP="00AB24E2">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562C3965" w14:textId="77777777" w:rsidR="00A433A3" w:rsidRPr="00BC4AC3" w:rsidRDefault="00A433A3" w:rsidP="00AB24E2">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710BF0D5" w14:textId="79A2CA67" w:rsidR="00A433A3" w:rsidRPr="00BC4AC3" w:rsidRDefault="00A433A3" w:rsidP="00AB24E2">
            <w:pPr>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A433A3" w:rsidRPr="00BC4AC3" w14:paraId="55E1693D" w14:textId="77777777" w:rsidTr="00EF7B69">
        <w:trPr>
          <w:cantSplit/>
          <w:trHeight w:val="380"/>
        </w:trPr>
        <w:tc>
          <w:tcPr>
            <w:tcW w:w="2263" w:type="dxa"/>
            <w:vMerge/>
            <w:shd w:val="clear" w:color="auto" w:fill="auto"/>
          </w:tcPr>
          <w:p w14:paraId="2F472964" w14:textId="77777777" w:rsidR="00A433A3" w:rsidRPr="00BC4AC3" w:rsidRDefault="00A433A3" w:rsidP="00AB24E2">
            <w:pPr>
              <w:spacing w:before="60" w:after="60"/>
              <w:jc w:val="center"/>
              <w:rPr>
                <w:b/>
                <w:bCs/>
                <w:szCs w:val="24"/>
                <w:lang w:val="en-US"/>
              </w:rPr>
            </w:pPr>
          </w:p>
        </w:tc>
        <w:tc>
          <w:tcPr>
            <w:tcW w:w="7456" w:type="dxa"/>
            <w:shd w:val="clear" w:color="auto" w:fill="auto"/>
            <w:vAlign w:val="center"/>
          </w:tcPr>
          <w:p w14:paraId="580BC069" w14:textId="753BD524" w:rsidR="00A433A3" w:rsidRPr="00BC4AC3" w:rsidRDefault="00A433A3" w:rsidP="00AB24E2">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9C6B8E" w:rsidRPr="00BC4AC3" w14:paraId="446E8ED4" w14:textId="77777777" w:rsidTr="00EF7B69">
        <w:trPr>
          <w:cantSplit/>
          <w:trHeight w:val="380"/>
        </w:trPr>
        <w:tc>
          <w:tcPr>
            <w:tcW w:w="2263" w:type="dxa"/>
            <w:vMerge w:val="restart"/>
            <w:shd w:val="clear" w:color="auto" w:fill="auto"/>
            <w:vAlign w:val="center"/>
          </w:tcPr>
          <w:p w14:paraId="2817C434" w14:textId="6256399F" w:rsidR="009C6B8E" w:rsidRPr="00BC4AC3" w:rsidRDefault="009C6B8E" w:rsidP="00AB24E2">
            <w:pPr>
              <w:spacing w:before="60" w:after="60"/>
              <w:jc w:val="center"/>
              <w:rPr>
                <w:b/>
                <w:bCs/>
                <w:szCs w:val="24"/>
                <w:lang w:val="en-US"/>
              </w:rPr>
            </w:pPr>
            <w:r w:rsidRPr="00C7386B">
              <w:rPr>
                <w:b/>
                <w:bCs/>
                <w:szCs w:val="24"/>
              </w:rPr>
              <w:t xml:space="preserve">Draft </w:t>
            </w:r>
            <w:r w:rsidR="00AB24E2">
              <w:rPr>
                <w:b/>
                <w:bCs/>
                <w:szCs w:val="24"/>
              </w:rPr>
              <w:t>Amendment to</w:t>
            </w:r>
            <w:r w:rsidRPr="00C7386B">
              <w:rPr>
                <w:b/>
                <w:bCs/>
                <w:szCs w:val="24"/>
              </w:rPr>
              <w:t xml:space="preserve"> Recommendation ITU-T X.1</w:t>
            </w:r>
            <w:r w:rsidR="00AB24E2">
              <w:rPr>
                <w:b/>
                <w:bCs/>
                <w:szCs w:val="24"/>
              </w:rPr>
              <w:t>352</w:t>
            </w:r>
            <w:r w:rsidRPr="00C7386B">
              <w:rPr>
                <w:b/>
                <w:bCs/>
                <w:szCs w:val="24"/>
              </w:rPr>
              <w:t xml:space="preserve"> </w:t>
            </w:r>
          </w:p>
        </w:tc>
        <w:tc>
          <w:tcPr>
            <w:tcW w:w="7456" w:type="dxa"/>
            <w:shd w:val="clear" w:color="auto" w:fill="auto"/>
            <w:vAlign w:val="center"/>
          </w:tcPr>
          <w:p w14:paraId="081410C0" w14:textId="77777777" w:rsidR="009C6B8E" w:rsidRPr="00BC4AC3" w:rsidRDefault="009C6B8E" w:rsidP="00AB24E2">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04D35538" w14:textId="77777777" w:rsidR="009C6B8E" w:rsidRPr="00BC4AC3" w:rsidRDefault="009C6B8E" w:rsidP="00AB24E2">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32CED92E" w14:textId="3A78F30D" w:rsidR="009C6B8E" w:rsidRPr="00BC4AC3" w:rsidRDefault="009C6B8E" w:rsidP="00AB24E2">
            <w:pPr>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9C6B8E" w:rsidRPr="00BC4AC3" w14:paraId="2441F100" w14:textId="77777777" w:rsidTr="00EF7B69">
        <w:trPr>
          <w:cantSplit/>
          <w:trHeight w:val="357"/>
        </w:trPr>
        <w:tc>
          <w:tcPr>
            <w:tcW w:w="2263" w:type="dxa"/>
            <w:vMerge/>
            <w:shd w:val="clear" w:color="auto" w:fill="auto"/>
            <w:vAlign w:val="center"/>
          </w:tcPr>
          <w:p w14:paraId="23B47843" w14:textId="77777777" w:rsidR="009C6B8E" w:rsidRPr="00BC4AC3" w:rsidRDefault="009C6B8E" w:rsidP="00AB24E2">
            <w:pPr>
              <w:spacing w:before="60" w:after="60"/>
              <w:jc w:val="center"/>
              <w:rPr>
                <w:b/>
                <w:bCs/>
                <w:szCs w:val="24"/>
                <w:lang w:val="en-US"/>
              </w:rPr>
            </w:pPr>
          </w:p>
        </w:tc>
        <w:tc>
          <w:tcPr>
            <w:tcW w:w="7456" w:type="dxa"/>
            <w:shd w:val="clear" w:color="auto" w:fill="auto"/>
            <w:vAlign w:val="center"/>
          </w:tcPr>
          <w:p w14:paraId="5D7673B6" w14:textId="4D110BEB" w:rsidR="009C6B8E" w:rsidRPr="00BC4AC3" w:rsidRDefault="009C6B8E" w:rsidP="00AB24E2">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A67008" w:rsidRPr="00BC4AC3" w14:paraId="6343F8DD" w14:textId="77777777" w:rsidTr="008A0CBA">
        <w:trPr>
          <w:cantSplit/>
          <w:trHeight w:val="380"/>
        </w:trPr>
        <w:tc>
          <w:tcPr>
            <w:tcW w:w="2263" w:type="dxa"/>
            <w:vMerge w:val="restart"/>
            <w:shd w:val="clear" w:color="auto" w:fill="auto"/>
            <w:vAlign w:val="center"/>
          </w:tcPr>
          <w:p w14:paraId="2ADCA0E3" w14:textId="493084DB" w:rsidR="00A67008" w:rsidRPr="00BC4AC3" w:rsidRDefault="00A67008" w:rsidP="00AB24E2">
            <w:pPr>
              <w:spacing w:before="60" w:after="60"/>
              <w:jc w:val="center"/>
              <w:rPr>
                <w:b/>
                <w:bCs/>
                <w:szCs w:val="24"/>
                <w:lang w:val="en-US"/>
              </w:rPr>
            </w:pPr>
            <w:r w:rsidRPr="00C7386B">
              <w:rPr>
                <w:b/>
                <w:bCs/>
                <w:szCs w:val="24"/>
              </w:rPr>
              <w:t xml:space="preserve">Draft </w:t>
            </w:r>
            <w:r w:rsidR="00AB24E2">
              <w:rPr>
                <w:b/>
                <w:bCs/>
                <w:szCs w:val="24"/>
              </w:rPr>
              <w:t>revised</w:t>
            </w:r>
            <w:r w:rsidRPr="00C7386B">
              <w:rPr>
                <w:b/>
                <w:bCs/>
                <w:szCs w:val="24"/>
              </w:rPr>
              <w:t xml:space="preserve"> Recommendation ITU-T X.</w:t>
            </w:r>
            <w:r w:rsidR="00AB24E2">
              <w:rPr>
                <w:b/>
                <w:bCs/>
                <w:szCs w:val="24"/>
              </w:rPr>
              <w:t>1373</w:t>
            </w:r>
          </w:p>
        </w:tc>
        <w:tc>
          <w:tcPr>
            <w:tcW w:w="7456" w:type="dxa"/>
            <w:shd w:val="clear" w:color="auto" w:fill="auto"/>
            <w:vAlign w:val="center"/>
          </w:tcPr>
          <w:p w14:paraId="6D14E43B" w14:textId="77777777" w:rsidR="00A67008" w:rsidRPr="00BC4AC3" w:rsidRDefault="00A67008" w:rsidP="00AB24E2">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55848C04" w14:textId="77777777" w:rsidR="00A67008" w:rsidRPr="00BC4AC3" w:rsidRDefault="00A67008" w:rsidP="00AB24E2">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58FC5489" w14:textId="77777777" w:rsidR="00A67008" w:rsidRPr="00BC4AC3" w:rsidRDefault="00A67008" w:rsidP="00AB24E2">
            <w:pPr>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A67008" w:rsidRPr="00BC4AC3" w14:paraId="31131BC2" w14:textId="77777777" w:rsidTr="008A0CBA">
        <w:trPr>
          <w:cantSplit/>
          <w:trHeight w:val="357"/>
        </w:trPr>
        <w:tc>
          <w:tcPr>
            <w:tcW w:w="2263" w:type="dxa"/>
            <w:vMerge/>
            <w:shd w:val="clear" w:color="auto" w:fill="auto"/>
            <w:vAlign w:val="center"/>
          </w:tcPr>
          <w:p w14:paraId="41AF221B" w14:textId="77777777" w:rsidR="00A67008" w:rsidRPr="00BC4AC3" w:rsidRDefault="00A67008" w:rsidP="00AB24E2">
            <w:pPr>
              <w:spacing w:before="60" w:after="60"/>
              <w:jc w:val="center"/>
              <w:rPr>
                <w:b/>
                <w:bCs/>
                <w:szCs w:val="24"/>
                <w:lang w:val="en-US"/>
              </w:rPr>
            </w:pPr>
          </w:p>
        </w:tc>
        <w:tc>
          <w:tcPr>
            <w:tcW w:w="7456" w:type="dxa"/>
            <w:shd w:val="clear" w:color="auto" w:fill="auto"/>
            <w:vAlign w:val="center"/>
          </w:tcPr>
          <w:p w14:paraId="76BC4E41" w14:textId="77777777" w:rsidR="00A67008" w:rsidRPr="00BC4AC3" w:rsidRDefault="00A67008" w:rsidP="00AB24E2">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A67008" w:rsidRPr="00BC4AC3" w14:paraId="6DA7909F" w14:textId="77777777" w:rsidTr="008A0CBA">
        <w:trPr>
          <w:cantSplit/>
          <w:trHeight w:val="380"/>
        </w:trPr>
        <w:tc>
          <w:tcPr>
            <w:tcW w:w="2263" w:type="dxa"/>
            <w:vMerge w:val="restart"/>
            <w:shd w:val="clear" w:color="auto" w:fill="auto"/>
            <w:vAlign w:val="center"/>
          </w:tcPr>
          <w:p w14:paraId="5F59E19A" w14:textId="64921C1D" w:rsidR="00A67008" w:rsidRPr="00BC4AC3" w:rsidRDefault="00A67008" w:rsidP="00AB24E2">
            <w:pPr>
              <w:spacing w:before="60" w:after="60"/>
              <w:jc w:val="center"/>
              <w:rPr>
                <w:b/>
                <w:bCs/>
                <w:szCs w:val="24"/>
                <w:lang w:val="en-US"/>
              </w:rPr>
            </w:pPr>
            <w:r w:rsidRPr="00C7386B">
              <w:rPr>
                <w:b/>
                <w:bCs/>
                <w:szCs w:val="24"/>
              </w:rPr>
              <w:t>Draft new Recommendation ITU-T X.1</w:t>
            </w:r>
            <w:r>
              <w:rPr>
                <w:b/>
                <w:bCs/>
                <w:szCs w:val="24"/>
              </w:rPr>
              <w:t>81</w:t>
            </w:r>
            <w:r w:rsidR="00AB24E2">
              <w:rPr>
                <w:b/>
                <w:bCs/>
                <w:szCs w:val="24"/>
              </w:rPr>
              <w:t>8</w:t>
            </w:r>
            <w:r w:rsidRPr="00C7386B">
              <w:rPr>
                <w:b/>
                <w:bCs/>
                <w:szCs w:val="24"/>
              </w:rPr>
              <w:t xml:space="preserve"> </w:t>
            </w:r>
            <w:r w:rsidRPr="00C7386B">
              <w:rPr>
                <w:b/>
                <w:bCs/>
                <w:szCs w:val="24"/>
              </w:rPr>
              <w:br/>
              <w:t>(X.</w:t>
            </w:r>
            <w:r>
              <w:rPr>
                <w:b/>
                <w:bCs/>
                <w:szCs w:val="24"/>
              </w:rPr>
              <w:t>5Gsec-</w:t>
            </w:r>
            <w:r w:rsidR="00AB24E2">
              <w:rPr>
                <w:b/>
                <w:bCs/>
                <w:szCs w:val="24"/>
              </w:rPr>
              <w:t>ctrl</w:t>
            </w:r>
            <w:r w:rsidRPr="00C7386B">
              <w:rPr>
                <w:b/>
                <w:bCs/>
                <w:szCs w:val="24"/>
              </w:rPr>
              <w:t>)</w:t>
            </w:r>
          </w:p>
        </w:tc>
        <w:tc>
          <w:tcPr>
            <w:tcW w:w="7456" w:type="dxa"/>
            <w:shd w:val="clear" w:color="auto" w:fill="auto"/>
            <w:vAlign w:val="center"/>
          </w:tcPr>
          <w:p w14:paraId="1630AD69" w14:textId="77777777" w:rsidR="00A67008" w:rsidRPr="00BC4AC3" w:rsidRDefault="00A67008" w:rsidP="00AB24E2">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64794E2A" w14:textId="77777777" w:rsidR="00A67008" w:rsidRPr="00BC4AC3" w:rsidRDefault="00A67008" w:rsidP="00AB24E2">
            <w:pPr>
              <w:tabs>
                <w:tab w:val="clear" w:pos="794"/>
                <w:tab w:val="clear" w:pos="1191"/>
                <w:tab w:val="clear" w:pos="1588"/>
                <w:tab w:val="clear" w:pos="1985"/>
              </w:tabs>
              <w:spacing w:before="0"/>
              <w:ind w:left="939" w:hanging="459"/>
              <w:rPr>
                <w:szCs w:val="24"/>
              </w:rPr>
            </w:pPr>
            <w:r w:rsidRPr="00BC4AC3">
              <w:rPr>
                <w:sz w:val="20"/>
              </w:rPr>
              <w:t>⃝</w:t>
            </w:r>
            <w:r w:rsidRPr="00BC4AC3">
              <w:rPr>
                <w:sz w:val="20"/>
              </w:rPr>
              <w:tab/>
            </w:r>
            <w:r w:rsidRPr="00BC4AC3">
              <w:rPr>
                <w:szCs w:val="24"/>
              </w:rPr>
              <w:t>No comments or suggested changes</w:t>
            </w:r>
          </w:p>
          <w:p w14:paraId="1CB883DE" w14:textId="77777777" w:rsidR="00A67008" w:rsidRPr="00BC4AC3" w:rsidRDefault="00A67008" w:rsidP="00AB24E2">
            <w:pPr>
              <w:tabs>
                <w:tab w:val="clear" w:pos="794"/>
                <w:tab w:val="clear" w:pos="1191"/>
                <w:tab w:val="clear" w:pos="1588"/>
                <w:tab w:val="clear" w:pos="1985"/>
                <w:tab w:val="left" w:pos="250"/>
              </w:tabs>
              <w:spacing w:before="60" w:after="60"/>
              <w:ind w:left="459" w:hanging="459"/>
              <w:rPr>
                <w:sz w:val="22"/>
                <w:szCs w:val="22"/>
              </w:rPr>
            </w:pPr>
            <w:r w:rsidRPr="00BC4AC3">
              <w:rPr>
                <w:sz w:val="20"/>
              </w:rPr>
              <w:t>⃝</w:t>
            </w:r>
            <w:r w:rsidRPr="00BC4AC3">
              <w:rPr>
                <w:sz w:val="20"/>
              </w:rPr>
              <w:tab/>
            </w:r>
            <w:r w:rsidRPr="00BC4AC3">
              <w:rPr>
                <w:szCs w:val="24"/>
              </w:rPr>
              <w:t>Comments and suggested changes are attached</w:t>
            </w:r>
          </w:p>
        </w:tc>
      </w:tr>
      <w:tr w:rsidR="00A67008" w:rsidRPr="00BC4AC3" w14:paraId="1BA00B06" w14:textId="77777777" w:rsidTr="008A0CBA">
        <w:trPr>
          <w:cantSplit/>
          <w:trHeight w:val="357"/>
        </w:trPr>
        <w:tc>
          <w:tcPr>
            <w:tcW w:w="2263" w:type="dxa"/>
            <w:vMerge/>
            <w:shd w:val="clear" w:color="auto" w:fill="auto"/>
            <w:vAlign w:val="center"/>
          </w:tcPr>
          <w:p w14:paraId="50640DB6" w14:textId="77777777" w:rsidR="00A67008" w:rsidRPr="00BC4AC3" w:rsidRDefault="00A67008" w:rsidP="00AB24E2">
            <w:pPr>
              <w:spacing w:before="60" w:after="60"/>
              <w:jc w:val="center"/>
              <w:rPr>
                <w:b/>
                <w:bCs/>
                <w:szCs w:val="24"/>
                <w:lang w:val="en-US"/>
              </w:rPr>
            </w:pPr>
          </w:p>
        </w:tc>
        <w:tc>
          <w:tcPr>
            <w:tcW w:w="7456" w:type="dxa"/>
            <w:shd w:val="clear" w:color="auto" w:fill="auto"/>
            <w:vAlign w:val="center"/>
          </w:tcPr>
          <w:p w14:paraId="296ED2F7" w14:textId="77777777" w:rsidR="00A67008" w:rsidRPr="00BC4AC3" w:rsidRDefault="00A67008" w:rsidP="00AB24E2">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13A26">
              <w:rPr>
                <w:sz w:val="22"/>
                <w:szCs w:val="22"/>
              </w:rPr>
            </w:r>
            <w:r w:rsidR="00913A26">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55022EC3" w14:textId="77777777" w:rsidR="00A67008" w:rsidRDefault="00A67008" w:rsidP="00A279F9">
      <w:pPr>
        <w:spacing w:before="0" w:after="120"/>
      </w:pPr>
    </w:p>
    <w:p w14:paraId="698BA0DE" w14:textId="13BD01FE" w:rsidR="008F14F3" w:rsidRPr="00D7384A" w:rsidRDefault="008F14F3" w:rsidP="00AB24E2">
      <w:pPr>
        <w:spacing w:before="0" w:after="120"/>
      </w:pPr>
      <w:r w:rsidRPr="00D7384A">
        <w:t>Yours faithfully,</w:t>
      </w:r>
    </w:p>
    <w:p w14:paraId="2C5096D1" w14:textId="77777777" w:rsidR="00692261" w:rsidRPr="00D7384A" w:rsidRDefault="00692261" w:rsidP="00AB24E2">
      <w:pPr>
        <w:rPr>
          <w:szCs w:val="24"/>
          <w:highlight w:val="green"/>
        </w:rPr>
      </w:pPr>
      <w:r w:rsidRPr="00D7384A">
        <w:rPr>
          <w:szCs w:val="24"/>
          <w:highlight w:val="green"/>
        </w:rPr>
        <w:t>[Name]</w:t>
      </w:r>
    </w:p>
    <w:p w14:paraId="2AB6A712" w14:textId="77777777" w:rsidR="00692261" w:rsidRPr="00D7384A" w:rsidRDefault="00692261" w:rsidP="00AB24E2">
      <w:pPr>
        <w:rPr>
          <w:szCs w:val="24"/>
        </w:rPr>
      </w:pPr>
      <w:r w:rsidRPr="00D7384A">
        <w:rPr>
          <w:szCs w:val="24"/>
          <w:highlight w:val="green"/>
        </w:rPr>
        <w:t>[Official role/title]</w:t>
      </w:r>
    </w:p>
    <w:p w14:paraId="3C341A88" w14:textId="77777777" w:rsidR="009B72DB" w:rsidRPr="00D7384A" w:rsidRDefault="009B72DB" w:rsidP="00AB24E2">
      <w:pPr>
        <w:rPr>
          <w:szCs w:val="24"/>
        </w:rPr>
      </w:pPr>
      <w:r w:rsidRPr="00D7384A">
        <w:rPr>
          <w:szCs w:val="24"/>
        </w:rPr>
        <w:t xml:space="preserve">Administration of </w:t>
      </w:r>
      <w:r w:rsidRPr="00D7384A">
        <w:rPr>
          <w:szCs w:val="24"/>
          <w:highlight w:val="green"/>
        </w:rPr>
        <w:t>[Member State]</w:t>
      </w:r>
    </w:p>
    <w:p w14:paraId="35EAA7B4" w14:textId="77777777" w:rsidR="00852B82" w:rsidRPr="00D7384A" w:rsidRDefault="00691DAA" w:rsidP="008F14F3">
      <w:pPr>
        <w:jc w:val="center"/>
      </w:pPr>
      <w:r w:rsidRPr="00D7384A">
        <w:t>___________</w:t>
      </w:r>
    </w:p>
    <w:sectPr w:rsidR="00852B82" w:rsidRPr="00D7384A" w:rsidSect="00AB24E2">
      <w:headerReference w:type="default" r:id="rId21"/>
      <w:footerReference w:type="first" r:id="rId22"/>
      <w:type w:val="oddPage"/>
      <w:pgSz w:w="11907" w:h="16834" w:code="9"/>
      <w:pgMar w:top="567" w:right="1089" w:bottom="540"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395E6D6D"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3A4B29">
      <w:t>142</w:t>
    </w:r>
  </w:p>
  <w:p w14:paraId="7F72DC7F"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CE3A97"/>
    <w:multiLevelType w:val="hybridMultilevel"/>
    <w:tmpl w:val="C4E89FB8"/>
    <w:lvl w:ilvl="0" w:tplc="8D9E55CE">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2371136">
    <w:abstractNumId w:val="9"/>
  </w:num>
  <w:num w:numId="2" w16cid:durableId="903300331">
    <w:abstractNumId w:val="7"/>
  </w:num>
  <w:num w:numId="3" w16cid:durableId="1175800650">
    <w:abstractNumId w:val="6"/>
  </w:num>
  <w:num w:numId="4" w16cid:durableId="1405182499">
    <w:abstractNumId w:val="5"/>
  </w:num>
  <w:num w:numId="5" w16cid:durableId="500242486">
    <w:abstractNumId w:val="4"/>
  </w:num>
  <w:num w:numId="6" w16cid:durableId="1724793916">
    <w:abstractNumId w:val="8"/>
  </w:num>
  <w:num w:numId="7" w16cid:durableId="1887065242">
    <w:abstractNumId w:val="3"/>
  </w:num>
  <w:num w:numId="8" w16cid:durableId="1771706560">
    <w:abstractNumId w:val="2"/>
  </w:num>
  <w:num w:numId="9" w16cid:durableId="590548176">
    <w:abstractNumId w:val="1"/>
  </w:num>
  <w:num w:numId="10" w16cid:durableId="548103883">
    <w:abstractNumId w:val="0"/>
  </w:num>
  <w:num w:numId="11" w16cid:durableId="1441803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675413">
    <w:abstractNumId w:val="10"/>
  </w:num>
  <w:num w:numId="13" w16cid:durableId="464547924">
    <w:abstractNumId w:val="12"/>
  </w:num>
  <w:num w:numId="14" w16cid:durableId="1893425343">
    <w:abstractNumId w:val="17"/>
  </w:num>
  <w:num w:numId="15" w16cid:durableId="1169755830">
    <w:abstractNumId w:val="15"/>
  </w:num>
  <w:num w:numId="16" w16cid:durableId="1408307281">
    <w:abstractNumId w:val="13"/>
  </w:num>
  <w:num w:numId="17" w16cid:durableId="1671718146">
    <w:abstractNumId w:val="14"/>
  </w:num>
  <w:num w:numId="18" w16cid:durableId="1732999042">
    <w:abstractNumId w:val="16"/>
  </w:num>
  <w:num w:numId="19" w16cid:durableId="230653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279B8"/>
    <w:rsid w:val="00041231"/>
    <w:rsid w:val="00050B75"/>
    <w:rsid w:val="000528FF"/>
    <w:rsid w:val="00062724"/>
    <w:rsid w:val="0006765F"/>
    <w:rsid w:val="00067FDC"/>
    <w:rsid w:val="00074D44"/>
    <w:rsid w:val="00076B60"/>
    <w:rsid w:val="00087690"/>
    <w:rsid w:val="000E7066"/>
    <w:rsid w:val="00101593"/>
    <w:rsid w:val="0013447B"/>
    <w:rsid w:val="0016049B"/>
    <w:rsid w:val="001605C1"/>
    <w:rsid w:val="00164419"/>
    <w:rsid w:val="00175FA0"/>
    <w:rsid w:val="0018039E"/>
    <w:rsid w:val="00180405"/>
    <w:rsid w:val="00183B93"/>
    <w:rsid w:val="0018632F"/>
    <w:rsid w:val="001B1770"/>
    <w:rsid w:val="001C4019"/>
    <w:rsid w:val="001C4B75"/>
    <w:rsid w:val="001E17EA"/>
    <w:rsid w:val="001E32E7"/>
    <w:rsid w:val="001E7AE5"/>
    <w:rsid w:val="001F00F9"/>
    <w:rsid w:val="001F1686"/>
    <w:rsid w:val="001F3BDD"/>
    <w:rsid w:val="001F4FBE"/>
    <w:rsid w:val="002015C3"/>
    <w:rsid w:val="00212725"/>
    <w:rsid w:val="002354E7"/>
    <w:rsid w:val="00240413"/>
    <w:rsid w:val="002414F2"/>
    <w:rsid w:val="00254682"/>
    <w:rsid w:val="002566E1"/>
    <w:rsid w:val="0026533D"/>
    <w:rsid w:val="00290976"/>
    <w:rsid w:val="002A4977"/>
    <w:rsid w:val="002B3E1F"/>
    <w:rsid w:val="002C5A87"/>
    <w:rsid w:val="002E0553"/>
    <w:rsid w:val="002E0E8B"/>
    <w:rsid w:val="002F03A2"/>
    <w:rsid w:val="00306317"/>
    <w:rsid w:val="00334A43"/>
    <w:rsid w:val="00335037"/>
    <w:rsid w:val="003A4B29"/>
    <w:rsid w:val="003B6D10"/>
    <w:rsid w:val="003C7BEF"/>
    <w:rsid w:val="003D4331"/>
    <w:rsid w:val="003E07CD"/>
    <w:rsid w:val="003F1773"/>
    <w:rsid w:val="003F775D"/>
    <w:rsid w:val="00425273"/>
    <w:rsid w:val="00440CB5"/>
    <w:rsid w:val="00447CD5"/>
    <w:rsid w:val="0045007E"/>
    <w:rsid w:val="00450779"/>
    <w:rsid w:val="00451C00"/>
    <w:rsid w:val="00476BC7"/>
    <w:rsid w:val="004815DF"/>
    <w:rsid w:val="00497F59"/>
    <w:rsid w:val="004A6F07"/>
    <w:rsid w:val="004A7F11"/>
    <w:rsid w:val="004B1587"/>
    <w:rsid w:val="004B50B2"/>
    <w:rsid w:val="004B5840"/>
    <w:rsid w:val="004C55F3"/>
    <w:rsid w:val="004D2D3D"/>
    <w:rsid w:val="00520612"/>
    <w:rsid w:val="00524224"/>
    <w:rsid w:val="00547760"/>
    <w:rsid w:val="005A0BC8"/>
    <w:rsid w:val="005C4204"/>
    <w:rsid w:val="005D124E"/>
    <w:rsid w:val="005D297E"/>
    <w:rsid w:val="005D7B6A"/>
    <w:rsid w:val="005E6331"/>
    <w:rsid w:val="005F363D"/>
    <w:rsid w:val="005F758C"/>
    <w:rsid w:val="005F7B5D"/>
    <w:rsid w:val="00606B4A"/>
    <w:rsid w:val="00607E07"/>
    <w:rsid w:val="006206C7"/>
    <w:rsid w:val="0062162D"/>
    <w:rsid w:val="00622A3E"/>
    <w:rsid w:val="00626967"/>
    <w:rsid w:val="00630BA3"/>
    <w:rsid w:val="00634C51"/>
    <w:rsid w:val="006812CD"/>
    <w:rsid w:val="00691DAA"/>
    <w:rsid w:val="00692261"/>
    <w:rsid w:val="006A2FAB"/>
    <w:rsid w:val="006D7724"/>
    <w:rsid w:val="006E0B19"/>
    <w:rsid w:val="006E7431"/>
    <w:rsid w:val="0072062B"/>
    <w:rsid w:val="00720A5D"/>
    <w:rsid w:val="007277BD"/>
    <w:rsid w:val="007311BA"/>
    <w:rsid w:val="00733A9C"/>
    <w:rsid w:val="00733B5C"/>
    <w:rsid w:val="00751EB8"/>
    <w:rsid w:val="00763B08"/>
    <w:rsid w:val="00765253"/>
    <w:rsid w:val="00765511"/>
    <w:rsid w:val="0076712A"/>
    <w:rsid w:val="00770EF1"/>
    <w:rsid w:val="00777068"/>
    <w:rsid w:val="00780D16"/>
    <w:rsid w:val="00782D73"/>
    <w:rsid w:val="007A0105"/>
    <w:rsid w:val="007B07A8"/>
    <w:rsid w:val="007C7DA8"/>
    <w:rsid w:val="007D73C0"/>
    <w:rsid w:val="007E04BC"/>
    <w:rsid w:val="007F66CE"/>
    <w:rsid w:val="00812C93"/>
    <w:rsid w:val="00831BAA"/>
    <w:rsid w:val="008450C6"/>
    <w:rsid w:val="00852B82"/>
    <w:rsid w:val="00860AE1"/>
    <w:rsid w:val="00877EBD"/>
    <w:rsid w:val="00891812"/>
    <w:rsid w:val="008A540B"/>
    <w:rsid w:val="008A779C"/>
    <w:rsid w:val="008C682F"/>
    <w:rsid w:val="008E5C2F"/>
    <w:rsid w:val="008F14F3"/>
    <w:rsid w:val="00901734"/>
    <w:rsid w:val="00913A26"/>
    <w:rsid w:val="00944A88"/>
    <w:rsid w:val="0094539E"/>
    <w:rsid w:val="009549AB"/>
    <w:rsid w:val="00963202"/>
    <w:rsid w:val="00964A6B"/>
    <w:rsid w:val="009661EF"/>
    <w:rsid w:val="00985B35"/>
    <w:rsid w:val="00985CB0"/>
    <w:rsid w:val="009965E7"/>
    <w:rsid w:val="009A1A66"/>
    <w:rsid w:val="009B629F"/>
    <w:rsid w:val="009B72DB"/>
    <w:rsid w:val="009C0B8F"/>
    <w:rsid w:val="009C0CA1"/>
    <w:rsid w:val="009C6B8E"/>
    <w:rsid w:val="009E51F7"/>
    <w:rsid w:val="009F7B79"/>
    <w:rsid w:val="00A055B4"/>
    <w:rsid w:val="00A279F9"/>
    <w:rsid w:val="00A3564B"/>
    <w:rsid w:val="00A433A3"/>
    <w:rsid w:val="00A4376F"/>
    <w:rsid w:val="00A43CA0"/>
    <w:rsid w:val="00A46EB0"/>
    <w:rsid w:val="00A60E8A"/>
    <w:rsid w:val="00A67008"/>
    <w:rsid w:val="00A73EC7"/>
    <w:rsid w:val="00A858B4"/>
    <w:rsid w:val="00AB24E2"/>
    <w:rsid w:val="00AC33F3"/>
    <w:rsid w:val="00AF6072"/>
    <w:rsid w:val="00B174BC"/>
    <w:rsid w:val="00B233EC"/>
    <w:rsid w:val="00B33034"/>
    <w:rsid w:val="00B45C37"/>
    <w:rsid w:val="00B61146"/>
    <w:rsid w:val="00B6629C"/>
    <w:rsid w:val="00B70E0E"/>
    <w:rsid w:val="00B84049"/>
    <w:rsid w:val="00B84AE5"/>
    <w:rsid w:val="00B86BF0"/>
    <w:rsid w:val="00B94A59"/>
    <w:rsid w:val="00BA28E3"/>
    <w:rsid w:val="00BA434B"/>
    <w:rsid w:val="00BC4AC3"/>
    <w:rsid w:val="00BC4BD1"/>
    <w:rsid w:val="00BD7D82"/>
    <w:rsid w:val="00BE6B13"/>
    <w:rsid w:val="00C007D7"/>
    <w:rsid w:val="00C014E8"/>
    <w:rsid w:val="00C12BBB"/>
    <w:rsid w:val="00C13BB6"/>
    <w:rsid w:val="00C13D40"/>
    <w:rsid w:val="00C16B9B"/>
    <w:rsid w:val="00C23D2B"/>
    <w:rsid w:val="00C50517"/>
    <w:rsid w:val="00C51F4B"/>
    <w:rsid w:val="00C545A3"/>
    <w:rsid w:val="00C54BBC"/>
    <w:rsid w:val="00C55AE3"/>
    <w:rsid w:val="00C65B9E"/>
    <w:rsid w:val="00C7386B"/>
    <w:rsid w:val="00C749A7"/>
    <w:rsid w:val="00C77782"/>
    <w:rsid w:val="00C93788"/>
    <w:rsid w:val="00C96C59"/>
    <w:rsid w:val="00CA05C9"/>
    <w:rsid w:val="00CB347E"/>
    <w:rsid w:val="00CD127D"/>
    <w:rsid w:val="00CF3418"/>
    <w:rsid w:val="00D02492"/>
    <w:rsid w:val="00D22D78"/>
    <w:rsid w:val="00D559B2"/>
    <w:rsid w:val="00D62CEF"/>
    <w:rsid w:val="00D66A81"/>
    <w:rsid w:val="00D7384A"/>
    <w:rsid w:val="00D87FCE"/>
    <w:rsid w:val="00D92917"/>
    <w:rsid w:val="00D96D5C"/>
    <w:rsid w:val="00DB202B"/>
    <w:rsid w:val="00DB770A"/>
    <w:rsid w:val="00DC2A5E"/>
    <w:rsid w:val="00DD4B2E"/>
    <w:rsid w:val="00DE38B0"/>
    <w:rsid w:val="00DE4405"/>
    <w:rsid w:val="00DE730F"/>
    <w:rsid w:val="00DF1780"/>
    <w:rsid w:val="00DF664C"/>
    <w:rsid w:val="00E32F10"/>
    <w:rsid w:val="00E33303"/>
    <w:rsid w:val="00E36B12"/>
    <w:rsid w:val="00E54801"/>
    <w:rsid w:val="00E55E1F"/>
    <w:rsid w:val="00E65EB2"/>
    <w:rsid w:val="00E72D24"/>
    <w:rsid w:val="00E735C9"/>
    <w:rsid w:val="00E9728E"/>
    <w:rsid w:val="00EA3D68"/>
    <w:rsid w:val="00ED76A0"/>
    <w:rsid w:val="00EF7B69"/>
    <w:rsid w:val="00F021C5"/>
    <w:rsid w:val="00F11BC5"/>
    <w:rsid w:val="00F1356E"/>
    <w:rsid w:val="00F21679"/>
    <w:rsid w:val="00F40E14"/>
    <w:rsid w:val="00F620EF"/>
    <w:rsid w:val="00F751B3"/>
    <w:rsid w:val="00F754C8"/>
    <w:rsid w:val="00F763C8"/>
    <w:rsid w:val="00F92D0D"/>
    <w:rsid w:val="00F96117"/>
    <w:rsid w:val="00FC56DF"/>
    <w:rsid w:val="00FE6BA3"/>
    <w:rsid w:val="00FF0B85"/>
    <w:rsid w:val="00FF1132"/>
    <w:rsid w:val="00FF17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A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8891">
      <w:bodyDiv w:val="1"/>
      <w:marLeft w:val="0"/>
      <w:marRight w:val="0"/>
      <w:marTop w:val="0"/>
      <w:marBottom w:val="0"/>
      <w:divBdr>
        <w:top w:val="none" w:sz="0" w:space="0" w:color="auto"/>
        <w:left w:val="none" w:sz="0" w:space="0" w:color="auto"/>
        <w:bottom w:val="none" w:sz="0" w:space="0" w:color="auto"/>
        <w:right w:val="none" w:sz="0" w:space="0" w:color="auto"/>
      </w:divBdr>
    </w:div>
    <w:div w:id="102071770">
      <w:bodyDiv w:val="1"/>
      <w:marLeft w:val="0"/>
      <w:marRight w:val="0"/>
      <w:marTop w:val="0"/>
      <w:marBottom w:val="0"/>
      <w:divBdr>
        <w:top w:val="none" w:sz="0" w:space="0" w:color="auto"/>
        <w:left w:val="none" w:sz="0" w:space="0" w:color="auto"/>
        <w:bottom w:val="none" w:sz="0" w:space="0" w:color="auto"/>
        <w:right w:val="none" w:sz="0" w:space="0" w:color="auto"/>
      </w:divBdr>
    </w:div>
    <w:div w:id="161507247">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464277008">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50795377">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20593741">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79922347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154371846">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795442223">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 w:id="19946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meetingdoc.asp?lang=en&amp;parent=T22-SG17-R-0047" TargetMode="External"/><Relationship Id="rId18" Type="http://schemas.openxmlformats.org/officeDocument/2006/relationships/hyperlink" Target="https://www.itu.int/md/meetingdoc.asp?lang=en&amp;parent=T22-SG17-R-005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itu.int/md/meetingdoc.asp?lang=en&amp;parent=T22-SG17-R-0050" TargetMode="External"/><Relationship Id="rId17" Type="http://schemas.openxmlformats.org/officeDocument/2006/relationships/hyperlink" Target="https://www.itu.int/md/meetingdoc.asp?lang=en&amp;parent=T22-SG17-R-0049" TargetMode="External"/><Relationship Id="rId2" Type="http://schemas.openxmlformats.org/officeDocument/2006/relationships/styles" Target="styles.xml"/><Relationship Id="rId16" Type="http://schemas.openxmlformats.org/officeDocument/2006/relationships/hyperlink" Target="https://www.itu.int/md/meetingdoc.asp?lang=en&amp;parent=T22-SG17-R-0052" TargetMode="External"/><Relationship Id="rId20" Type="http://schemas.openxmlformats.org/officeDocument/2006/relationships/hyperlink" Target="mailto:tsbdir@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meetingdoc.asp?lang=en&amp;parent=T22-SG17-R-0051" TargetMode="External"/><Relationship Id="rId23" Type="http://schemas.openxmlformats.org/officeDocument/2006/relationships/fontTable" Target="fontTable.xml"/><Relationship Id="rId10" Type="http://schemas.openxmlformats.org/officeDocument/2006/relationships/hyperlink" Target="http://www.itu.int/ipr/" TargetMode="External"/><Relationship Id="rId19" Type="http://schemas.openxmlformats.org/officeDocument/2006/relationships/hyperlink" Target="https://www.itu.int/md/meetingdoc.asp?lang=en&amp;parent=T22-SG17-R-0046" TargetMode="External"/><Relationship Id="rId4" Type="http://schemas.openxmlformats.org/officeDocument/2006/relationships/webSettings" Target="webSettings.xml"/><Relationship Id="rId9" Type="http://schemas.openxmlformats.org/officeDocument/2006/relationships/hyperlink" Target="https://www.itu.int/md/T22-SG17-COL-0006/en" TargetMode="External"/><Relationship Id="rId14" Type="http://schemas.openxmlformats.org/officeDocument/2006/relationships/hyperlink" Target="https://www.itu.int/md/meetingdoc.asp?lang=en&amp;parent=T22-SG17-R-0048"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114</TotalTime>
  <Pages>6</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16120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Bilani, Joumana</cp:lastModifiedBy>
  <cp:revision>21</cp:revision>
  <cp:lastPrinted>2023-10-11T10:54:00Z</cp:lastPrinted>
  <dcterms:created xsi:type="dcterms:W3CDTF">2023-10-03T16:40:00Z</dcterms:created>
  <dcterms:modified xsi:type="dcterms:W3CDTF">2023-10-20T08:46:00Z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