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343"/>
        <w:gridCol w:w="5107"/>
      </w:tblGrid>
      <w:tr w:rsidR="00EF6A23" w:rsidRPr="001B5903" w14:paraId="3FDAE1F3" w14:textId="77777777" w:rsidTr="003F083D">
        <w:trPr>
          <w:cantSplit/>
        </w:trPr>
        <w:tc>
          <w:tcPr>
            <w:tcW w:w="0" w:type="auto"/>
            <w:vAlign w:val="center"/>
          </w:tcPr>
          <w:p w14:paraId="3DE42CAA" w14:textId="77777777" w:rsidR="00EF6A23" w:rsidRPr="001B5903" w:rsidRDefault="00EF6A23" w:rsidP="00D14F31">
            <w:pPr>
              <w:tabs>
                <w:tab w:val="right" w:pos="8732"/>
              </w:tabs>
              <w:spacing w:before="0"/>
              <w:rPr>
                <w:b/>
                <w:bCs/>
                <w:iCs/>
                <w:color w:val="FFFFFF"/>
                <w:sz w:val="30"/>
                <w:szCs w:val="30"/>
              </w:rPr>
            </w:pPr>
            <w:r w:rsidRPr="001B5903">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1B5903" w:rsidRDefault="00EF6A23" w:rsidP="00EF6A23">
            <w:pPr>
              <w:spacing w:before="0"/>
              <w:rPr>
                <w:rFonts w:cs="Times New Roman Bold"/>
                <w:b/>
                <w:bCs/>
                <w:iCs/>
                <w:smallCaps/>
                <w:sz w:val="34"/>
                <w:szCs w:val="34"/>
              </w:rPr>
            </w:pPr>
            <w:r w:rsidRPr="001B5903">
              <w:rPr>
                <w:rFonts w:cs="Times New Roman Bold"/>
                <w:b/>
                <w:bCs/>
                <w:iCs/>
                <w:smallCaps/>
                <w:sz w:val="34"/>
                <w:szCs w:val="34"/>
              </w:rPr>
              <w:t>Union internationale des télécommunications</w:t>
            </w:r>
          </w:p>
          <w:p w14:paraId="089E66D0" w14:textId="77777777" w:rsidR="00EF6A23" w:rsidRPr="001B5903" w:rsidRDefault="00EF6A23" w:rsidP="00EF6A23">
            <w:pPr>
              <w:spacing w:before="0"/>
              <w:rPr>
                <w:color w:val="FFFFFF"/>
                <w:sz w:val="26"/>
                <w:szCs w:val="26"/>
              </w:rPr>
            </w:pPr>
            <w:r w:rsidRPr="001B5903">
              <w:rPr>
                <w:rFonts w:cs="Times New Roman Bold"/>
                <w:b/>
                <w:bCs/>
                <w:iCs/>
                <w:smallCaps/>
                <w:sz w:val="28"/>
                <w:szCs w:val="28"/>
              </w:rPr>
              <w:t>B</w:t>
            </w:r>
            <w:r w:rsidRPr="001B5903">
              <w:rPr>
                <w:b/>
                <w:bCs/>
                <w:iCs/>
                <w:smallCaps/>
                <w:sz w:val="28"/>
                <w:szCs w:val="28"/>
              </w:rPr>
              <w:t>ureau de la Normalisation des Télécommunications</w:t>
            </w:r>
          </w:p>
        </w:tc>
      </w:tr>
      <w:tr w:rsidR="00036F4F" w:rsidRPr="001B5903" w14:paraId="18B25741" w14:textId="77777777" w:rsidTr="00307FB4">
        <w:trPr>
          <w:cantSplit/>
        </w:trPr>
        <w:tc>
          <w:tcPr>
            <w:tcW w:w="0" w:type="auto"/>
          </w:tcPr>
          <w:p w14:paraId="4B1AFD72" w14:textId="77777777" w:rsidR="00036F4F" w:rsidRPr="001B5903" w:rsidRDefault="00036F4F" w:rsidP="00A5280F">
            <w:pPr>
              <w:tabs>
                <w:tab w:val="left" w:pos="4111"/>
              </w:tabs>
              <w:spacing w:before="10"/>
              <w:ind w:left="57"/>
            </w:pPr>
          </w:p>
        </w:tc>
        <w:tc>
          <w:tcPr>
            <w:tcW w:w="3399" w:type="dxa"/>
          </w:tcPr>
          <w:p w14:paraId="6579D3E8" w14:textId="77777777" w:rsidR="00036F4F" w:rsidRPr="001B5903" w:rsidRDefault="00036F4F" w:rsidP="00A5280F">
            <w:pPr>
              <w:tabs>
                <w:tab w:val="left" w:pos="4111"/>
              </w:tabs>
              <w:spacing w:before="10"/>
              <w:ind w:left="57"/>
              <w:rPr>
                <w:b/>
              </w:rPr>
            </w:pPr>
          </w:p>
        </w:tc>
        <w:tc>
          <w:tcPr>
            <w:tcW w:w="5051" w:type="dxa"/>
          </w:tcPr>
          <w:p w14:paraId="0DC34ECA" w14:textId="42CDFF0E" w:rsidR="00036F4F" w:rsidRPr="001B5903" w:rsidRDefault="00036F4F" w:rsidP="00A5645A">
            <w:pPr>
              <w:tabs>
                <w:tab w:val="clear" w:pos="794"/>
                <w:tab w:val="clear" w:pos="1191"/>
                <w:tab w:val="clear" w:pos="1588"/>
                <w:tab w:val="clear" w:pos="1985"/>
                <w:tab w:val="left" w:pos="284"/>
              </w:tabs>
              <w:spacing w:after="120"/>
              <w:ind w:left="284" w:hanging="227"/>
            </w:pPr>
            <w:r w:rsidRPr="001B5903">
              <w:t>Genève, le</w:t>
            </w:r>
            <w:r w:rsidR="004419E9" w:rsidRPr="001B5903">
              <w:t xml:space="preserve"> </w:t>
            </w:r>
            <w:r w:rsidR="003C23FA" w:rsidRPr="001B5903">
              <w:t>11 octobre 2023</w:t>
            </w:r>
          </w:p>
        </w:tc>
      </w:tr>
      <w:tr w:rsidR="00445B68" w:rsidRPr="001B5903" w14:paraId="16CDDFEF" w14:textId="77777777" w:rsidTr="00307FB4">
        <w:trPr>
          <w:cantSplit/>
          <w:trHeight w:val="340"/>
        </w:trPr>
        <w:tc>
          <w:tcPr>
            <w:tcW w:w="0" w:type="auto"/>
          </w:tcPr>
          <w:p w14:paraId="3EFF375D" w14:textId="58556577" w:rsidR="00445B68" w:rsidRPr="001B5903" w:rsidRDefault="00445B68" w:rsidP="00307FB4">
            <w:pPr>
              <w:tabs>
                <w:tab w:val="left" w:pos="4111"/>
              </w:tabs>
              <w:spacing w:before="10"/>
              <w:ind w:left="57"/>
              <w:rPr>
                <w:b/>
                <w:bCs/>
              </w:rPr>
            </w:pPr>
            <w:r w:rsidRPr="001B5903">
              <w:rPr>
                <w:b/>
                <w:bCs/>
              </w:rPr>
              <w:t>Réf.:</w:t>
            </w:r>
          </w:p>
        </w:tc>
        <w:tc>
          <w:tcPr>
            <w:tcW w:w="3399" w:type="dxa"/>
          </w:tcPr>
          <w:p w14:paraId="5FFBBC9B" w14:textId="6100C164" w:rsidR="00445B68" w:rsidRPr="001B5903" w:rsidRDefault="00445B68" w:rsidP="00A5280F">
            <w:pPr>
              <w:tabs>
                <w:tab w:val="left" w:pos="4111"/>
              </w:tabs>
              <w:spacing w:before="10"/>
              <w:ind w:left="57"/>
              <w:rPr>
                <w:b/>
              </w:rPr>
            </w:pPr>
            <w:r w:rsidRPr="001B5903">
              <w:rPr>
                <w:b/>
              </w:rPr>
              <w:t xml:space="preserve">Circulaire TSB </w:t>
            </w:r>
            <w:r w:rsidR="003C23FA" w:rsidRPr="001B5903">
              <w:rPr>
                <w:b/>
              </w:rPr>
              <w:t>142</w:t>
            </w:r>
          </w:p>
          <w:p w14:paraId="577F6DA2" w14:textId="0F63AF0E" w:rsidR="00445B68" w:rsidRPr="001B5903" w:rsidRDefault="003C23FA" w:rsidP="00307FB4">
            <w:pPr>
              <w:tabs>
                <w:tab w:val="left" w:pos="4111"/>
              </w:tabs>
              <w:spacing w:before="10"/>
              <w:ind w:left="57"/>
              <w:rPr>
                <w:b/>
                <w:bCs/>
              </w:rPr>
            </w:pPr>
            <w:r w:rsidRPr="001B5903">
              <w:t>CE 17/XY</w:t>
            </w:r>
          </w:p>
        </w:tc>
        <w:tc>
          <w:tcPr>
            <w:tcW w:w="5051" w:type="dxa"/>
            <w:vMerge w:val="restart"/>
          </w:tcPr>
          <w:p w14:paraId="56FFB697" w14:textId="77777777" w:rsidR="00307FB4" w:rsidRPr="001B5903" w:rsidRDefault="00307FB4" w:rsidP="00307FB4">
            <w:pPr>
              <w:tabs>
                <w:tab w:val="left" w:pos="226"/>
                <w:tab w:val="left" w:pos="4111"/>
              </w:tabs>
              <w:spacing w:before="0"/>
              <w:ind w:left="226" w:hanging="226"/>
              <w:rPr>
                <w:b/>
                <w:bCs/>
              </w:rPr>
            </w:pPr>
            <w:bookmarkStart w:id="0" w:name="Addressee_F"/>
            <w:bookmarkEnd w:id="0"/>
            <w:r w:rsidRPr="001B5903">
              <w:rPr>
                <w:b/>
                <w:bCs/>
              </w:rPr>
              <w:t>Aux:</w:t>
            </w:r>
          </w:p>
          <w:p w14:paraId="461460AE" w14:textId="55960824" w:rsidR="00445B68" w:rsidRPr="001B5903" w:rsidRDefault="00307FB4" w:rsidP="00307FB4">
            <w:pPr>
              <w:tabs>
                <w:tab w:val="left" w:pos="4111"/>
              </w:tabs>
              <w:spacing w:before="0"/>
              <w:ind w:left="426" w:hanging="426"/>
            </w:pPr>
            <w:r w:rsidRPr="001B5903">
              <w:t>–</w:t>
            </w:r>
            <w:r w:rsidRPr="001B5903">
              <w:tab/>
              <w:t>Administrations des États Membres de l'Union</w:t>
            </w:r>
          </w:p>
        </w:tc>
      </w:tr>
      <w:tr w:rsidR="00445B68" w:rsidRPr="001B5903" w14:paraId="724FD23E" w14:textId="77777777" w:rsidTr="00307FB4">
        <w:trPr>
          <w:cantSplit/>
        </w:trPr>
        <w:tc>
          <w:tcPr>
            <w:tcW w:w="0" w:type="auto"/>
          </w:tcPr>
          <w:p w14:paraId="73149CCD" w14:textId="77777777" w:rsidR="00445B68" w:rsidRPr="001B5903" w:rsidRDefault="00445B68" w:rsidP="00A5280F">
            <w:pPr>
              <w:tabs>
                <w:tab w:val="left" w:pos="4111"/>
              </w:tabs>
              <w:spacing w:before="10"/>
              <w:ind w:left="57"/>
              <w:rPr>
                <w:b/>
                <w:bCs/>
                <w:sz w:val="20"/>
              </w:rPr>
            </w:pPr>
            <w:r w:rsidRPr="001B5903">
              <w:rPr>
                <w:b/>
                <w:bCs/>
              </w:rPr>
              <w:t>Tél.:</w:t>
            </w:r>
          </w:p>
        </w:tc>
        <w:tc>
          <w:tcPr>
            <w:tcW w:w="3399" w:type="dxa"/>
          </w:tcPr>
          <w:p w14:paraId="78D06186" w14:textId="3E922C17" w:rsidR="00445B68" w:rsidRPr="001B5903" w:rsidRDefault="00445B68" w:rsidP="00A5280F">
            <w:pPr>
              <w:tabs>
                <w:tab w:val="left" w:pos="4111"/>
              </w:tabs>
              <w:spacing w:before="0"/>
              <w:ind w:left="57"/>
            </w:pPr>
            <w:r w:rsidRPr="001B5903">
              <w:t xml:space="preserve">+41 </w:t>
            </w:r>
            <w:r w:rsidR="003C23FA" w:rsidRPr="001B5903">
              <w:t>22 730 6206</w:t>
            </w:r>
          </w:p>
        </w:tc>
        <w:tc>
          <w:tcPr>
            <w:tcW w:w="5051" w:type="dxa"/>
            <w:vMerge/>
          </w:tcPr>
          <w:p w14:paraId="6D3A5806" w14:textId="77777777" w:rsidR="00445B68" w:rsidRPr="001B5903" w:rsidRDefault="00445B68" w:rsidP="00A5280F">
            <w:pPr>
              <w:tabs>
                <w:tab w:val="left" w:pos="226"/>
                <w:tab w:val="left" w:pos="4111"/>
              </w:tabs>
              <w:spacing w:before="0"/>
              <w:ind w:left="226" w:hanging="226"/>
              <w:rPr>
                <w:b/>
              </w:rPr>
            </w:pPr>
          </w:p>
        </w:tc>
      </w:tr>
      <w:tr w:rsidR="00307FB4" w:rsidRPr="001B5903" w14:paraId="030F9AE5" w14:textId="77777777" w:rsidTr="00B003E0">
        <w:trPr>
          <w:cantSplit/>
          <w:trHeight w:val="263"/>
        </w:trPr>
        <w:tc>
          <w:tcPr>
            <w:tcW w:w="0" w:type="auto"/>
          </w:tcPr>
          <w:p w14:paraId="7B417C4C" w14:textId="77777777" w:rsidR="00307FB4" w:rsidRPr="001B5903" w:rsidRDefault="00307FB4" w:rsidP="00A5280F">
            <w:pPr>
              <w:tabs>
                <w:tab w:val="left" w:pos="4111"/>
              </w:tabs>
              <w:spacing w:before="10"/>
              <w:ind w:left="57"/>
              <w:rPr>
                <w:b/>
                <w:bCs/>
                <w:sz w:val="20"/>
              </w:rPr>
            </w:pPr>
            <w:r w:rsidRPr="001B5903">
              <w:rPr>
                <w:b/>
                <w:bCs/>
              </w:rPr>
              <w:t>Télécopie:</w:t>
            </w:r>
          </w:p>
        </w:tc>
        <w:tc>
          <w:tcPr>
            <w:tcW w:w="3399" w:type="dxa"/>
          </w:tcPr>
          <w:p w14:paraId="1A4A5F7B" w14:textId="77777777" w:rsidR="00307FB4" w:rsidRPr="001B5903" w:rsidRDefault="00307FB4" w:rsidP="00A5280F">
            <w:pPr>
              <w:tabs>
                <w:tab w:val="left" w:pos="4111"/>
              </w:tabs>
              <w:spacing w:before="0"/>
              <w:ind w:left="57"/>
            </w:pPr>
            <w:r w:rsidRPr="001B5903">
              <w:t>+41 22 730 5853</w:t>
            </w:r>
          </w:p>
        </w:tc>
        <w:tc>
          <w:tcPr>
            <w:tcW w:w="5051" w:type="dxa"/>
            <w:vMerge/>
          </w:tcPr>
          <w:p w14:paraId="323DAC81" w14:textId="77777777" w:rsidR="00307FB4" w:rsidRPr="001B5903" w:rsidRDefault="00307FB4" w:rsidP="00A5280F">
            <w:pPr>
              <w:tabs>
                <w:tab w:val="left" w:pos="226"/>
                <w:tab w:val="left" w:pos="4111"/>
              </w:tabs>
              <w:spacing w:before="0"/>
              <w:ind w:left="226" w:hanging="226"/>
              <w:rPr>
                <w:b/>
              </w:rPr>
            </w:pPr>
          </w:p>
        </w:tc>
      </w:tr>
      <w:tr w:rsidR="00307FB4" w:rsidRPr="001B5903" w14:paraId="640FB6B9" w14:textId="77777777" w:rsidTr="00307FB4">
        <w:trPr>
          <w:cantSplit/>
        </w:trPr>
        <w:tc>
          <w:tcPr>
            <w:tcW w:w="0" w:type="auto"/>
          </w:tcPr>
          <w:p w14:paraId="15527369" w14:textId="0865F49A" w:rsidR="00307FB4" w:rsidRPr="001B5903" w:rsidRDefault="00307FB4" w:rsidP="00A5280F">
            <w:pPr>
              <w:tabs>
                <w:tab w:val="left" w:pos="4111"/>
              </w:tabs>
              <w:spacing w:before="10"/>
              <w:ind w:left="57"/>
              <w:rPr>
                <w:b/>
                <w:bCs/>
              </w:rPr>
            </w:pPr>
            <w:r w:rsidRPr="001B5903">
              <w:rPr>
                <w:b/>
                <w:bCs/>
              </w:rPr>
              <w:t>Courriel:</w:t>
            </w:r>
          </w:p>
        </w:tc>
        <w:tc>
          <w:tcPr>
            <w:tcW w:w="3399" w:type="dxa"/>
          </w:tcPr>
          <w:p w14:paraId="172249CE" w14:textId="2F445B26" w:rsidR="00307FB4" w:rsidRPr="001B5903" w:rsidRDefault="00CD004F" w:rsidP="00A5280F">
            <w:pPr>
              <w:tabs>
                <w:tab w:val="left" w:pos="4111"/>
              </w:tabs>
              <w:spacing w:before="0"/>
              <w:ind w:left="57"/>
              <w:rPr>
                <w:rStyle w:val="Hyperlink"/>
              </w:rPr>
            </w:pPr>
            <w:hyperlink r:id="rId9" w:history="1">
              <w:r w:rsidR="003C23FA" w:rsidRPr="001B5903">
                <w:rPr>
                  <w:rStyle w:val="Hyperlink"/>
                </w:rPr>
                <w:t>tsbsg17@itu.int</w:t>
              </w:r>
            </w:hyperlink>
          </w:p>
        </w:tc>
        <w:tc>
          <w:tcPr>
            <w:tcW w:w="5051" w:type="dxa"/>
          </w:tcPr>
          <w:p w14:paraId="55E5D357" w14:textId="77777777" w:rsidR="00307FB4" w:rsidRPr="001B5903" w:rsidRDefault="00307FB4" w:rsidP="00307FB4">
            <w:pPr>
              <w:tabs>
                <w:tab w:val="clear" w:pos="794"/>
                <w:tab w:val="left" w:pos="226"/>
                <w:tab w:val="left" w:pos="4111"/>
              </w:tabs>
              <w:spacing w:before="0"/>
              <w:ind w:left="226" w:hanging="226"/>
              <w:rPr>
                <w:b/>
                <w:bCs/>
              </w:rPr>
            </w:pPr>
            <w:r w:rsidRPr="001B5903">
              <w:rPr>
                <w:b/>
                <w:bCs/>
              </w:rPr>
              <w:t>Copie:</w:t>
            </w:r>
          </w:p>
          <w:p w14:paraId="55C29245" w14:textId="0347FD9D" w:rsidR="003C23FA" w:rsidRPr="001B5903" w:rsidRDefault="003C23FA" w:rsidP="003C23FA">
            <w:pPr>
              <w:tabs>
                <w:tab w:val="clear" w:pos="794"/>
                <w:tab w:val="left" w:pos="4111"/>
              </w:tabs>
              <w:spacing w:before="0"/>
              <w:ind w:left="430" w:hanging="430"/>
            </w:pPr>
            <w:r w:rsidRPr="001B5903">
              <w:t>–</w:t>
            </w:r>
            <w:r w:rsidRPr="001B5903">
              <w:tab/>
              <w:t>Aux Membres du Secteur UIT-T;</w:t>
            </w:r>
          </w:p>
          <w:p w14:paraId="252CF1C5" w14:textId="4729B6B3" w:rsidR="003C23FA" w:rsidRPr="001B5903" w:rsidRDefault="003C23FA" w:rsidP="003C23FA">
            <w:pPr>
              <w:tabs>
                <w:tab w:val="clear" w:pos="794"/>
                <w:tab w:val="left" w:pos="4111"/>
              </w:tabs>
              <w:spacing w:before="0"/>
              <w:ind w:left="430" w:hanging="430"/>
            </w:pPr>
            <w:r w:rsidRPr="001B5903">
              <w:t>–</w:t>
            </w:r>
            <w:r w:rsidRPr="001B5903">
              <w:tab/>
              <w:t>Aux Associés de l'UIT-T participant aux travaux de la Commission d'études 17;</w:t>
            </w:r>
          </w:p>
          <w:p w14:paraId="3295FA64" w14:textId="672DB7D6" w:rsidR="003C23FA" w:rsidRPr="001B5903" w:rsidRDefault="003C23FA" w:rsidP="003C23FA">
            <w:pPr>
              <w:tabs>
                <w:tab w:val="clear" w:pos="794"/>
                <w:tab w:val="left" w:pos="4111"/>
              </w:tabs>
              <w:spacing w:before="0"/>
              <w:ind w:left="430" w:hanging="430"/>
              <w:rPr>
                <w:b/>
                <w:bCs/>
              </w:rPr>
            </w:pPr>
            <w:r w:rsidRPr="001B5903">
              <w:t>–</w:t>
            </w:r>
            <w:r w:rsidRPr="001B5903">
              <w:tab/>
              <w:t>Aux établissements universitaires participant aux travaux de l'UIT;</w:t>
            </w:r>
          </w:p>
          <w:p w14:paraId="6CE98CB1" w14:textId="1FA2968C" w:rsidR="00307FB4" w:rsidRPr="001B5903" w:rsidRDefault="00307FB4" w:rsidP="00307FB4">
            <w:pPr>
              <w:tabs>
                <w:tab w:val="clear" w:pos="794"/>
                <w:tab w:val="left" w:pos="4111"/>
              </w:tabs>
              <w:spacing w:before="0"/>
              <w:ind w:left="426" w:hanging="426"/>
            </w:pPr>
            <w:r w:rsidRPr="001B5903">
              <w:t>–</w:t>
            </w:r>
            <w:r w:rsidRPr="001B5903">
              <w:tab/>
              <w:t xml:space="preserve">Aux Président et Vice-Présidents </w:t>
            </w:r>
            <w:r w:rsidR="003C23FA" w:rsidRPr="001B5903">
              <w:t>de la Commission d'études 17</w:t>
            </w:r>
            <w:r w:rsidRPr="001B5903">
              <w:t>;</w:t>
            </w:r>
          </w:p>
          <w:p w14:paraId="56C75C35" w14:textId="1A09D40C" w:rsidR="00307FB4" w:rsidRPr="001B5903" w:rsidRDefault="00307FB4" w:rsidP="00307FB4">
            <w:pPr>
              <w:tabs>
                <w:tab w:val="clear" w:pos="794"/>
                <w:tab w:val="left" w:pos="4111"/>
              </w:tabs>
              <w:spacing w:before="0"/>
              <w:ind w:left="426" w:hanging="426"/>
            </w:pPr>
            <w:r w:rsidRPr="001B5903">
              <w:t>–</w:t>
            </w:r>
            <w:r w:rsidRPr="001B5903">
              <w:tab/>
              <w:t>Au Directeur du Bureau de développement des télécommunications;</w:t>
            </w:r>
          </w:p>
          <w:p w14:paraId="19762254" w14:textId="061893F3" w:rsidR="00307FB4" w:rsidRPr="001B5903" w:rsidRDefault="00307FB4" w:rsidP="00307FB4">
            <w:pPr>
              <w:tabs>
                <w:tab w:val="clear" w:pos="794"/>
                <w:tab w:val="left" w:pos="4111"/>
              </w:tabs>
              <w:spacing w:before="0"/>
              <w:ind w:left="426" w:hanging="426"/>
            </w:pPr>
            <w:r w:rsidRPr="001B5903">
              <w:t>–</w:t>
            </w:r>
            <w:r w:rsidRPr="001B5903">
              <w:tab/>
              <w:t>Au Directeur du Bureau des radiocommunications</w:t>
            </w:r>
          </w:p>
        </w:tc>
      </w:tr>
      <w:tr w:rsidR="00517A03" w:rsidRPr="001B5903" w14:paraId="5435C04A" w14:textId="77777777" w:rsidTr="00C41B89">
        <w:trPr>
          <w:cantSplit/>
          <w:trHeight w:val="397"/>
        </w:trPr>
        <w:tc>
          <w:tcPr>
            <w:tcW w:w="0" w:type="auto"/>
          </w:tcPr>
          <w:p w14:paraId="2A0B9B4F" w14:textId="77777777" w:rsidR="00517A03" w:rsidRPr="001B5903" w:rsidRDefault="00517A03" w:rsidP="00307FB4">
            <w:pPr>
              <w:tabs>
                <w:tab w:val="left" w:pos="4111"/>
              </w:tabs>
              <w:ind w:left="57"/>
              <w:rPr>
                <w:b/>
                <w:bCs/>
                <w:szCs w:val="22"/>
              </w:rPr>
            </w:pPr>
            <w:r w:rsidRPr="001B5903">
              <w:rPr>
                <w:b/>
                <w:bCs/>
                <w:szCs w:val="22"/>
              </w:rPr>
              <w:t>Objet:</w:t>
            </w:r>
          </w:p>
        </w:tc>
        <w:tc>
          <w:tcPr>
            <w:tcW w:w="0" w:type="auto"/>
            <w:gridSpan w:val="2"/>
          </w:tcPr>
          <w:p w14:paraId="1A51EE75" w14:textId="726AEB4F" w:rsidR="00517A03" w:rsidRPr="001B5903" w:rsidRDefault="003C23FA" w:rsidP="0048088B">
            <w:pPr>
              <w:tabs>
                <w:tab w:val="left" w:pos="4111"/>
              </w:tabs>
              <w:spacing w:after="120"/>
              <w:ind w:left="57"/>
              <w:rPr>
                <w:b/>
                <w:bCs/>
                <w:szCs w:val="22"/>
              </w:rPr>
            </w:pPr>
            <w:bookmarkStart w:id="1" w:name="_Hlk115258431"/>
            <w:r w:rsidRPr="001B5903">
              <w:rPr>
                <w:b/>
                <w:bCs/>
              </w:rPr>
              <w:t xml:space="preserve">Consultation des </w:t>
            </w:r>
            <w:r w:rsidR="00B003E0" w:rsidRPr="001B5903">
              <w:rPr>
                <w:b/>
                <w:bCs/>
              </w:rPr>
              <w:t>États</w:t>
            </w:r>
            <w:r w:rsidRPr="001B5903">
              <w:rPr>
                <w:b/>
                <w:bCs/>
              </w:rPr>
              <w:t xml:space="preserve"> Membres au sujet du texte déterminé des projets de Recommandations UIT-T X.1150 (X.saf-dfs), X.1221 (X.stie), X.1222 (X.taeii), X.1280</w:t>
            </w:r>
            <w:r w:rsidR="00B003E0" w:rsidRPr="001B5903">
              <w:rPr>
                <w:b/>
                <w:bCs/>
              </w:rPr>
              <w:t> </w:t>
            </w:r>
            <w:r w:rsidRPr="001B5903">
              <w:rPr>
                <w:b/>
                <w:bCs/>
              </w:rPr>
              <w:t>(X.oob-sa) et X.1281 (X.osia), d'Amendement 1 à la Recommandation X.1352 et de Recommandations X.1373 révisée et X.1818 (X.5Gsec-ctrl), qu</w:t>
            </w:r>
            <w:r w:rsidR="00B003E0" w:rsidRPr="001B5903">
              <w:rPr>
                <w:b/>
                <w:bCs/>
              </w:rPr>
              <w:t>'</w:t>
            </w:r>
            <w:r w:rsidRPr="001B5903">
              <w:rPr>
                <w:b/>
                <w:bCs/>
              </w:rPr>
              <w:t>il est proposé d</w:t>
            </w:r>
            <w:r w:rsidR="00B003E0" w:rsidRPr="001B5903">
              <w:rPr>
                <w:b/>
                <w:bCs/>
              </w:rPr>
              <w:t>'</w:t>
            </w:r>
            <w:r w:rsidRPr="001B5903">
              <w:rPr>
                <w:b/>
                <w:bCs/>
              </w:rPr>
              <w:t>approuver à la réunion de la Commission d</w:t>
            </w:r>
            <w:r w:rsidR="00B003E0" w:rsidRPr="001B5903">
              <w:rPr>
                <w:b/>
                <w:bCs/>
              </w:rPr>
              <w:t>'</w:t>
            </w:r>
            <w:r w:rsidRPr="001B5903">
              <w:rPr>
                <w:b/>
                <w:bCs/>
              </w:rPr>
              <w:t>études 17 de l</w:t>
            </w:r>
            <w:r w:rsidR="00B003E0" w:rsidRPr="001B5903">
              <w:rPr>
                <w:b/>
                <w:bCs/>
              </w:rPr>
              <w:t>'</w:t>
            </w:r>
            <w:r w:rsidRPr="001B5903">
              <w:rPr>
                <w:b/>
                <w:bCs/>
              </w:rPr>
              <w:t>UIT-T, qui aura lieu du 20 février au 1er mars 2024</w:t>
            </w:r>
            <w:bookmarkEnd w:id="1"/>
          </w:p>
        </w:tc>
      </w:tr>
    </w:tbl>
    <w:p w14:paraId="2D1EC328" w14:textId="77777777" w:rsidR="00517A03" w:rsidRPr="001B5903" w:rsidRDefault="00517A03" w:rsidP="0048088B">
      <w:pPr>
        <w:spacing w:before="360"/>
      </w:pPr>
      <w:bookmarkStart w:id="2" w:name="StartTyping_F"/>
      <w:bookmarkEnd w:id="2"/>
      <w:r w:rsidRPr="001B5903">
        <w:t>Madame, Monsieur,</w:t>
      </w:r>
    </w:p>
    <w:p w14:paraId="631B0208" w14:textId="0FBB3224" w:rsidR="003C23FA" w:rsidRPr="001B5903" w:rsidRDefault="003C23FA" w:rsidP="003C23FA">
      <w:pPr>
        <w:spacing w:before="80"/>
        <w:rPr>
          <w:sz w:val="22"/>
          <w:szCs w:val="22"/>
        </w:rPr>
      </w:pPr>
      <w:r w:rsidRPr="001B5903">
        <w:t>1</w:t>
      </w:r>
      <w:r w:rsidRPr="001B5903">
        <w:tab/>
        <w:t>La Commission d'études 17 de l'UIT-T (Sécurité) a l'intention d'appliquer la procédure d'approbation traditionnelle énoncée à la section 9 de la Résolution 1 (Rév. Genève, 2022) de l'AMNT pour l'approbation des projets de Recommandations mentionnés ci-dessus à sa prochaine</w:t>
      </w:r>
      <w:r w:rsidR="00B003E0" w:rsidRPr="001B5903">
        <w:t> </w:t>
      </w:r>
      <w:r w:rsidRPr="001B5903">
        <w:t>réunion, qui se tiendra en République sudafricaine, du 20 février au 1er mars 2024. L'ordre du jour et tous les renseignements utiles concernant la réunion de la Commission d'études</w:t>
      </w:r>
      <w:r w:rsidR="00B003E0" w:rsidRPr="001B5903">
        <w:t> </w:t>
      </w:r>
      <w:r w:rsidRPr="001B5903">
        <w:t xml:space="preserve">17 de l'UIT-T pourront être consultés dans la Lettre collective </w:t>
      </w:r>
      <w:hyperlink r:id="rId10" w:history="1">
        <w:r w:rsidRPr="001B5903">
          <w:rPr>
            <w:rStyle w:val="Hyperlink"/>
          </w:rPr>
          <w:t>6/17</w:t>
        </w:r>
      </w:hyperlink>
      <w:r w:rsidRPr="001B5903">
        <w:t>.</w:t>
      </w:r>
    </w:p>
    <w:p w14:paraId="1E29D56F" w14:textId="1B7F3CDD" w:rsidR="003C23FA" w:rsidRPr="001B5903" w:rsidRDefault="003C23FA" w:rsidP="003C23FA">
      <w:pPr>
        <w:spacing w:before="80"/>
        <w:rPr>
          <w:sz w:val="22"/>
          <w:szCs w:val="22"/>
        </w:rPr>
      </w:pPr>
      <w:r w:rsidRPr="001B5903">
        <w:t>2</w:t>
      </w:r>
      <w:r w:rsidRPr="001B5903">
        <w:tab/>
        <w:t>On trouvera dans l'</w:t>
      </w:r>
      <w:r w:rsidRPr="001B5903">
        <w:rPr>
          <w:b/>
          <w:bCs/>
        </w:rPr>
        <w:t>Annexe 1</w:t>
      </w:r>
      <w:r w:rsidR="00B003E0" w:rsidRPr="001B5903">
        <w:t>,</w:t>
      </w:r>
      <w:r w:rsidRPr="001B5903">
        <w:t xml:space="preserve"> le titre, le résumé et la localisation des projets de Recommandation UIT-T qu'il est proposé d'approuver.</w:t>
      </w:r>
    </w:p>
    <w:p w14:paraId="45EDC5B6" w14:textId="77777777" w:rsidR="003C23FA" w:rsidRPr="001B5903" w:rsidRDefault="003C23FA" w:rsidP="00B003E0">
      <w:pPr>
        <w:pStyle w:val="Note"/>
        <w:rPr>
          <w:sz w:val="22"/>
          <w:szCs w:val="22"/>
        </w:rPr>
      </w:pPr>
      <w:r w:rsidRPr="001B5903">
        <w:t>NOTE 1 DU TSB – À l'exception des projets de nouvelle Recommandation UIT-T X.1221 (X.stie) et X.1222 (X.taeii), aucune justification UIT-T A.5 n'a été soumise pour les autres textes déterminés.</w:t>
      </w:r>
    </w:p>
    <w:p w14:paraId="4DC6AE68" w14:textId="44E92FE4" w:rsidR="003C23FA" w:rsidRPr="001B5903" w:rsidRDefault="003C23FA" w:rsidP="00B003E0">
      <w:pPr>
        <w:pStyle w:val="Note"/>
        <w:rPr>
          <w:sz w:val="22"/>
          <w:szCs w:val="22"/>
        </w:rPr>
      </w:pPr>
      <w:r w:rsidRPr="001B5903">
        <w:t xml:space="preserve">NOTE 2 DU TSB – À la date de la présente Circulaire, le TSB n'avait reçu aucune déclaration concernant les droits de propriété intellectuelle relative à ces textes déterminés. Pour obtenir des renseignements actualisés, les membres sont invités à consulter la base de données relative aux droits de propriété intellectuelle à l'adresse </w:t>
      </w:r>
      <w:hyperlink r:id="rId11" w:history="1">
        <w:r w:rsidRPr="001B5903">
          <w:rPr>
            <w:rStyle w:val="Hyperlink"/>
          </w:rPr>
          <w:t>www.itu.int/ipr/</w:t>
        </w:r>
      </w:hyperlink>
      <w:r w:rsidRPr="001B5903">
        <w:t>.</w:t>
      </w:r>
    </w:p>
    <w:p w14:paraId="5A1DBD12" w14:textId="59CBC127" w:rsidR="003C23FA" w:rsidRPr="001B5903" w:rsidRDefault="003C23FA" w:rsidP="001D2A88">
      <w:pPr>
        <w:keepNext/>
        <w:keepLines/>
        <w:spacing w:before="80"/>
        <w:rPr>
          <w:sz w:val="22"/>
          <w:szCs w:val="22"/>
        </w:rPr>
      </w:pPr>
      <w:r w:rsidRPr="001B5903">
        <w:lastRenderedPageBreak/>
        <w:t>3</w:t>
      </w:r>
      <w:r w:rsidRPr="001B5903">
        <w:tab/>
        <w:t>La présente Circulaire a pour objet d'engager le processus de consultation formelle des États Membres de l'UIT, qui devront indiquer si ces textes peuvent être examinés en vue de leur approbation à la prochaine réunion, conformément au paragraphe 9.4 de la Résolution 1. Les États</w:t>
      </w:r>
      <w:r w:rsidR="001D2A88" w:rsidRPr="001B5903">
        <w:t> </w:t>
      </w:r>
      <w:r w:rsidRPr="001B5903">
        <w:t>Membres sont priés de remplir le formulaire de l'</w:t>
      </w:r>
      <w:r w:rsidRPr="001B5903">
        <w:rPr>
          <w:b/>
          <w:bCs/>
        </w:rPr>
        <w:t xml:space="preserve">Annexe 2 </w:t>
      </w:r>
      <w:r w:rsidRPr="001B5903">
        <w:t xml:space="preserve">et de le renvoyer d'ici au </w:t>
      </w:r>
      <w:r w:rsidRPr="001B5903">
        <w:rPr>
          <w:b/>
          <w:bCs/>
        </w:rPr>
        <w:t>8</w:t>
      </w:r>
      <w:r w:rsidR="001D2A88" w:rsidRPr="001B5903">
        <w:rPr>
          <w:b/>
          <w:bCs/>
        </w:rPr>
        <w:t> </w:t>
      </w:r>
      <w:r w:rsidRPr="001B5903">
        <w:rPr>
          <w:b/>
          <w:bCs/>
        </w:rPr>
        <w:t>février</w:t>
      </w:r>
      <w:r w:rsidR="001D2A88" w:rsidRPr="001B5903">
        <w:rPr>
          <w:b/>
          <w:bCs/>
        </w:rPr>
        <w:t> </w:t>
      </w:r>
      <w:r w:rsidRPr="001B5903">
        <w:rPr>
          <w:b/>
          <w:bCs/>
        </w:rPr>
        <w:t xml:space="preserve">2024 </w:t>
      </w:r>
      <w:r w:rsidRPr="001B5903">
        <w:t>à 23 h 59 (UTC).</w:t>
      </w:r>
    </w:p>
    <w:p w14:paraId="41EB4DF4" w14:textId="77777777" w:rsidR="003C23FA" w:rsidRPr="001B5903" w:rsidRDefault="003C23FA" w:rsidP="003C23FA">
      <w:pPr>
        <w:keepNext/>
        <w:keepLines/>
        <w:spacing w:before="80"/>
        <w:rPr>
          <w:sz w:val="22"/>
          <w:szCs w:val="22"/>
        </w:rPr>
      </w:pPr>
      <w:r w:rsidRPr="001B5903">
        <w:t>4</w:t>
      </w:r>
      <w:r w:rsidRPr="001B5903">
        <w:tab/>
        <w:t>Si au moins 70% des réponses des États Membres sont en faveur de l'examen, aux fins d'approbation, de ces textes,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7B1A717D" w14:textId="4C577353" w:rsidR="003C23FA" w:rsidRPr="001B5903" w:rsidRDefault="003C23FA" w:rsidP="003C23FA">
      <w:pPr>
        <w:keepNext/>
        <w:keepLines/>
        <w:spacing w:before="80"/>
        <w:rPr>
          <w:sz w:val="22"/>
          <w:szCs w:val="22"/>
        </w:rPr>
      </w:pPr>
      <w:r w:rsidRPr="001B5903">
        <w:t>Veuillez agréer, Madame, Monsieur, l'assurance de ma considération distinguée.</w:t>
      </w:r>
    </w:p>
    <w:p w14:paraId="558FB742" w14:textId="51F021A0" w:rsidR="002937DB" w:rsidRPr="001B5903" w:rsidRDefault="00CD004F" w:rsidP="00430825">
      <w:pPr>
        <w:spacing w:before="960"/>
        <w:rPr>
          <w:bCs/>
        </w:rPr>
      </w:pPr>
      <w:r>
        <w:rPr>
          <w:bCs/>
          <w:noProof/>
        </w:rPr>
        <w:drawing>
          <wp:anchor distT="0" distB="0" distL="114300" distR="114300" simplePos="0" relativeHeight="251658240" behindDoc="1" locked="0" layoutInCell="1" allowOverlap="1" wp14:anchorId="01C1CC64" wp14:editId="4F390B49">
            <wp:simplePos x="0" y="0"/>
            <wp:positionH relativeFrom="column">
              <wp:posOffset>1058</wp:posOffset>
            </wp:positionH>
            <wp:positionV relativeFrom="paragraph">
              <wp:posOffset>31750</wp:posOffset>
            </wp:positionV>
            <wp:extent cx="565150" cy="423863"/>
            <wp:effectExtent l="0" t="0" r="6350" b="0"/>
            <wp:wrapNone/>
            <wp:docPr id="408251397"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51397" name="Picture 1"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65150" cy="423863"/>
                    </a:xfrm>
                    <a:prstGeom prst="rect">
                      <a:avLst/>
                    </a:prstGeom>
                  </pic:spPr>
                </pic:pic>
              </a:graphicData>
            </a:graphic>
            <wp14:sizeRelH relativeFrom="margin">
              <wp14:pctWidth>0</wp14:pctWidth>
            </wp14:sizeRelH>
            <wp14:sizeRelV relativeFrom="margin">
              <wp14:pctHeight>0</wp14:pctHeight>
            </wp14:sizeRelV>
          </wp:anchor>
        </w:drawing>
      </w:r>
      <w:r w:rsidR="00307FB4" w:rsidRPr="001B5903">
        <w:rPr>
          <w:bCs/>
        </w:rPr>
        <w:t>Seizo Onoe</w:t>
      </w:r>
      <w:r w:rsidR="00B60868" w:rsidRPr="001B5903">
        <w:rPr>
          <w:bCs/>
        </w:rPr>
        <w:br/>
      </w:r>
      <w:r w:rsidR="00307FB4" w:rsidRPr="001B5903">
        <w:rPr>
          <w:bCs/>
        </w:rPr>
        <w:t>Directeur du Bureau de la normalisation</w:t>
      </w:r>
      <w:r w:rsidR="00B60868" w:rsidRPr="001B5903">
        <w:rPr>
          <w:bCs/>
        </w:rPr>
        <w:br/>
      </w:r>
      <w:r w:rsidR="00307FB4" w:rsidRPr="001B5903">
        <w:rPr>
          <w:bCs/>
        </w:rPr>
        <w:t>des télécommunications</w:t>
      </w:r>
    </w:p>
    <w:p w14:paraId="15BC125D" w14:textId="6B193401" w:rsidR="003C23FA" w:rsidRPr="001B5903" w:rsidRDefault="003C23FA" w:rsidP="00B60868">
      <w:pPr>
        <w:rPr>
          <w:bCs/>
        </w:rPr>
      </w:pPr>
      <w:r w:rsidRPr="001B5903">
        <w:rPr>
          <w:b/>
          <w:bCs/>
        </w:rPr>
        <w:t>Annexes</w:t>
      </w:r>
      <w:r w:rsidRPr="001B5903">
        <w:t>: 2</w:t>
      </w:r>
    </w:p>
    <w:p w14:paraId="601A1E45" w14:textId="77777777" w:rsidR="002937DB" w:rsidRPr="001B5903" w:rsidRDefault="002937DB">
      <w:pPr>
        <w:tabs>
          <w:tab w:val="clear" w:pos="794"/>
          <w:tab w:val="clear" w:pos="1191"/>
          <w:tab w:val="clear" w:pos="1588"/>
          <w:tab w:val="clear" w:pos="1985"/>
        </w:tabs>
        <w:overflowPunct/>
        <w:autoSpaceDE/>
        <w:autoSpaceDN/>
        <w:adjustRightInd/>
        <w:spacing w:before="0"/>
        <w:textAlignment w:val="auto"/>
        <w:rPr>
          <w:bCs/>
        </w:rPr>
      </w:pPr>
      <w:r w:rsidRPr="001B5903">
        <w:rPr>
          <w:bCs/>
        </w:rPr>
        <w:br w:type="page"/>
      </w:r>
    </w:p>
    <w:p w14:paraId="4F9FD3A7" w14:textId="69055AC6" w:rsidR="003C23FA" w:rsidRPr="001B5903" w:rsidRDefault="003C23FA" w:rsidP="00B7616F">
      <w:pPr>
        <w:pStyle w:val="Annextitle0"/>
        <w:rPr>
          <w:bCs/>
          <w:lang w:val="fr-FR"/>
        </w:rPr>
      </w:pPr>
      <w:r w:rsidRPr="001B5903">
        <w:rPr>
          <w:bCs/>
          <w:lang w:val="fr-FR"/>
        </w:rPr>
        <w:lastRenderedPageBreak/>
        <w:t>Annexe 1</w:t>
      </w:r>
      <w:r w:rsidR="00B7616F" w:rsidRPr="001B5903">
        <w:rPr>
          <w:bCs/>
          <w:lang w:val="fr-FR"/>
        </w:rPr>
        <w:br/>
      </w:r>
      <w:r w:rsidR="00B7616F" w:rsidRPr="001B5903">
        <w:rPr>
          <w:bCs/>
          <w:lang w:val="fr-FR"/>
        </w:rPr>
        <w:br/>
      </w:r>
      <w:r w:rsidRPr="001B5903">
        <w:rPr>
          <w:bCs/>
          <w:lang w:val="fr-FR"/>
        </w:rPr>
        <w:t>Résumé et localisation du texte déterminé des projets de Recommandations UIT-T X.1150 (X.saf-dfs), X.1221 (X.stie), X.1222 (X.taeii), X.1280 (X.oob-sa) et X.1281</w:t>
      </w:r>
      <w:r w:rsidR="001D2A88" w:rsidRPr="001B5903">
        <w:rPr>
          <w:bCs/>
          <w:lang w:val="fr-FR"/>
        </w:rPr>
        <w:t> </w:t>
      </w:r>
      <w:r w:rsidRPr="001B5903">
        <w:rPr>
          <w:bCs/>
          <w:lang w:val="fr-FR"/>
        </w:rPr>
        <w:t>(X.osia), d'Amendement 1 à la Recommandation X.1352</w:t>
      </w:r>
      <w:r w:rsidR="001D2A88" w:rsidRPr="001B5903">
        <w:rPr>
          <w:bCs/>
          <w:lang w:val="fr-FR"/>
        </w:rPr>
        <w:br/>
      </w:r>
      <w:r w:rsidRPr="001B5903">
        <w:rPr>
          <w:bCs/>
          <w:lang w:val="fr-FR"/>
        </w:rPr>
        <w:t>et de Recommandations X.1373 révisée</w:t>
      </w:r>
      <w:r w:rsidR="001D2A88" w:rsidRPr="001B5903">
        <w:rPr>
          <w:bCs/>
          <w:lang w:val="fr-FR"/>
        </w:rPr>
        <w:br/>
      </w:r>
      <w:r w:rsidRPr="001B5903">
        <w:rPr>
          <w:bCs/>
          <w:lang w:val="fr-FR"/>
        </w:rPr>
        <w:t>et X.1818 (X.5Gsec-ctrl)</w:t>
      </w:r>
      <w:bookmarkStart w:id="3" w:name="_Hlk147301343"/>
      <w:bookmarkEnd w:id="3"/>
    </w:p>
    <w:p w14:paraId="418783B0" w14:textId="56062D2A" w:rsidR="003C23FA" w:rsidRPr="001B5903" w:rsidRDefault="003C23FA" w:rsidP="003C23FA">
      <w:pPr>
        <w:pStyle w:val="Heading1"/>
        <w:numPr>
          <w:ilvl w:val="0"/>
          <w:numId w:val="5"/>
        </w:numPr>
        <w:tabs>
          <w:tab w:val="num" w:pos="360"/>
        </w:tabs>
        <w:ind w:left="794" w:hanging="794"/>
        <w:rPr>
          <w:szCs w:val="24"/>
        </w:rPr>
      </w:pPr>
      <w:r w:rsidRPr="001B5903">
        <w:t>Projet de nouvelle Recommandation UIT-T X.1150 (X.saf-dfs) [</w:t>
      </w:r>
      <w:hyperlink r:id="rId13" w:history="1">
        <w:r w:rsidRPr="001B5903">
          <w:rPr>
            <w:rStyle w:val="Hyperlink"/>
          </w:rPr>
          <w:t>R50</w:t>
        </w:r>
      </w:hyperlink>
      <w:r w:rsidRPr="001B5903">
        <w:t>]</w:t>
      </w:r>
    </w:p>
    <w:p w14:paraId="06D3BE7F" w14:textId="77777777" w:rsidR="003C23FA" w:rsidRPr="001B5903" w:rsidRDefault="003C23FA" w:rsidP="003C23FA">
      <w:pPr>
        <w:rPr>
          <w:sz w:val="22"/>
          <w:szCs w:val="22"/>
        </w:rPr>
      </w:pPr>
      <w:r w:rsidRPr="001B5903">
        <w:t>Cadre de garantie de la sécurité pour les services financiers numériques</w:t>
      </w:r>
    </w:p>
    <w:p w14:paraId="043FD386" w14:textId="77777777" w:rsidR="003C23FA" w:rsidRPr="001B5903" w:rsidRDefault="003C23FA" w:rsidP="001D2A88">
      <w:pPr>
        <w:pStyle w:val="headingb"/>
        <w:rPr>
          <w:sz w:val="22"/>
          <w:szCs w:val="22"/>
        </w:rPr>
      </w:pPr>
      <w:r w:rsidRPr="001B5903">
        <w:t>Résumé</w:t>
      </w:r>
    </w:p>
    <w:p w14:paraId="1FA276CD" w14:textId="0EE2A63F" w:rsidR="003C23FA" w:rsidRPr="001B5903" w:rsidRDefault="003C23FA" w:rsidP="003C23FA">
      <w:pPr>
        <w:rPr>
          <w:sz w:val="22"/>
          <w:szCs w:val="22"/>
        </w:rPr>
      </w:pPr>
      <w:r w:rsidRPr="001B5903">
        <w:t>Les services financiers numériques font appel à un écosystème complexe auquel prennent part différents acteurs, notamment les banques, les prestataires de services financiers numériques, les opérateurs de réseaux mobiles, les fournisseurs de plates-formes de services financiers numériques, les autorités réglementaires, différents agents économiques, les commerçants, les prestataires de services de paiement, les fabricants de dispositifs, les développeurs d</w:t>
      </w:r>
      <w:r w:rsidR="00B003E0" w:rsidRPr="001B5903">
        <w:t>'</w:t>
      </w:r>
      <w:r w:rsidRPr="001B5903">
        <w:t>applications, les prestataires de services de jetons, les fabricants d</w:t>
      </w:r>
      <w:r w:rsidR="00B003E0" w:rsidRPr="001B5903">
        <w:t>'</w:t>
      </w:r>
      <w:r w:rsidRPr="001B5903">
        <w:t>équipements d</w:t>
      </w:r>
      <w:r w:rsidR="00B003E0" w:rsidRPr="001B5903">
        <w:t>'</w:t>
      </w:r>
      <w:r w:rsidRPr="001B5903">
        <w:t>origine et les clients. L</w:t>
      </w:r>
      <w:r w:rsidR="00B003E0" w:rsidRPr="001B5903">
        <w:t>'</w:t>
      </w:r>
      <w:r w:rsidRPr="001B5903">
        <w:t>interconnexion entre ces entités et le fonctionnement multipartite de l</w:t>
      </w:r>
      <w:r w:rsidR="00B003E0" w:rsidRPr="001B5903">
        <w:t>'</w:t>
      </w:r>
      <w:r w:rsidRPr="001B5903">
        <w:t>écosystème ont pour corollaire que les limites de sécurité vont au-delà du fournisseur de services financiers numériques pour englober aussi les clients, les fournisseurs de réseau, les fabricants de téléphones mobiles et les autres fournisseurs tiers de l</w:t>
      </w:r>
      <w:r w:rsidR="00B003E0" w:rsidRPr="001B5903">
        <w:t>'</w:t>
      </w:r>
      <w:r w:rsidRPr="001B5903">
        <w:t>écosystème.</w:t>
      </w:r>
    </w:p>
    <w:p w14:paraId="36B45603" w14:textId="51DFD554" w:rsidR="003C23FA" w:rsidRPr="001B5903" w:rsidRDefault="003C23FA" w:rsidP="003C23FA">
      <w:pPr>
        <w:rPr>
          <w:sz w:val="22"/>
          <w:szCs w:val="22"/>
        </w:rPr>
      </w:pPr>
      <w:r w:rsidRPr="001B5903">
        <w:t>Un cadre de garantie de la sécurité pour les services financiers numériques permet d</w:t>
      </w:r>
      <w:r w:rsidR="00B003E0" w:rsidRPr="001B5903">
        <w:t>'</w:t>
      </w:r>
      <w:r w:rsidRPr="001B5903">
        <w:t>avoir une vue d</w:t>
      </w:r>
      <w:r w:rsidR="00B003E0" w:rsidRPr="001B5903">
        <w:t>'</w:t>
      </w:r>
      <w:r w:rsidRPr="001B5903">
        <w:t>ensemble des menaces et des risques de sécurité auxquels sont exposés les acteurs concernés. Les autorités réglementaires, notamment pour les télécommunications, le secteur bancaire et les paiements, pourraient aussi avoir recours à un tel cadre afin d</w:t>
      </w:r>
      <w:r w:rsidR="00B003E0" w:rsidRPr="001B5903">
        <w:t>'</w:t>
      </w:r>
      <w:r w:rsidRPr="001B5903">
        <w:t>établir des niveaux de sécurité de référence auxquels seraient aussi tenus les prestataires de services financiers numériques.</w:t>
      </w:r>
    </w:p>
    <w:p w14:paraId="3F548C21" w14:textId="4B17567D" w:rsidR="003C23FA" w:rsidRPr="001B5903" w:rsidRDefault="003C23FA" w:rsidP="003C23FA">
      <w:pPr>
        <w:rPr>
          <w:sz w:val="22"/>
          <w:szCs w:val="22"/>
        </w:rPr>
      </w:pPr>
      <w:r w:rsidRPr="001B5903">
        <w:t>Une fois en place, le cadre compléterait les pratiques existantes des acteurs de l</w:t>
      </w:r>
      <w:r w:rsidR="00B003E0" w:rsidRPr="001B5903">
        <w:t>'</w:t>
      </w:r>
      <w:r w:rsidRPr="001B5903">
        <w:t>écosystème des services financiers numériques</w:t>
      </w:r>
      <w:r w:rsidRPr="001B5903" w:rsidDel="00264764">
        <w:t xml:space="preserve"> </w:t>
      </w:r>
      <w:r w:rsidRPr="001B5903">
        <w:t xml:space="preserve">en matière de gestion des risques et de sécurité des données. </w:t>
      </w:r>
      <w:r w:rsidR="001D2A88" w:rsidRPr="001B5903">
        <w:t>À</w:t>
      </w:r>
      <w:r w:rsidRPr="001B5903">
        <w:t xml:space="preserve"> titre d'exemple, les contrôles de sécurité prévus dans la présente Recommandation pourront être intégrés dans les programmes de sécurité des technologies de l</w:t>
      </w:r>
      <w:r w:rsidR="00B003E0" w:rsidRPr="001B5903">
        <w:t>'</w:t>
      </w:r>
      <w:r w:rsidRPr="001B5903">
        <w:t>information et de la communication (TIC) des prestataires de services financiers numériques.</w:t>
      </w:r>
    </w:p>
    <w:p w14:paraId="29909C11" w14:textId="20BE3518" w:rsidR="003C23FA" w:rsidRPr="001B5903" w:rsidRDefault="003C23FA" w:rsidP="003C23FA">
      <w:pPr>
        <w:rPr>
          <w:sz w:val="22"/>
          <w:szCs w:val="22"/>
        </w:rPr>
      </w:pPr>
      <w:r w:rsidRPr="001B5903">
        <w:t>La Recommandation décrit un cadre de garantie de la sécurité des services financiers numériques offrant un processus systématique de gestion des risques de sécurité pour évaluer les menaces et les risques et préconise des contrôles de sécurité à mettre en œuvre par les acteurs des services financiers numériques. Les menaces en rapport avec les commerçants, les prestataires de services de paiement et les autres organismes de services financiers et les mesures particulières d</w:t>
      </w:r>
      <w:r w:rsidR="00B003E0" w:rsidRPr="001B5903">
        <w:t>'</w:t>
      </w:r>
      <w:r w:rsidRPr="001B5903">
        <w:t>atténuation des menaces auxquelles ces acteurs sont exposés n'entrent pas dans le cadre de la présente Recommandation.</w:t>
      </w:r>
    </w:p>
    <w:p w14:paraId="2BBFF5FE" w14:textId="77777777" w:rsidR="003C23FA" w:rsidRPr="001B5903" w:rsidRDefault="003C23FA" w:rsidP="00B7616F">
      <w:pPr>
        <w:keepNext/>
        <w:keepLines/>
        <w:rPr>
          <w:sz w:val="22"/>
          <w:szCs w:val="22"/>
        </w:rPr>
      </w:pPr>
      <w:r w:rsidRPr="001B5903">
        <w:lastRenderedPageBreak/>
        <w:t>Le cadre de garantie de la sécurité pour les services financiers numériques est constitué des éléments suivants:</w:t>
      </w:r>
    </w:p>
    <w:p w14:paraId="7E4CE57D" w14:textId="0BF3C3FB" w:rsidR="003C23FA" w:rsidRPr="001B5903" w:rsidRDefault="003C23FA" w:rsidP="00B7616F">
      <w:pPr>
        <w:pStyle w:val="enumlev1"/>
        <w:keepNext/>
        <w:keepLines/>
        <w:rPr>
          <w:sz w:val="22"/>
          <w:szCs w:val="22"/>
        </w:rPr>
      </w:pPr>
      <w:r w:rsidRPr="001B5903">
        <w:t>a)</w:t>
      </w:r>
      <w:r w:rsidR="0009204F" w:rsidRPr="001B5903">
        <w:tab/>
      </w:r>
      <w:r w:rsidRPr="001B5903">
        <w:t>Un processus de gestion des risques de sécurité fondé sur la norme [b-ISO/CEI 27005].</w:t>
      </w:r>
    </w:p>
    <w:p w14:paraId="670CF2E8" w14:textId="4CCD575D" w:rsidR="003C23FA" w:rsidRPr="001B5903" w:rsidRDefault="003C23FA" w:rsidP="00B7616F">
      <w:pPr>
        <w:pStyle w:val="enumlev1"/>
        <w:keepNext/>
        <w:keepLines/>
        <w:rPr>
          <w:sz w:val="22"/>
          <w:szCs w:val="22"/>
        </w:rPr>
      </w:pPr>
      <w:r w:rsidRPr="001B5903">
        <w:t>b)</w:t>
      </w:r>
      <w:r w:rsidR="0009204F" w:rsidRPr="001B5903">
        <w:tab/>
      </w:r>
      <w:r w:rsidRPr="001B5903">
        <w:t>Une évaluation des menaces et des risques s</w:t>
      </w:r>
      <w:r w:rsidR="00B003E0" w:rsidRPr="001B5903">
        <w:t>'</w:t>
      </w:r>
      <w:r w:rsidRPr="001B5903">
        <w:t>exerçant sur l</w:t>
      </w:r>
      <w:r w:rsidR="00B003E0" w:rsidRPr="001B5903">
        <w:t>'</w:t>
      </w:r>
      <w:r w:rsidRPr="001B5903">
        <w:t>infrastructure sous-jacente de l</w:t>
      </w:r>
      <w:r w:rsidR="00B003E0" w:rsidRPr="001B5903">
        <w:t>'</w:t>
      </w:r>
      <w:r w:rsidRPr="001B5903">
        <w:t>opérateur de réseau mobile et du prestataire de services financiers numériques, les applications de services financiers numériques, d</w:t>
      </w:r>
      <w:r w:rsidR="00B003E0" w:rsidRPr="001B5903">
        <w:t>'</w:t>
      </w:r>
      <w:r w:rsidRPr="001B5903">
        <w:t>autres services, les activités du réseau et les fournisseurs tiers qui interviennent dans l</w:t>
      </w:r>
      <w:r w:rsidR="00B003E0" w:rsidRPr="001B5903">
        <w:t>'</w:t>
      </w:r>
      <w:r w:rsidRPr="001B5903">
        <w:t>écosystème des services financiers numériques.</w:t>
      </w:r>
    </w:p>
    <w:p w14:paraId="76CF89EA" w14:textId="18F986F8" w:rsidR="003C23FA" w:rsidRPr="001B5903" w:rsidRDefault="003C23FA" w:rsidP="0009204F">
      <w:pPr>
        <w:pStyle w:val="enumlev1"/>
        <w:rPr>
          <w:sz w:val="22"/>
          <w:szCs w:val="22"/>
        </w:rPr>
      </w:pPr>
      <w:r w:rsidRPr="001B5903">
        <w:t>c)</w:t>
      </w:r>
      <w:r w:rsidR="0009204F" w:rsidRPr="001B5903">
        <w:tab/>
      </w:r>
      <w:r w:rsidRPr="001B5903">
        <w:t>Des stratégies d</w:t>
      </w:r>
      <w:r w:rsidR="00B003E0" w:rsidRPr="001B5903">
        <w:t>'</w:t>
      </w:r>
      <w:r w:rsidRPr="001B5903">
        <w:t>atténuation fondées sur les résultats de l'évaluation visée au point b) ci</w:t>
      </w:r>
      <w:r w:rsidR="0009204F" w:rsidRPr="001B5903">
        <w:noBreakHyphen/>
      </w:r>
      <w:r w:rsidRPr="001B5903">
        <w:t>dessus. Les mesures d</w:t>
      </w:r>
      <w:r w:rsidR="00B003E0" w:rsidRPr="001B5903">
        <w:t>'</w:t>
      </w:r>
      <w:r w:rsidRPr="001B5903">
        <w:t>atténuation répertorient 119 contrôles de sécurité pour les menaces décrites au § 13 de la Recommandation.</w:t>
      </w:r>
    </w:p>
    <w:p w14:paraId="12EADBD5" w14:textId="168DA0B7" w:rsidR="003C23FA" w:rsidRPr="001B5903" w:rsidRDefault="003C23FA" w:rsidP="003C23FA">
      <w:pPr>
        <w:pStyle w:val="Heading1"/>
        <w:numPr>
          <w:ilvl w:val="0"/>
          <w:numId w:val="5"/>
        </w:numPr>
        <w:tabs>
          <w:tab w:val="num" w:pos="360"/>
        </w:tabs>
        <w:ind w:left="794" w:hanging="794"/>
        <w:rPr>
          <w:szCs w:val="24"/>
        </w:rPr>
      </w:pPr>
      <w:r w:rsidRPr="001B5903">
        <w:t>Projet de nouvelle Recommandation UIT-T X.1221 (X.stie) [</w:t>
      </w:r>
      <w:hyperlink r:id="rId14" w:history="1">
        <w:r w:rsidRPr="001B5903">
          <w:rPr>
            <w:rStyle w:val="Hyperlink"/>
          </w:rPr>
          <w:t>R47</w:t>
        </w:r>
      </w:hyperlink>
      <w:r w:rsidRPr="001B5903">
        <w:t>]</w:t>
      </w:r>
    </w:p>
    <w:p w14:paraId="57003DBD" w14:textId="77777777" w:rsidR="003C23FA" w:rsidRPr="001B5903" w:rsidRDefault="003C23FA" w:rsidP="003C23FA">
      <w:pPr>
        <w:rPr>
          <w:sz w:val="22"/>
          <w:szCs w:val="22"/>
        </w:rPr>
      </w:pPr>
      <w:r w:rsidRPr="001B5903">
        <w:t>Expression structurée d'informations sur les menaces (STIX)</w:t>
      </w:r>
    </w:p>
    <w:p w14:paraId="3F4D60D0" w14:textId="77777777" w:rsidR="003C23FA" w:rsidRPr="001B5903" w:rsidRDefault="003C23FA" w:rsidP="0009204F">
      <w:pPr>
        <w:pStyle w:val="headingb"/>
        <w:rPr>
          <w:sz w:val="22"/>
          <w:szCs w:val="22"/>
        </w:rPr>
      </w:pPr>
      <w:r w:rsidRPr="001B5903">
        <w:t>Résumé</w:t>
      </w:r>
    </w:p>
    <w:p w14:paraId="1687EDA6" w14:textId="051F643D" w:rsidR="003C23FA" w:rsidRPr="001B5903" w:rsidRDefault="003C23FA" w:rsidP="003C23FA">
      <w:pPr>
        <w:rPr>
          <w:sz w:val="22"/>
          <w:szCs w:val="22"/>
        </w:rPr>
      </w:pPr>
      <w:r w:rsidRPr="001B5903">
        <w:t>Cette Recommandation définit l</w:t>
      </w:r>
      <w:r w:rsidR="00B003E0" w:rsidRPr="001B5903">
        <w:t>'</w:t>
      </w:r>
      <w:r w:rsidRPr="001B5903">
        <w:t>expression structurée d</w:t>
      </w:r>
      <w:r w:rsidR="00B003E0" w:rsidRPr="001B5903">
        <w:t>'</w:t>
      </w:r>
      <w:r w:rsidRPr="001B5903">
        <w:t>informations sur les menaces (STIX), langage utilisé pour exprimer des objets de données et échanger des renseignements sur les cybermenaces, ainsi qu</w:t>
      </w:r>
      <w:r w:rsidR="00B003E0" w:rsidRPr="001B5903">
        <w:t>'</w:t>
      </w:r>
      <w:r w:rsidRPr="001B5903">
        <w:t>un format de sérialisation JSON. Le langage STIX ne repose sur aucun mécanisme de transport en particulier. La Recommandation est équivalente, sur le plan technique, à la norme OASIS STIX 2.1 [b-STIX v2.1] et compatible avec celle-ci.</w:t>
      </w:r>
    </w:p>
    <w:p w14:paraId="77B4A3DC" w14:textId="2D9C84E4" w:rsidR="003C23FA" w:rsidRPr="001B5903" w:rsidRDefault="003C23FA" w:rsidP="003C23FA">
      <w:pPr>
        <w:pStyle w:val="Heading1"/>
        <w:numPr>
          <w:ilvl w:val="0"/>
          <w:numId w:val="5"/>
        </w:numPr>
        <w:tabs>
          <w:tab w:val="num" w:pos="360"/>
        </w:tabs>
        <w:ind w:left="794" w:hanging="794"/>
        <w:rPr>
          <w:szCs w:val="24"/>
        </w:rPr>
      </w:pPr>
      <w:r w:rsidRPr="001B5903">
        <w:t>Projet de nouvelle Recommandation UIT-T X.1222 (X.taeii) [</w:t>
      </w:r>
      <w:hyperlink r:id="rId15" w:history="1">
        <w:r w:rsidRPr="001B5903">
          <w:rPr>
            <w:rStyle w:val="Hyperlink"/>
          </w:rPr>
          <w:t>R48</w:t>
        </w:r>
      </w:hyperlink>
      <w:r w:rsidRPr="001B5903">
        <w:t>]</w:t>
      </w:r>
    </w:p>
    <w:p w14:paraId="67FF35B7" w14:textId="4DFCB75F" w:rsidR="003C23FA" w:rsidRPr="001B5903" w:rsidRDefault="0009204F" w:rsidP="003C23FA">
      <w:pPr>
        <w:keepNext/>
        <w:keepLines/>
        <w:rPr>
          <w:sz w:val="22"/>
          <w:szCs w:val="22"/>
        </w:rPr>
      </w:pPr>
      <w:bookmarkStart w:id="4" w:name="_Hlk113457282"/>
      <w:r w:rsidRPr="001B5903">
        <w:t>Échange</w:t>
      </w:r>
      <w:r w:rsidR="003C23FA" w:rsidRPr="001B5903">
        <w:t xml:space="preserve"> sécurisé et automatisé de renseignements (TAXII)</w:t>
      </w:r>
    </w:p>
    <w:p w14:paraId="44BCA4FE" w14:textId="77777777" w:rsidR="003C23FA" w:rsidRPr="001B5903" w:rsidRDefault="003C23FA" w:rsidP="0009204F">
      <w:pPr>
        <w:pStyle w:val="headingb"/>
        <w:rPr>
          <w:sz w:val="22"/>
          <w:szCs w:val="22"/>
        </w:rPr>
      </w:pPr>
      <w:r w:rsidRPr="001B5903">
        <w:t>Résumé</w:t>
      </w:r>
    </w:p>
    <w:bookmarkEnd w:id="4"/>
    <w:p w14:paraId="14127340" w14:textId="7C606E2C" w:rsidR="003C23FA" w:rsidRPr="001B5903" w:rsidRDefault="003C23FA" w:rsidP="003C23FA">
      <w:pPr>
        <w:rPr>
          <w:sz w:val="22"/>
          <w:szCs w:val="22"/>
        </w:rPr>
      </w:pPr>
      <w:r w:rsidRPr="001B5903">
        <w:t xml:space="preserve">Cette Recommandation concerne un protocole de couche </w:t>
      </w:r>
      <w:r w:rsidR="0009204F" w:rsidRPr="001B5903">
        <w:t>d'</w:t>
      </w:r>
      <w:r w:rsidRPr="001B5903">
        <w:t>application permettant de communiquer des informations sur les cybermenaces de manière simple et évolutive. Cette spécification définit l'interface de programmation d'application de transfert d'état représentationnel des ressources TAXII et ses ressources, ainsi que les exigences relatives aux instances de client et de serveur. TAXII est un ensemble de méthodes d</w:t>
      </w:r>
      <w:r w:rsidR="00B003E0" w:rsidRPr="001B5903">
        <w:t>'</w:t>
      </w:r>
      <w:r w:rsidRPr="001B5903">
        <w:t>échange et de communication des objets de données utiles pour l</w:t>
      </w:r>
      <w:r w:rsidR="00B003E0" w:rsidRPr="001B5903">
        <w:t>'</w:t>
      </w:r>
      <w:r w:rsidRPr="001B5903">
        <w:t>échange de renseignements sur les cybermenaces. Cette Recommandation est équivalente, sur le plan technique, à la norme OASIS</w:t>
      </w:r>
      <w:r w:rsidR="0009204F" w:rsidRPr="001B5903">
        <w:t> </w:t>
      </w:r>
      <w:r w:rsidRPr="001B5903">
        <w:t>TAXII Version 2.1 [b-TAXII v2.1] et compatible avec celle-ci.</w:t>
      </w:r>
    </w:p>
    <w:p w14:paraId="22DC22F6" w14:textId="4DA41B21" w:rsidR="003C23FA" w:rsidRPr="001B5903" w:rsidRDefault="003C23FA" w:rsidP="003C23FA">
      <w:pPr>
        <w:pStyle w:val="Heading1"/>
        <w:numPr>
          <w:ilvl w:val="0"/>
          <w:numId w:val="5"/>
        </w:numPr>
        <w:tabs>
          <w:tab w:val="num" w:pos="360"/>
        </w:tabs>
        <w:ind w:left="794" w:hanging="794"/>
        <w:rPr>
          <w:szCs w:val="24"/>
        </w:rPr>
      </w:pPr>
      <w:r w:rsidRPr="001B5903">
        <w:t>Projet de nouvelle Recommandation UIT-T X.1280 (X.oob-sa) [</w:t>
      </w:r>
      <w:hyperlink r:id="rId16" w:history="1">
        <w:r w:rsidRPr="001B5903">
          <w:rPr>
            <w:rStyle w:val="Hyperlink"/>
          </w:rPr>
          <w:t>R51</w:t>
        </w:r>
      </w:hyperlink>
      <w:r w:rsidRPr="001B5903">
        <w:t>]</w:t>
      </w:r>
    </w:p>
    <w:p w14:paraId="7236007F" w14:textId="5F12AD1B" w:rsidR="003C23FA" w:rsidRPr="001B5903" w:rsidRDefault="003C23FA" w:rsidP="003C23FA">
      <w:pPr>
        <w:keepNext/>
        <w:keepLines/>
        <w:rPr>
          <w:sz w:val="22"/>
          <w:szCs w:val="22"/>
        </w:rPr>
      </w:pPr>
      <w:r w:rsidRPr="001B5903">
        <w:t>Cadre pour l</w:t>
      </w:r>
      <w:r w:rsidR="00B003E0" w:rsidRPr="001B5903">
        <w:t>'</w:t>
      </w:r>
      <w:r w:rsidRPr="001B5903">
        <w:t>authentification par serveur hors bande au moyen de dispositifs mobiles</w:t>
      </w:r>
    </w:p>
    <w:p w14:paraId="1CBDECC5" w14:textId="77777777" w:rsidR="003C23FA" w:rsidRPr="001B5903" w:rsidRDefault="003C23FA" w:rsidP="0009204F">
      <w:pPr>
        <w:pStyle w:val="headingb"/>
        <w:rPr>
          <w:sz w:val="22"/>
          <w:szCs w:val="22"/>
        </w:rPr>
      </w:pPr>
      <w:r w:rsidRPr="001B5903">
        <w:t>Résumé</w:t>
      </w:r>
    </w:p>
    <w:p w14:paraId="3D30F2F2" w14:textId="374C96FA" w:rsidR="003C23FA" w:rsidRPr="001B5903" w:rsidRDefault="003C23FA" w:rsidP="003C23FA">
      <w:pPr>
        <w:rPr>
          <w:rFonts w:eastAsia="SimSun"/>
          <w:sz w:val="22"/>
          <w:szCs w:val="22"/>
        </w:rPr>
      </w:pPr>
      <w:r w:rsidRPr="001B5903">
        <w:t>Dans les normes relatives aux technologies d</w:t>
      </w:r>
      <w:r w:rsidR="00B003E0" w:rsidRPr="001B5903">
        <w:t>'</w:t>
      </w:r>
      <w:r w:rsidRPr="001B5903">
        <w:t>authentification, la résistance à l</w:t>
      </w:r>
      <w:r w:rsidR="00B003E0" w:rsidRPr="001B5903">
        <w:t>'</w:t>
      </w:r>
      <w:r w:rsidRPr="001B5903">
        <w:t>usurpation d</w:t>
      </w:r>
      <w:r w:rsidR="00B003E0" w:rsidRPr="001B5903">
        <w:t>'</w:t>
      </w:r>
      <w:r w:rsidRPr="001B5903">
        <w:t>identité du vérificateur est considérée comme indispensable pour obtenir le plus haut niveau de garantie pour l'authentification. Les technologies d</w:t>
      </w:r>
      <w:r w:rsidR="00B003E0" w:rsidRPr="001B5903">
        <w:t>'</w:t>
      </w:r>
      <w:r w:rsidRPr="001B5903">
        <w:t>authentification actuelles sont cependant axées sur l</w:t>
      </w:r>
      <w:r w:rsidR="00B003E0" w:rsidRPr="001B5903">
        <w:t>'</w:t>
      </w:r>
      <w:r w:rsidRPr="001B5903">
        <w:t>authentification de l</w:t>
      </w:r>
      <w:r w:rsidR="00B003E0" w:rsidRPr="001B5903">
        <w:t>'</w:t>
      </w:r>
      <w:r w:rsidRPr="001B5903">
        <w:t>utilisateur et il existe donc une limitation qui ne permet pas de vérifier expressément les fournisseurs de services.</w:t>
      </w:r>
    </w:p>
    <w:p w14:paraId="19E4FC4B" w14:textId="7B32291A" w:rsidR="003C23FA" w:rsidRPr="001B5903" w:rsidRDefault="003C23FA" w:rsidP="003C23FA">
      <w:pPr>
        <w:rPr>
          <w:rFonts w:cstheme="minorHAnsi"/>
          <w:sz w:val="22"/>
          <w:szCs w:val="22"/>
        </w:rPr>
      </w:pPr>
      <w:r w:rsidRPr="001B5903">
        <w:lastRenderedPageBreak/>
        <w:t>Cette Recommandation établit un cadre pour l</w:t>
      </w:r>
      <w:r w:rsidR="00B003E0" w:rsidRPr="001B5903">
        <w:t>'</w:t>
      </w:r>
      <w:r w:rsidRPr="001B5903">
        <w:t>authentification par serveur hors bande au moyen de dispositifs mobiles, qui remédie à la vulnérabilité liée à l'usurpation de l</w:t>
      </w:r>
      <w:r w:rsidR="00B003E0" w:rsidRPr="001B5903">
        <w:t>'</w:t>
      </w:r>
      <w:r w:rsidRPr="001B5903">
        <w:t>identité du vérificateur et à la limitation résultant de la dépendance des authentificateurs existants à l</w:t>
      </w:r>
      <w:r w:rsidR="00B003E0" w:rsidRPr="001B5903">
        <w:t>'</w:t>
      </w:r>
      <w:r w:rsidRPr="001B5903">
        <w:t>égard du terminal de l</w:t>
      </w:r>
      <w:r w:rsidR="00B003E0" w:rsidRPr="001B5903">
        <w:t>'</w:t>
      </w:r>
      <w:r w:rsidRPr="001B5903">
        <w:t>utilisateur. Ce cadre permet à l</w:t>
      </w:r>
      <w:r w:rsidR="00B003E0" w:rsidRPr="001B5903">
        <w:t>'</w:t>
      </w:r>
      <w:r w:rsidRPr="001B5903">
        <w:t>utilisateur de fournir des informations d</w:t>
      </w:r>
      <w:r w:rsidR="00B003E0" w:rsidRPr="001B5903">
        <w:t>'</w:t>
      </w:r>
      <w:r w:rsidRPr="001B5903">
        <w:t>authentification de l</w:t>
      </w:r>
      <w:r w:rsidR="00B003E0" w:rsidRPr="001B5903">
        <w:t>'</w:t>
      </w:r>
      <w:r w:rsidRPr="001B5903">
        <w:t>utilisateur après avoir vérifié expressément le fournisseur de services par lui-même lors de ce processus d</w:t>
      </w:r>
      <w:r w:rsidR="00B003E0" w:rsidRPr="001B5903">
        <w:t>'</w:t>
      </w:r>
      <w:r w:rsidRPr="001B5903">
        <w:t>authentification sur tout terminal d</w:t>
      </w:r>
      <w:r w:rsidR="00B003E0" w:rsidRPr="001B5903">
        <w:t>'</w:t>
      </w:r>
      <w:r w:rsidRPr="001B5903">
        <w:t>utilisateur.</w:t>
      </w:r>
    </w:p>
    <w:p w14:paraId="00AF7C93" w14:textId="181DE8F6" w:rsidR="003C23FA" w:rsidRPr="001B5903" w:rsidRDefault="003C23FA" w:rsidP="003C23FA">
      <w:pPr>
        <w:pStyle w:val="Heading1"/>
        <w:numPr>
          <w:ilvl w:val="0"/>
          <w:numId w:val="5"/>
        </w:numPr>
        <w:tabs>
          <w:tab w:val="num" w:pos="360"/>
        </w:tabs>
        <w:ind w:left="794" w:hanging="794"/>
        <w:rPr>
          <w:szCs w:val="24"/>
        </w:rPr>
      </w:pPr>
      <w:r w:rsidRPr="001B5903">
        <w:t>Projet de nouvelle Recommandation UIT-T X.1281 (X.osia) [</w:t>
      </w:r>
      <w:hyperlink r:id="rId17" w:history="1">
        <w:r w:rsidRPr="001B5903">
          <w:rPr>
            <w:rStyle w:val="Hyperlink"/>
          </w:rPr>
          <w:t>R52</w:t>
        </w:r>
      </w:hyperlink>
      <w:r w:rsidRPr="001B5903">
        <w:t>]</w:t>
      </w:r>
    </w:p>
    <w:p w14:paraId="674AD723" w14:textId="7727181B" w:rsidR="003C23FA" w:rsidRPr="001B5903" w:rsidRDefault="003C23FA" w:rsidP="003C23FA">
      <w:pPr>
        <w:keepNext/>
        <w:keepLines/>
        <w:rPr>
          <w:sz w:val="22"/>
          <w:szCs w:val="22"/>
        </w:rPr>
      </w:pPr>
      <w:r w:rsidRPr="001B5903">
        <w:t>Interfaces programmables d'application pour l</w:t>
      </w:r>
      <w:r w:rsidR="00B003E0" w:rsidRPr="001B5903">
        <w:t>'</w:t>
      </w:r>
      <w:r w:rsidRPr="001B5903">
        <w:t>interopérabilité des systèmes de gestion d</w:t>
      </w:r>
      <w:r w:rsidR="00B003E0" w:rsidRPr="001B5903">
        <w:t>'</w:t>
      </w:r>
      <w:r w:rsidRPr="001B5903">
        <w:t>identité</w:t>
      </w:r>
    </w:p>
    <w:p w14:paraId="3D2C3B59" w14:textId="77777777" w:rsidR="003C23FA" w:rsidRPr="001B5903" w:rsidRDefault="003C23FA" w:rsidP="0009204F">
      <w:pPr>
        <w:pStyle w:val="headingb"/>
        <w:rPr>
          <w:sz w:val="22"/>
          <w:szCs w:val="22"/>
        </w:rPr>
      </w:pPr>
      <w:r w:rsidRPr="001B5903">
        <w:t>Résumé</w:t>
      </w:r>
    </w:p>
    <w:p w14:paraId="64ED9E45" w14:textId="113DAED8" w:rsidR="003C23FA" w:rsidRPr="001B5903" w:rsidRDefault="003C23FA" w:rsidP="0009204F">
      <w:pPr>
        <w:rPr>
          <w:rFonts w:eastAsia="SimSun"/>
          <w:color w:val="000000"/>
        </w:rPr>
      </w:pPr>
      <w:r w:rsidRPr="001B5903">
        <w:t>La présente Recommandation décrit un ensemble d</w:t>
      </w:r>
      <w:r w:rsidR="00B003E0" w:rsidRPr="001B5903">
        <w:t>'</w:t>
      </w:r>
      <w:r w:rsidRPr="001B5903">
        <w:t>interfaces de programme d</w:t>
      </w:r>
      <w:r w:rsidR="00B003E0" w:rsidRPr="001B5903">
        <w:t>'</w:t>
      </w:r>
      <w:r w:rsidRPr="001B5903">
        <w:t>application (API) normalisées qui sont nécessaires pour relier les multiples éléments qui constituent une solution de gestion d</w:t>
      </w:r>
      <w:r w:rsidR="00B003E0" w:rsidRPr="001B5903">
        <w:t>'</w:t>
      </w:r>
      <w:r w:rsidRPr="001B5903">
        <w:t>identité.</w:t>
      </w:r>
    </w:p>
    <w:p w14:paraId="0ADDAE36" w14:textId="0DBA6547" w:rsidR="003C23FA" w:rsidRPr="001B5903" w:rsidRDefault="003C23FA" w:rsidP="003C23FA">
      <w:pPr>
        <w:pStyle w:val="Heading1"/>
        <w:keepNext w:val="0"/>
        <w:keepLines w:val="0"/>
        <w:numPr>
          <w:ilvl w:val="0"/>
          <w:numId w:val="5"/>
        </w:numPr>
        <w:tabs>
          <w:tab w:val="num" w:pos="360"/>
        </w:tabs>
        <w:ind w:left="794" w:hanging="794"/>
        <w:rPr>
          <w:szCs w:val="24"/>
        </w:rPr>
      </w:pPr>
      <w:r w:rsidRPr="001B5903">
        <w:t>Projet de nouvel Amendement 1 à la Recommandation UIT-T X.1352 [</w:t>
      </w:r>
      <w:hyperlink r:id="rId18" w:history="1">
        <w:r w:rsidRPr="001B5903">
          <w:rPr>
            <w:rStyle w:val="Hyperlink"/>
          </w:rPr>
          <w:t>R49</w:t>
        </w:r>
      </w:hyperlink>
      <w:r w:rsidRPr="001B5903">
        <w:t>]</w:t>
      </w:r>
    </w:p>
    <w:p w14:paraId="75710BBB" w14:textId="77777777" w:rsidR="003C23FA" w:rsidRPr="001B5903" w:rsidRDefault="003C23FA" w:rsidP="003C23FA">
      <w:pPr>
        <w:rPr>
          <w:sz w:val="22"/>
          <w:szCs w:val="22"/>
        </w:rPr>
      </w:pPr>
      <w:bookmarkStart w:id="5" w:name="_Hlk147303868"/>
      <w:r w:rsidRPr="001B5903">
        <w:t>Exigences de sécurité applicables aux dispositifs et aux passerelles de l'Internet des objets</w:t>
      </w:r>
    </w:p>
    <w:p w14:paraId="0CDBF508" w14:textId="77777777" w:rsidR="003C23FA" w:rsidRPr="001B5903" w:rsidRDefault="003C23FA" w:rsidP="0009204F">
      <w:pPr>
        <w:pStyle w:val="headingb"/>
        <w:rPr>
          <w:sz w:val="22"/>
          <w:szCs w:val="22"/>
        </w:rPr>
      </w:pPr>
      <w:r w:rsidRPr="001B5903">
        <w:t>Résumé</w:t>
      </w:r>
    </w:p>
    <w:p w14:paraId="6D53DD30" w14:textId="6E0E47F3" w:rsidR="003C23FA" w:rsidRPr="001B5903" w:rsidRDefault="003C23FA" w:rsidP="003C23FA">
      <w:pPr>
        <w:rPr>
          <w:rFonts w:eastAsia="SimSun"/>
          <w:sz w:val="22"/>
          <w:szCs w:val="22"/>
        </w:rPr>
      </w:pPr>
      <w:r w:rsidRPr="001B5903">
        <w:t>La Recommandation UIT-T X.1352 définit des exigences détaillées concernant cinq dimensions de sécurité afférentes aux dispositifs et aux passerelles de l</w:t>
      </w:r>
      <w:r w:rsidR="00B003E0" w:rsidRPr="001B5903">
        <w:t>'</w:t>
      </w:r>
      <w:r w:rsidRPr="001B5903">
        <w:t>Internet des objets (IoT): authentification; cryptographie; sécurité des données; la sécurité de la plate-forme du dispositif; et sécurité physique, à partir du modèle de référence IoT spécifié dans la Recommandation UIT-T Y.4100 et du cadre de sécurité IoT de la Recommandation UIT-T X.1361.</w:t>
      </w:r>
    </w:p>
    <w:p w14:paraId="45597DDD" w14:textId="77F38701" w:rsidR="003C23FA" w:rsidRPr="001B5903" w:rsidRDefault="003C23FA" w:rsidP="003C23FA">
      <w:pPr>
        <w:rPr>
          <w:rFonts w:eastAsia="SimSun"/>
          <w:sz w:val="22"/>
          <w:szCs w:val="22"/>
        </w:rPr>
      </w:pPr>
      <w:r w:rsidRPr="001B5903">
        <w:t>La dimension authentification recouvre l</w:t>
      </w:r>
      <w:r w:rsidR="00B003E0" w:rsidRPr="001B5903">
        <w:t>'</w:t>
      </w:r>
      <w:r w:rsidRPr="001B5903">
        <w:t>authentification de l</w:t>
      </w:r>
      <w:r w:rsidR="00B003E0" w:rsidRPr="001B5903">
        <w:t>'</w:t>
      </w:r>
      <w:r w:rsidRPr="001B5903">
        <w:t>utilisateur, l</w:t>
      </w:r>
      <w:r w:rsidR="00B003E0" w:rsidRPr="001B5903">
        <w:t>'</w:t>
      </w:r>
      <w:r w:rsidRPr="001B5903">
        <w:t>utilisation sécurisée des justificatifs d</w:t>
      </w:r>
      <w:r w:rsidR="00B003E0" w:rsidRPr="001B5903">
        <w:t>'</w:t>
      </w:r>
      <w:r w:rsidRPr="001B5903">
        <w:t>authentification et l</w:t>
      </w:r>
      <w:r w:rsidR="00B003E0" w:rsidRPr="001B5903">
        <w:t>'</w:t>
      </w:r>
      <w:r w:rsidRPr="001B5903">
        <w:t>authentification du dispositif. La dimension cryptographie recouvre l'utilisation de la cryptographie sécurisée, la gestion sécurisée des clés et la génération sécurisée de nombres aléatoires. La dimension sécurité des données concerne la transmission et le stockage sécurisés, le contrôle des flux d'informations, la gestion sécurisée des sessions et la gestion des informations d'identification personnelle (PII). La dimension sécurité de la plate-forme du dispositif comporte cinq éléments: sécurité logicielle; sécurité des mises à jour; gestion de la sécurité; journalisation et horodatage. La dimension sécurité physique passe par une interface physique sécurisée et une fonction d'inviolabilité.</w:t>
      </w:r>
      <w:bookmarkEnd w:id="5"/>
    </w:p>
    <w:p w14:paraId="153E51D7" w14:textId="311E7768" w:rsidR="003C23FA" w:rsidRPr="001B5903" w:rsidRDefault="00386487" w:rsidP="00386487">
      <w:pPr>
        <w:pStyle w:val="Heading1"/>
        <w:keepNext w:val="0"/>
        <w:keepLines w:val="0"/>
      </w:pPr>
      <w:r w:rsidRPr="001B5903">
        <w:t>7</w:t>
      </w:r>
      <w:r w:rsidRPr="001B5903">
        <w:tab/>
      </w:r>
      <w:r w:rsidR="003C23FA" w:rsidRPr="001B5903">
        <w:t>Projet de révision de la Recommandation UIT-T X</w:t>
      </w:r>
      <w:r w:rsidR="001B5903" w:rsidRPr="001B5903">
        <w:t>.</w:t>
      </w:r>
      <w:r w:rsidR="003C23FA" w:rsidRPr="001B5903">
        <w:t>1373 [</w:t>
      </w:r>
      <w:hyperlink r:id="rId19" w:history="1">
        <w:r w:rsidR="003C23FA" w:rsidRPr="001B5903">
          <w:rPr>
            <w:rStyle w:val="Hyperlink"/>
          </w:rPr>
          <w:t>R53</w:t>
        </w:r>
      </w:hyperlink>
      <w:r w:rsidR="003C23FA" w:rsidRPr="001B5903">
        <w:t>]</w:t>
      </w:r>
    </w:p>
    <w:p w14:paraId="12D674AF" w14:textId="77777777" w:rsidR="003C23FA" w:rsidRPr="001B5903" w:rsidRDefault="003C23FA" w:rsidP="00386487">
      <w:pPr>
        <w:rPr>
          <w:sz w:val="22"/>
          <w:szCs w:val="22"/>
        </w:rPr>
      </w:pPr>
      <w:bookmarkStart w:id="6" w:name="_Hlk147304018"/>
      <w:r w:rsidRPr="001B5903">
        <w:t>Capacité de mise à jour sécurisée des logiciels pour les dispositifs de communication des systèmes de transport intelligents</w:t>
      </w:r>
    </w:p>
    <w:p w14:paraId="48470D4E" w14:textId="77777777" w:rsidR="003C23FA" w:rsidRPr="001B5903" w:rsidRDefault="003C23FA" w:rsidP="00386487">
      <w:pPr>
        <w:pStyle w:val="headingb"/>
        <w:rPr>
          <w:sz w:val="22"/>
          <w:szCs w:val="22"/>
        </w:rPr>
      </w:pPr>
      <w:r w:rsidRPr="001B5903">
        <w:t>Résumé</w:t>
      </w:r>
    </w:p>
    <w:p w14:paraId="7C3CBBAC" w14:textId="77777777" w:rsidR="00B7616F" w:rsidRPr="001B5903" w:rsidRDefault="003C23FA" w:rsidP="00386487">
      <w:r w:rsidRPr="001B5903">
        <w:t>Les technologies des systèmes de transport intelligent (ITS) s</w:t>
      </w:r>
      <w:r w:rsidR="00B003E0" w:rsidRPr="001B5903">
        <w:t>'</w:t>
      </w:r>
      <w:r w:rsidRPr="001B5903">
        <w:t>améliorant, il est devenu courant que des véhicules communiquent avec d'autres entités, notamment avec d</w:t>
      </w:r>
      <w:r w:rsidR="00B003E0" w:rsidRPr="001B5903">
        <w:t>'</w:t>
      </w:r>
      <w:r w:rsidRPr="001B5903">
        <w:t xml:space="preserve">autres véhicules (communications de véhicule à véhicule (V2V) et de véhicule à infrastructure (V2I)). Les dispositifs électriques embarqués à bord des véhicules, notamment les unités de commande électroniques (ECU), les systèmes de télépéage (ETC) et les systèmes de navigation des véhicules sont de plus en </w:t>
      </w:r>
      <w:r w:rsidR="00B7616F" w:rsidRPr="001B5903">
        <w:br w:type="page"/>
      </w:r>
    </w:p>
    <w:p w14:paraId="68D637DC" w14:textId="48C65877" w:rsidR="003C23FA" w:rsidRPr="001B5903" w:rsidRDefault="003C23FA" w:rsidP="00386487">
      <w:pPr>
        <w:rPr>
          <w:rFonts w:eastAsia="SimSun"/>
          <w:sz w:val="22"/>
          <w:szCs w:val="22"/>
        </w:rPr>
      </w:pPr>
      <w:r w:rsidRPr="001B5903">
        <w:lastRenderedPageBreak/>
        <w:t>plus perfectionnés. En conséquence, les modules logiciels présents dans ces dispositifs électriques doivent être correctement mis à jour afin de corriger les bogues et d'améliorer la qualité de fonctionnement et la sécurité, pour éviter des accidents.</w:t>
      </w:r>
    </w:p>
    <w:p w14:paraId="7D29DA8B" w14:textId="77777777" w:rsidR="003C23FA" w:rsidRPr="001B5903" w:rsidRDefault="003C23FA" w:rsidP="003C23FA">
      <w:pPr>
        <w:rPr>
          <w:rFonts w:eastAsia="SimSun"/>
          <w:sz w:val="22"/>
          <w:szCs w:val="22"/>
        </w:rPr>
      </w:pPr>
      <w:r w:rsidRPr="001B5903">
        <w:t>Pour répondre à tous ces besoins, la Recommandation UIT-T X.1373 définit des procédures de mise à jour sécurisée des logiciels entre le serveur de mise à jour de logiciels et les véhicules moyennant des contrôles de sécurité appropriés, notamment des messages de communication à bord. Elle peut être utilisée par les constructeurs automobiles et la branche des systèmes de transport intelligent comme un ensemble de capacités types pour les bonnes pratiques.</w:t>
      </w:r>
    </w:p>
    <w:bookmarkEnd w:id="6"/>
    <w:p w14:paraId="49B20EB7" w14:textId="033B6BF8" w:rsidR="003C23FA" w:rsidRPr="001B5903" w:rsidRDefault="00386487" w:rsidP="00386487">
      <w:pPr>
        <w:pStyle w:val="Heading1"/>
      </w:pPr>
      <w:r w:rsidRPr="001B5903">
        <w:t>8</w:t>
      </w:r>
      <w:r w:rsidRPr="001B5903">
        <w:tab/>
      </w:r>
      <w:r w:rsidR="003C23FA" w:rsidRPr="001B5903">
        <w:t>Projet de nouvelle Recommandation X.1818 (X.5Gsec-ctrl) [</w:t>
      </w:r>
      <w:hyperlink r:id="rId20" w:history="1">
        <w:r w:rsidR="003C23FA" w:rsidRPr="001B5903">
          <w:rPr>
            <w:rStyle w:val="Hyperlink"/>
          </w:rPr>
          <w:t>R46</w:t>
        </w:r>
      </w:hyperlink>
      <w:r w:rsidR="003C23FA" w:rsidRPr="001B5903">
        <w:t>]</w:t>
      </w:r>
    </w:p>
    <w:p w14:paraId="4EEB6503" w14:textId="54F637AA" w:rsidR="003C23FA" w:rsidRPr="001B5903" w:rsidRDefault="003C23FA" w:rsidP="003C23FA">
      <w:pPr>
        <w:rPr>
          <w:sz w:val="22"/>
          <w:szCs w:val="22"/>
        </w:rPr>
      </w:pPr>
      <w:r w:rsidRPr="001B5903">
        <w:t>Contrôles de sécurité pour l</w:t>
      </w:r>
      <w:r w:rsidR="00B003E0" w:rsidRPr="001B5903">
        <w:t>'</w:t>
      </w:r>
      <w:r w:rsidRPr="001B5903">
        <w:t>exploitation et l'entretien des systèmes de réseau IMT-2020/5G</w:t>
      </w:r>
    </w:p>
    <w:p w14:paraId="378EF876" w14:textId="77777777" w:rsidR="003C23FA" w:rsidRPr="001B5903" w:rsidRDefault="003C23FA" w:rsidP="00386487">
      <w:pPr>
        <w:pStyle w:val="headingb"/>
        <w:rPr>
          <w:sz w:val="22"/>
          <w:szCs w:val="22"/>
        </w:rPr>
      </w:pPr>
      <w:r w:rsidRPr="001B5903">
        <w:t>Résumé</w:t>
      </w:r>
    </w:p>
    <w:p w14:paraId="02DE8E94" w14:textId="4729AE77" w:rsidR="003C23FA" w:rsidRPr="001B5903" w:rsidRDefault="003C23FA" w:rsidP="003C23FA">
      <w:pPr>
        <w:rPr>
          <w:rFonts w:eastAsia="SimSun"/>
          <w:sz w:val="22"/>
          <w:szCs w:val="22"/>
        </w:rPr>
      </w:pPr>
      <w:r w:rsidRPr="001B5903">
        <w:t>Cette Recommandation fournit des orientations détaillées sur la sécurisation des systèmes IMT</w:t>
      </w:r>
      <w:r w:rsidR="00386487" w:rsidRPr="001B5903">
        <w:noBreakHyphen/>
      </w:r>
      <w:r w:rsidRPr="001B5903">
        <w:t>2020 (ou 5G) pendant les phases d</w:t>
      </w:r>
      <w:r w:rsidR="00B003E0" w:rsidRPr="001B5903">
        <w:t>'</w:t>
      </w:r>
      <w:r w:rsidRPr="001B5903">
        <w:t>exploitation et d'entretien. Les menaces de sécurité décrites et les contrôles de sécurité recommandés sont l</w:t>
      </w:r>
      <w:r w:rsidR="00B003E0" w:rsidRPr="001B5903">
        <w:t>'</w:t>
      </w:r>
      <w:r w:rsidRPr="001B5903">
        <w:t>aboutissement d</w:t>
      </w:r>
      <w:r w:rsidR="00B003E0" w:rsidRPr="001B5903">
        <w:t>'</w:t>
      </w:r>
      <w:r w:rsidRPr="001B5903">
        <w:t>une analyse des menaces.</w:t>
      </w:r>
    </w:p>
    <w:p w14:paraId="2F1070B9" w14:textId="01A1D6F6" w:rsidR="003C23FA" w:rsidRPr="001B5903" w:rsidRDefault="003C23FA" w:rsidP="003C23FA">
      <w:pPr>
        <w:rPr>
          <w:rFonts w:eastAsia="SimSun"/>
          <w:sz w:val="22"/>
          <w:szCs w:val="22"/>
        </w:rPr>
      </w:pPr>
      <w:r w:rsidRPr="001B5903">
        <w:t>Cette Recommandation est axée sur le système 5G autonome (5G SA) ainsi que l</w:t>
      </w:r>
      <w:r w:rsidR="00B003E0" w:rsidRPr="001B5903">
        <w:t>'</w:t>
      </w:r>
      <w:r w:rsidRPr="001B5903">
        <w:t>infrastructure virtuelle et les systèmes de gestion connexes sur lesquels on se fonde en principe pour déployer la 5G. En outre, il a été tenu compte non seulement de la technologie, mais aussi des aspects liés aux personnes et aux processus ayant une incidence sur la sécurité des services 5G. Les contrôles de sécurité recommandés sont décrits à un niveau élevé et comportent si nécessaire des renvois à des normes et des bonnes pratiques établies.</w:t>
      </w:r>
    </w:p>
    <w:p w14:paraId="24C14273" w14:textId="43AA5AB4" w:rsidR="003C23FA" w:rsidRPr="001B5903" w:rsidRDefault="003C23FA" w:rsidP="00386487">
      <w:pPr>
        <w:rPr>
          <w:rFonts w:eastAsia="MS Mincho"/>
        </w:rPr>
      </w:pPr>
      <w:r w:rsidRPr="001B5903">
        <w:rPr>
          <w:rFonts w:eastAsia="MS Mincho"/>
        </w:rPr>
        <w:br w:type="page"/>
      </w:r>
    </w:p>
    <w:p w14:paraId="33453678" w14:textId="45649946" w:rsidR="003C23FA" w:rsidRPr="001B5903" w:rsidRDefault="003C23FA" w:rsidP="003C23FA">
      <w:pPr>
        <w:pStyle w:val="Annextitle0"/>
        <w:spacing w:before="120" w:after="120"/>
        <w:rPr>
          <w:lang w:val="fr-FR"/>
        </w:rPr>
      </w:pPr>
      <w:r w:rsidRPr="001B5903">
        <w:rPr>
          <w:bCs/>
          <w:lang w:val="fr-FR"/>
        </w:rPr>
        <w:lastRenderedPageBreak/>
        <w:t>Annexe 2</w:t>
      </w:r>
      <w:r w:rsidR="00B7616F" w:rsidRPr="001B5903">
        <w:rPr>
          <w:bCs/>
          <w:lang w:val="fr-FR"/>
        </w:rPr>
        <w:br/>
      </w:r>
      <w:r w:rsidR="00B7616F" w:rsidRPr="001B5903">
        <w:rPr>
          <w:bCs/>
          <w:lang w:val="fr-FR"/>
        </w:rPr>
        <w:br/>
      </w:r>
      <w:r w:rsidRPr="001B5903">
        <w:rPr>
          <w:bCs/>
          <w:lang w:val="fr-FR"/>
        </w:rPr>
        <w:t xml:space="preserve">Objet: </w:t>
      </w:r>
      <w:r w:rsidR="0040074D" w:rsidRPr="001B5903">
        <w:rPr>
          <w:bCs/>
          <w:lang w:val="fr-FR"/>
        </w:rPr>
        <w:t>R</w:t>
      </w:r>
      <w:r w:rsidRPr="001B5903">
        <w:rPr>
          <w:bCs/>
          <w:lang w:val="fr-FR"/>
        </w:rPr>
        <w:t xml:space="preserve">éponse des </w:t>
      </w:r>
      <w:r w:rsidR="0040074D" w:rsidRPr="001B5903">
        <w:rPr>
          <w:bCs/>
          <w:lang w:val="fr-FR"/>
        </w:rPr>
        <w:t>États</w:t>
      </w:r>
      <w:r w:rsidRPr="001B5903">
        <w:rPr>
          <w:bCs/>
          <w:lang w:val="fr-FR"/>
        </w:rPr>
        <w:t xml:space="preserve"> Membres à la Circulaire TSB 142: Consultation sur le texte déterminé des projets de Recommandations UIT-T X.1150 (X.saf-dfs), X.1221</w:t>
      </w:r>
      <w:r w:rsidR="0040074D" w:rsidRPr="001B5903">
        <w:rPr>
          <w:bCs/>
          <w:lang w:val="fr-FR"/>
        </w:rPr>
        <w:t> </w:t>
      </w:r>
      <w:r w:rsidRPr="001B5903">
        <w:rPr>
          <w:bCs/>
          <w:lang w:val="fr-FR"/>
        </w:rPr>
        <w:t>(X.stie), X.1222 (X.taeii), X.1280 (X.oob-sa) et X.1281 (X.osia), d</w:t>
      </w:r>
      <w:r w:rsidR="00B003E0" w:rsidRPr="001B5903">
        <w:rPr>
          <w:bCs/>
          <w:lang w:val="fr-FR"/>
        </w:rPr>
        <w:t>'</w:t>
      </w:r>
      <w:r w:rsidRPr="001B5903">
        <w:rPr>
          <w:bCs/>
          <w:lang w:val="fr-FR"/>
        </w:rPr>
        <w:t>Amendement 1 à la Recommandation X.1352 et de</w:t>
      </w:r>
      <w:r w:rsidR="0040074D" w:rsidRPr="001B5903">
        <w:rPr>
          <w:bCs/>
          <w:lang w:val="fr-FR"/>
        </w:rPr>
        <w:br/>
      </w:r>
      <w:r w:rsidRPr="001B5903">
        <w:rPr>
          <w:bCs/>
          <w:lang w:val="fr-FR"/>
        </w:rPr>
        <w:t>Recommandations X.1373 révisée</w:t>
      </w:r>
      <w:r w:rsidR="0040074D" w:rsidRPr="001B5903">
        <w:rPr>
          <w:bCs/>
          <w:lang w:val="fr-FR"/>
        </w:rPr>
        <w:t xml:space="preserve"> </w:t>
      </w:r>
      <w:r w:rsidRPr="001B5903">
        <w:rPr>
          <w:bCs/>
          <w:lang w:val="fr-FR"/>
        </w:rPr>
        <w:t>et</w:t>
      </w:r>
      <w:r w:rsidR="0040074D" w:rsidRPr="001B5903">
        <w:rPr>
          <w:bCs/>
          <w:lang w:val="fr-FR"/>
        </w:rPr>
        <w:br/>
      </w:r>
      <w:r w:rsidRPr="001B5903">
        <w:rPr>
          <w:bCs/>
          <w:lang w:val="fr-FR"/>
        </w:rPr>
        <w:t>X.1818 (X.5Gsec-ctrl)</w:t>
      </w:r>
      <w:bookmarkStart w:id="7" w:name="_Hlk147304395"/>
      <w:bookmarkEnd w:id="7"/>
    </w:p>
    <w:tbl>
      <w:tblPr>
        <w:tblW w:w="9957" w:type="dxa"/>
        <w:tblInd w:w="-176" w:type="dxa"/>
        <w:tblLayout w:type="fixed"/>
        <w:tblLook w:val="04A0" w:firstRow="1" w:lastRow="0" w:firstColumn="1" w:lastColumn="0" w:noHBand="0" w:noVBand="1"/>
      </w:tblPr>
      <w:tblGrid>
        <w:gridCol w:w="1310"/>
        <w:gridCol w:w="4820"/>
        <w:gridCol w:w="1276"/>
        <w:gridCol w:w="2551"/>
      </w:tblGrid>
      <w:tr w:rsidR="003C23FA" w:rsidRPr="001B5903" w14:paraId="3FE0B202" w14:textId="77777777" w:rsidTr="00A20A89">
        <w:tc>
          <w:tcPr>
            <w:tcW w:w="1310" w:type="dxa"/>
            <w:shd w:val="clear" w:color="auto" w:fill="auto"/>
          </w:tcPr>
          <w:p w14:paraId="014765A6" w14:textId="517F2BBD" w:rsidR="003C23FA" w:rsidRPr="001B5903" w:rsidRDefault="00A20A89" w:rsidP="001139D4">
            <w:pPr>
              <w:jc w:val="right"/>
              <w:rPr>
                <w:b/>
                <w:bCs/>
                <w:szCs w:val="24"/>
              </w:rPr>
            </w:pPr>
            <w:r w:rsidRPr="001B5903">
              <w:rPr>
                <w:b/>
                <w:bCs/>
              </w:rPr>
              <w:t>À</w:t>
            </w:r>
            <w:r w:rsidR="003C23FA" w:rsidRPr="001B5903">
              <w:rPr>
                <w:b/>
                <w:bCs/>
              </w:rPr>
              <w:t>:</w:t>
            </w:r>
          </w:p>
        </w:tc>
        <w:tc>
          <w:tcPr>
            <w:tcW w:w="4820" w:type="dxa"/>
            <w:tcBorders>
              <w:right w:val="single" w:sz="8" w:space="0" w:color="auto"/>
            </w:tcBorders>
            <w:shd w:val="clear" w:color="auto" w:fill="auto"/>
          </w:tcPr>
          <w:p w14:paraId="2B1352CB" w14:textId="77777777" w:rsidR="003C23FA" w:rsidRPr="001B5903" w:rsidRDefault="003C23FA" w:rsidP="001139D4">
            <w:pPr>
              <w:rPr>
                <w:szCs w:val="24"/>
              </w:rPr>
            </w:pPr>
            <w:r w:rsidRPr="001B5903">
              <w:t>Directeur du Bureau de la normalisation des télécommunications</w:t>
            </w:r>
          </w:p>
          <w:p w14:paraId="1F5C0626" w14:textId="77777777" w:rsidR="003C23FA" w:rsidRPr="001B5903" w:rsidRDefault="003C23FA" w:rsidP="001139D4">
            <w:pPr>
              <w:spacing w:before="0"/>
              <w:rPr>
                <w:szCs w:val="24"/>
              </w:rPr>
            </w:pPr>
            <w:r w:rsidRPr="001B5903">
              <w:t>Union internationale des télécommunications</w:t>
            </w:r>
          </w:p>
          <w:p w14:paraId="28649AF6" w14:textId="77777777" w:rsidR="003C23FA" w:rsidRPr="001B5903" w:rsidRDefault="003C23FA" w:rsidP="001139D4">
            <w:pPr>
              <w:spacing w:before="0"/>
              <w:rPr>
                <w:szCs w:val="24"/>
              </w:rPr>
            </w:pPr>
            <w:r w:rsidRPr="001B5903">
              <w:t>Place des Nations</w:t>
            </w:r>
          </w:p>
          <w:p w14:paraId="3699A593" w14:textId="77777777" w:rsidR="003C23FA" w:rsidRPr="001B5903" w:rsidRDefault="003C23FA" w:rsidP="001139D4">
            <w:pPr>
              <w:spacing w:before="0"/>
              <w:rPr>
                <w:szCs w:val="24"/>
              </w:rPr>
            </w:pPr>
            <w:r w:rsidRPr="001B5903">
              <w:t>CH-1211 Genève 20, Suisse</w:t>
            </w:r>
          </w:p>
        </w:tc>
        <w:tc>
          <w:tcPr>
            <w:tcW w:w="1276" w:type="dxa"/>
            <w:tcBorders>
              <w:left w:val="single" w:sz="8" w:space="0" w:color="auto"/>
            </w:tcBorders>
            <w:shd w:val="clear" w:color="auto" w:fill="auto"/>
          </w:tcPr>
          <w:p w14:paraId="3F71BE33" w14:textId="77777777" w:rsidR="003C23FA" w:rsidRPr="001B5903" w:rsidRDefault="003C23FA" w:rsidP="001139D4">
            <w:pPr>
              <w:jc w:val="right"/>
              <w:rPr>
                <w:b/>
                <w:bCs/>
                <w:szCs w:val="24"/>
              </w:rPr>
            </w:pPr>
            <w:r w:rsidRPr="001B5903">
              <w:rPr>
                <w:b/>
                <w:bCs/>
              </w:rPr>
              <w:t>De:</w:t>
            </w:r>
          </w:p>
        </w:tc>
        <w:tc>
          <w:tcPr>
            <w:tcW w:w="2551" w:type="dxa"/>
            <w:shd w:val="clear" w:color="auto" w:fill="auto"/>
          </w:tcPr>
          <w:p w14:paraId="099A78C2" w14:textId="77777777" w:rsidR="003C23FA" w:rsidRPr="001B5903" w:rsidRDefault="003C23FA" w:rsidP="001139D4">
            <w:pPr>
              <w:rPr>
                <w:szCs w:val="24"/>
                <w:highlight w:val="green"/>
              </w:rPr>
            </w:pPr>
            <w:r w:rsidRPr="001B5903">
              <w:rPr>
                <w:highlight w:val="green"/>
              </w:rPr>
              <w:t>[Nom]</w:t>
            </w:r>
          </w:p>
          <w:p w14:paraId="06174FDF" w14:textId="77777777" w:rsidR="003C23FA" w:rsidRPr="001B5903" w:rsidRDefault="003C23FA" w:rsidP="001139D4">
            <w:pPr>
              <w:spacing w:before="0"/>
              <w:rPr>
                <w:szCs w:val="24"/>
                <w:highlight w:val="green"/>
              </w:rPr>
            </w:pPr>
            <w:r w:rsidRPr="001B5903">
              <w:rPr>
                <w:highlight w:val="green"/>
              </w:rPr>
              <w:t>[Rôle/titre officiel]</w:t>
            </w:r>
          </w:p>
          <w:p w14:paraId="475FC3A0" w14:textId="77777777" w:rsidR="003C23FA" w:rsidRPr="001B5903" w:rsidRDefault="003C23FA" w:rsidP="001139D4">
            <w:pPr>
              <w:spacing w:before="0"/>
              <w:rPr>
                <w:szCs w:val="24"/>
              </w:rPr>
            </w:pPr>
            <w:r w:rsidRPr="001B5903">
              <w:rPr>
                <w:highlight w:val="green"/>
              </w:rPr>
              <w:t>[Adresse]</w:t>
            </w:r>
          </w:p>
        </w:tc>
      </w:tr>
      <w:tr w:rsidR="00A20A89" w:rsidRPr="001B5903" w14:paraId="7594F2A1" w14:textId="77777777" w:rsidTr="00A20A89">
        <w:trPr>
          <w:trHeight w:val="265"/>
        </w:trPr>
        <w:tc>
          <w:tcPr>
            <w:tcW w:w="1310" w:type="dxa"/>
            <w:shd w:val="clear" w:color="auto" w:fill="auto"/>
          </w:tcPr>
          <w:p w14:paraId="3A970588" w14:textId="04316CD9" w:rsidR="00A20A89" w:rsidRPr="001B5903" w:rsidRDefault="00A20A89" w:rsidP="001139D4">
            <w:pPr>
              <w:spacing w:before="0"/>
              <w:jc w:val="right"/>
              <w:rPr>
                <w:b/>
                <w:bCs/>
                <w:szCs w:val="24"/>
              </w:rPr>
            </w:pPr>
            <w:r w:rsidRPr="001B5903">
              <w:rPr>
                <w:b/>
                <w:bCs/>
              </w:rPr>
              <w:t>Télécopie:</w:t>
            </w:r>
          </w:p>
        </w:tc>
        <w:tc>
          <w:tcPr>
            <w:tcW w:w="4820" w:type="dxa"/>
            <w:tcBorders>
              <w:right w:val="single" w:sz="8" w:space="0" w:color="auto"/>
            </w:tcBorders>
            <w:shd w:val="clear" w:color="auto" w:fill="auto"/>
          </w:tcPr>
          <w:p w14:paraId="1CF8580A" w14:textId="1C0B9A76" w:rsidR="00A20A89" w:rsidRPr="001B5903" w:rsidRDefault="00A20A89" w:rsidP="001139D4">
            <w:pPr>
              <w:spacing w:before="0"/>
              <w:rPr>
                <w:szCs w:val="24"/>
              </w:rPr>
            </w:pPr>
            <w:r w:rsidRPr="001B5903">
              <w:t>+41-22-730-5853</w:t>
            </w:r>
          </w:p>
        </w:tc>
        <w:tc>
          <w:tcPr>
            <w:tcW w:w="1276" w:type="dxa"/>
            <w:tcBorders>
              <w:left w:val="single" w:sz="8" w:space="0" w:color="auto"/>
            </w:tcBorders>
            <w:shd w:val="clear" w:color="auto" w:fill="auto"/>
          </w:tcPr>
          <w:p w14:paraId="4B9DF8E3" w14:textId="0172A3DB" w:rsidR="00A20A89" w:rsidRPr="001B5903" w:rsidRDefault="00A20A89" w:rsidP="001139D4">
            <w:pPr>
              <w:spacing w:before="0"/>
              <w:jc w:val="right"/>
              <w:rPr>
                <w:b/>
                <w:bCs/>
                <w:szCs w:val="24"/>
              </w:rPr>
            </w:pPr>
            <w:r w:rsidRPr="001B5903">
              <w:rPr>
                <w:b/>
                <w:bCs/>
              </w:rPr>
              <w:t>Télécopie:</w:t>
            </w:r>
          </w:p>
        </w:tc>
        <w:tc>
          <w:tcPr>
            <w:tcW w:w="2551" w:type="dxa"/>
            <w:shd w:val="clear" w:color="auto" w:fill="auto"/>
          </w:tcPr>
          <w:p w14:paraId="0661EB85" w14:textId="77777777" w:rsidR="00A20A89" w:rsidRPr="001B5903" w:rsidRDefault="00A20A89" w:rsidP="001139D4">
            <w:pPr>
              <w:spacing w:before="0"/>
              <w:rPr>
                <w:szCs w:val="24"/>
              </w:rPr>
            </w:pPr>
          </w:p>
        </w:tc>
      </w:tr>
      <w:tr w:rsidR="00A20A89" w:rsidRPr="001B5903" w14:paraId="0E707ED4" w14:textId="77777777" w:rsidTr="00A20A89">
        <w:trPr>
          <w:trHeight w:val="265"/>
        </w:trPr>
        <w:tc>
          <w:tcPr>
            <w:tcW w:w="1310" w:type="dxa"/>
            <w:shd w:val="clear" w:color="auto" w:fill="auto"/>
          </w:tcPr>
          <w:p w14:paraId="65A77CC5" w14:textId="56CEB734" w:rsidR="00A20A89" w:rsidRPr="001B5903" w:rsidRDefault="00A20A89" w:rsidP="001139D4">
            <w:pPr>
              <w:spacing w:before="0"/>
              <w:jc w:val="right"/>
              <w:rPr>
                <w:b/>
                <w:bCs/>
              </w:rPr>
            </w:pPr>
            <w:r w:rsidRPr="001B5903">
              <w:rPr>
                <w:b/>
                <w:bCs/>
              </w:rPr>
              <w:t>Courriel:</w:t>
            </w:r>
          </w:p>
        </w:tc>
        <w:tc>
          <w:tcPr>
            <w:tcW w:w="4820" w:type="dxa"/>
            <w:tcBorders>
              <w:right w:val="single" w:sz="8" w:space="0" w:color="auto"/>
            </w:tcBorders>
            <w:shd w:val="clear" w:color="auto" w:fill="auto"/>
          </w:tcPr>
          <w:p w14:paraId="656A80E8" w14:textId="02CDAAD2" w:rsidR="00A20A89" w:rsidRPr="001B5903" w:rsidRDefault="00CD004F" w:rsidP="001139D4">
            <w:pPr>
              <w:spacing w:before="0"/>
              <w:rPr>
                <w:rStyle w:val="Hyperlink"/>
              </w:rPr>
            </w:pPr>
            <w:hyperlink r:id="rId21" w:history="1">
              <w:r w:rsidR="00A20A89" w:rsidRPr="001B5903">
                <w:rPr>
                  <w:rStyle w:val="Hyperlink"/>
                </w:rPr>
                <w:t>tsbdir@itu.int</w:t>
              </w:r>
            </w:hyperlink>
          </w:p>
        </w:tc>
        <w:tc>
          <w:tcPr>
            <w:tcW w:w="1276" w:type="dxa"/>
            <w:tcBorders>
              <w:left w:val="single" w:sz="8" w:space="0" w:color="auto"/>
            </w:tcBorders>
            <w:shd w:val="clear" w:color="auto" w:fill="auto"/>
          </w:tcPr>
          <w:p w14:paraId="41E04156" w14:textId="26B4CEEA" w:rsidR="00A20A89" w:rsidRPr="001B5903" w:rsidRDefault="00A20A89" w:rsidP="001139D4">
            <w:pPr>
              <w:spacing w:before="0"/>
              <w:jc w:val="right"/>
              <w:rPr>
                <w:b/>
                <w:bCs/>
              </w:rPr>
            </w:pPr>
            <w:r w:rsidRPr="001B5903">
              <w:rPr>
                <w:b/>
                <w:bCs/>
              </w:rPr>
              <w:t>Courriel:</w:t>
            </w:r>
          </w:p>
        </w:tc>
        <w:tc>
          <w:tcPr>
            <w:tcW w:w="2551" w:type="dxa"/>
            <w:shd w:val="clear" w:color="auto" w:fill="auto"/>
          </w:tcPr>
          <w:p w14:paraId="53376026" w14:textId="77777777" w:rsidR="00A20A89" w:rsidRPr="001B5903" w:rsidRDefault="00A20A89" w:rsidP="001139D4">
            <w:pPr>
              <w:spacing w:before="0"/>
              <w:rPr>
                <w:szCs w:val="24"/>
              </w:rPr>
            </w:pPr>
          </w:p>
        </w:tc>
      </w:tr>
      <w:tr w:rsidR="003C23FA" w:rsidRPr="001B5903" w14:paraId="37F019B7" w14:textId="77777777" w:rsidTr="00A20A89">
        <w:tc>
          <w:tcPr>
            <w:tcW w:w="1310" w:type="dxa"/>
            <w:shd w:val="clear" w:color="auto" w:fill="auto"/>
          </w:tcPr>
          <w:p w14:paraId="6E2CF5DC" w14:textId="77777777" w:rsidR="003C23FA" w:rsidRPr="001B5903" w:rsidRDefault="003C23FA" w:rsidP="001139D4">
            <w:pPr>
              <w:spacing w:before="0"/>
              <w:jc w:val="right"/>
              <w:rPr>
                <w:szCs w:val="24"/>
              </w:rPr>
            </w:pPr>
          </w:p>
        </w:tc>
        <w:tc>
          <w:tcPr>
            <w:tcW w:w="4820" w:type="dxa"/>
            <w:tcBorders>
              <w:right w:val="single" w:sz="8" w:space="0" w:color="auto"/>
            </w:tcBorders>
            <w:shd w:val="clear" w:color="auto" w:fill="auto"/>
          </w:tcPr>
          <w:p w14:paraId="4DE0DE00" w14:textId="77777777" w:rsidR="003C23FA" w:rsidRPr="001B5903" w:rsidRDefault="003C23FA" w:rsidP="001139D4">
            <w:pPr>
              <w:spacing w:before="0"/>
              <w:rPr>
                <w:szCs w:val="24"/>
              </w:rPr>
            </w:pPr>
          </w:p>
        </w:tc>
        <w:tc>
          <w:tcPr>
            <w:tcW w:w="1276" w:type="dxa"/>
            <w:tcBorders>
              <w:left w:val="single" w:sz="8" w:space="0" w:color="auto"/>
            </w:tcBorders>
            <w:shd w:val="clear" w:color="auto" w:fill="auto"/>
          </w:tcPr>
          <w:p w14:paraId="46B18130" w14:textId="77777777" w:rsidR="003C23FA" w:rsidRPr="001B5903" w:rsidRDefault="003C23FA" w:rsidP="001139D4">
            <w:pPr>
              <w:spacing w:before="0"/>
              <w:jc w:val="right"/>
              <w:rPr>
                <w:b/>
                <w:bCs/>
                <w:szCs w:val="24"/>
              </w:rPr>
            </w:pPr>
            <w:r w:rsidRPr="001B5903">
              <w:rPr>
                <w:b/>
                <w:bCs/>
              </w:rPr>
              <w:t>Date:</w:t>
            </w:r>
          </w:p>
        </w:tc>
        <w:tc>
          <w:tcPr>
            <w:tcW w:w="2551" w:type="dxa"/>
            <w:shd w:val="clear" w:color="auto" w:fill="auto"/>
          </w:tcPr>
          <w:p w14:paraId="22B5EA74" w14:textId="77777777" w:rsidR="003C23FA" w:rsidRPr="001B5903" w:rsidRDefault="003C23FA" w:rsidP="001139D4">
            <w:pPr>
              <w:spacing w:before="0"/>
              <w:rPr>
                <w:szCs w:val="24"/>
              </w:rPr>
            </w:pPr>
            <w:r w:rsidRPr="001B5903">
              <w:rPr>
                <w:highlight w:val="green"/>
              </w:rPr>
              <w:t>[Lieu,] [Date]</w:t>
            </w:r>
          </w:p>
        </w:tc>
      </w:tr>
    </w:tbl>
    <w:p w14:paraId="11175674" w14:textId="77777777" w:rsidR="003C23FA" w:rsidRPr="001B5903" w:rsidRDefault="003C23FA" w:rsidP="003C23FA">
      <w:pPr>
        <w:rPr>
          <w:szCs w:val="24"/>
        </w:rPr>
      </w:pPr>
      <w:r w:rsidRPr="001B5903">
        <w:t>Madame, Monsieur,</w:t>
      </w:r>
    </w:p>
    <w:p w14:paraId="475C52DE" w14:textId="136D61D8" w:rsidR="003C23FA" w:rsidRPr="001B5903" w:rsidRDefault="003C23FA" w:rsidP="00A20A89">
      <w:pPr>
        <w:spacing w:after="240"/>
        <w:rPr>
          <w:szCs w:val="24"/>
        </w:rPr>
      </w:pPr>
      <w:r w:rsidRPr="001B5903">
        <w:t>Dans le cadre de la consultation des États Membres au sujet des projets de textes déterminés dont il est question dans la Circulaire TSB 142, je souhaite vous faire connaître par la présente le point de vue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456"/>
      </w:tblGrid>
      <w:tr w:rsidR="003C23FA" w:rsidRPr="001B5903" w14:paraId="0E8D2BA9" w14:textId="77777777" w:rsidTr="001139D4">
        <w:trPr>
          <w:cantSplit/>
          <w:tblHeader/>
        </w:trPr>
        <w:tc>
          <w:tcPr>
            <w:tcW w:w="2263" w:type="dxa"/>
            <w:shd w:val="clear" w:color="auto" w:fill="auto"/>
            <w:vAlign w:val="center"/>
          </w:tcPr>
          <w:p w14:paraId="3BE3E75D" w14:textId="77777777" w:rsidR="003C23FA" w:rsidRPr="001B5903" w:rsidRDefault="003C23FA" w:rsidP="001139D4">
            <w:pPr>
              <w:spacing w:after="120"/>
              <w:jc w:val="center"/>
              <w:rPr>
                <w:b/>
                <w:bCs/>
                <w:szCs w:val="24"/>
              </w:rPr>
            </w:pPr>
          </w:p>
        </w:tc>
        <w:tc>
          <w:tcPr>
            <w:tcW w:w="7456" w:type="dxa"/>
            <w:shd w:val="clear" w:color="auto" w:fill="auto"/>
            <w:vAlign w:val="center"/>
          </w:tcPr>
          <w:p w14:paraId="312FB706" w14:textId="77777777" w:rsidR="003C23FA" w:rsidRPr="001B5903" w:rsidRDefault="003C23FA" w:rsidP="001139D4">
            <w:pPr>
              <w:tabs>
                <w:tab w:val="clear" w:pos="794"/>
                <w:tab w:val="clear" w:pos="1191"/>
                <w:tab w:val="clear" w:pos="1588"/>
                <w:tab w:val="clear" w:pos="1985"/>
              </w:tabs>
              <w:spacing w:after="120"/>
              <w:ind w:left="939" w:hanging="459"/>
              <w:jc w:val="center"/>
              <w:rPr>
                <w:b/>
                <w:bCs/>
                <w:szCs w:val="24"/>
              </w:rPr>
            </w:pPr>
            <w:r w:rsidRPr="001B5903">
              <w:rPr>
                <w:b/>
                <w:bCs/>
              </w:rPr>
              <w:t>Cochez l'une des deux cases pour chaque texte</w:t>
            </w:r>
          </w:p>
        </w:tc>
      </w:tr>
      <w:tr w:rsidR="003C23FA" w:rsidRPr="001B5903" w14:paraId="75F5B0CF" w14:textId="77777777" w:rsidTr="001139D4">
        <w:trPr>
          <w:cantSplit/>
          <w:trHeight w:val="748"/>
        </w:trPr>
        <w:tc>
          <w:tcPr>
            <w:tcW w:w="2263" w:type="dxa"/>
            <w:vMerge w:val="restart"/>
            <w:shd w:val="clear" w:color="auto" w:fill="auto"/>
            <w:vAlign w:val="center"/>
          </w:tcPr>
          <w:p w14:paraId="58D0BB00" w14:textId="2338A141" w:rsidR="003C23FA" w:rsidRPr="001B5903" w:rsidRDefault="003C23FA" w:rsidP="001139D4">
            <w:pPr>
              <w:spacing w:before="60" w:after="60"/>
              <w:jc w:val="center"/>
              <w:rPr>
                <w:b/>
                <w:bCs/>
                <w:szCs w:val="24"/>
              </w:rPr>
            </w:pPr>
            <w:r w:rsidRPr="001B5903">
              <w:rPr>
                <w:b/>
                <w:bCs/>
              </w:rPr>
              <w:t>Projet de nouvelle Recommandation UIT-T X.1150 (X.saf</w:t>
            </w:r>
            <w:r w:rsidR="0061185F" w:rsidRPr="001B5903">
              <w:rPr>
                <w:b/>
                <w:bCs/>
              </w:rPr>
              <w:noBreakHyphen/>
            </w:r>
            <w:r w:rsidRPr="001B5903">
              <w:rPr>
                <w:b/>
                <w:bCs/>
              </w:rPr>
              <w:t>dfs)</w:t>
            </w:r>
          </w:p>
        </w:tc>
        <w:tc>
          <w:tcPr>
            <w:tcW w:w="7456" w:type="dxa"/>
            <w:shd w:val="clear" w:color="auto" w:fill="auto"/>
            <w:vAlign w:val="center"/>
          </w:tcPr>
          <w:p w14:paraId="5AA2C936" w14:textId="28EF8329" w:rsidR="003C23FA" w:rsidRPr="001B5903" w:rsidRDefault="00B7616F" w:rsidP="001139D4">
            <w:pPr>
              <w:tabs>
                <w:tab w:val="clear" w:pos="794"/>
                <w:tab w:val="clear" w:pos="1191"/>
                <w:tab w:val="clear" w:pos="1588"/>
                <w:tab w:val="clear" w:pos="1985"/>
              </w:tabs>
              <w:spacing w:before="60" w:after="60"/>
              <w:ind w:left="459" w:hanging="459"/>
              <w:rPr>
                <w:szCs w:val="24"/>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 xml:space="preserve">autorise </w:t>
            </w:r>
            <w:r w:rsidR="003C23FA" w:rsidRPr="001B5903">
              <w:t>la Commission d'études 17 à procéder à l'examen de ce document en vue de son approbation (dans ce cas, sélectionnez l'une des deux options ⃝):</w:t>
            </w:r>
          </w:p>
          <w:p w14:paraId="320E1122" w14:textId="77777777" w:rsidR="003C23FA" w:rsidRPr="001B5903" w:rsidRDefault="003C23FA" w:rsidP="001139D4">
            <w:pPr>
              <w:tabs>
                <w:tab w:val="clear" w:pos="794"/>
                <w:tab w:val="clear" w:pos="1191"/>
                <w:tab w:val="clear" w:pos="1588"/>
                <w:tab w:val="clear" w:pos="1985"/>
              </w:tabs>
              <w:spacing w:before="0"/>
              <w:ind w:left="939" w:hanging="459"/>
              <w:rPr>
                <w:szCs w:val="24"/>
              </w:rPr>
            </w:pPr>
            <w:r w:rsidRPr="001B5903">
              <w:t>⃝</w:t>
            </w:r>
            <w:r w:rsidRPr="001B5903">
              <w:tab/>
              <w:t>Pas de commentaire ou de proposition de modification</w:t>
            </w:r>
          </w:p>
          <w:p w14:paraId="60B40A22" w14:textId="77777777" w:rsidR="003C23FA" w:rsidRPr="001B5903" w:rsidRDefault="003C23FA" w:rsidP="0061185F">
            <w:pPr>
              <w:tabs>
                <w:tab w:val="clear" w:pos="794"/>
                <w:tab w:val="clear" w:pos="1191"/>
                <w:tab w:val="clear" w:pos="1588"/>
                <w:tab w:val="clear" w:pos="1985"/>
              </w:tabs>
              <w:spacing w:before="0" w:after="60"/>
              <w:ind w:left="939" w:hanging="459"/>
              <w:rPr>
                <w:szCs w:val="24"/>
              </w:rPr>
            </w:pPr>
            <w:r w:rsidRPr="001B5903">
              <w:t>⃝</w:t>
            </w:r>
            <w:r w:rsidRPr="001B5903">
              <w:tab/>
              <w:t>Des commentaires ou propositions de modification sont joints à la présente</w:t>
            </w:r>
          </w:p>
        </w:tc>
      </w:tr>
      <w:tr w:rsidR="003C23FA" w:rsidRPr="001B5903" w14:paraId="5C021616" w14:textId="77777777" w:rsidTr="001139D4">
        <w:trPr>
          <w:cantSplit/>
          <w:trHeight w:val="747"/>
        </w:trPr>
        <w:tc>
          <w:tcPr>
            <w:tcW w:w="2263" w:type="dxa"/>
            <w:vMerge/>
            <w:shd w:val="clear" w:color="auto" w:fill="auto"/>
            <w:vAlign w:val="center"/>
          </w:tcPr>
          <w:p w14:paraId="6D8CFC11" w14:textId="77777777" w:rsidR="003C23FA" w:rsidRPr="001B5903" w:rsidRDefault="003C23FA" w:rsidP="001139D4">
            <w:pPr>
              <w:spacing w:before="60" w:after="60"/>
              <w:jc w:val="center"/>
              <w:rPr>
                <w:b/>
                <w:bCs/>
                <w:szCs w:val="24"/>
              </w:rPr>
            </w:pPr>
          </w:p>
        </w:tc>
        <w:tc>
          <w:tcPr>
            <w:tcW w:w="7456" w:type="dxa"/>
            <w:shd w:val="clear" w:color="auto" w:fill="auto"/>
            <w:vAlign w:val="center"/>
          </w:tcPr>
          <w:p w14:paraId="54AF1694" w14:textId="40953FF3" w:rsidR="003C23FA" w:rsidRPr="001B5903" w:rsidRDefault="00B7616F" w:rsidP="0061185F">
            <w:pPr>
              <w:tabs>
                <w:tab w:val="clear" w:pos="794"/>
                <w:tab w:val="clear" w:pos="1191"/>
                <w:tab w:val="clear" w:pos="1588"/>
                <w:tab w:val="clear" w:pos="1985"/>
              </w:tabs>
              <w:spacing w:before="60" w:after="60"/>
              <w:ind w:left="459" w:hanging="459"/>
              <w:rPr>
                <w:sz w:val="20"/>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 xml:space="preserve">n'autorise pas </w:t>
            </w:r>
            <w:r w:rsidR="003C23FA" w:rsidRPr="001B5903">
              <w:t>la Commission d'études 17 à procéder à l'examen de ce document en vue de son approbation (les motifs de cette décision et une description des éventuelles modifications qui permettraient la poursuite des travaux sont joints à la présente)</w:t>
            </w:r>
          </w:p>
        </w:tc>
      </w:tr>
      <w:tr w:rsidR="003C23FA" w:rsidRPr="001B5903" w14:paraId="699478FE" w14:textId="77777777" w:rsidTr="001139D4">
        <w:trPr>
          <w:cantSplit/>
          <w:trHeight w:val="747"/>
        </w:trPr>
        <w:tc>
          <w:tcPr>
            <w:tcW w:w="2263" w:type="dxa"/>
            <w:vMerge w:val="restart"/>
            <w:shd w:val="clear" w:color="auto" w:fill="auto"/>
            <w:vAlign w:val="center"/>
          </w:tcPr>
          <w:p w14:paraId="57164087" w14:textId="4E8EFEDF" w:rsidR="003C23FA" w:rsidRPr="001B5903" w:rsidRDefault="003C23FA" w:rsidP="001139D4">
            <w:pPr>
              <w:spacing w:before="60" w:after="60"/>
              <w:jc w:val="center"/>
              <w:rPr>
                <w:b/>
                <w:bCs/>
                <w:szCs w:val="24"/>
              </w:rPr>
            </w:pPr>
            <w:r w:rsidRPr="001B5903">
              <w:rPr>
                <w:b/>
                <w:bCs/>
              </w:rPr>
              <w:t>Projet de nouvelle Recommandation UIT-T X.1221 (X.stie)</w:t>
            </w:r>
          </w:p>
        </w:tc>
        <w:tc>
          <w:tcPr>
            <w:tcW w:w="7456" w:type="dxa"/>
            <w:shd w:val="clear" w:color="auto" w:fill="auto"/>
            <w:vAlign w:val="center"/>
          </w:tcPr>
          <w:p w14:paraId="0BB66286" w14:textId="0AF7FFA4" w:rsidR="003C23FA" w:rsidRPr="001B5903" w:rsidRDefault="00B7616F" w:rsidP="001139D4">
            <w:pPr>
              <w:tabs>
                <w:tab w:val="clear" w:pos="794"/>
                <w:tab w:val="clear" w:pos="1191"/>
                <w:tab w:val="clear" w:pos="1588"/>
                <w:tab w:val="clear" w:pos="1985"/>
              </w:tabs>
              <w:spacing w:before="60" w:after="60"/>
              <w:ind w:left="459" w:hanging="459"/>
              <w:rPr>
                <w:szCs w:val="24"/>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 xml:space="preserve">autorise </w:t>
            </w:r>
            <w:r w:rsidR="003C23FA" w:rsidRPr="001B5903">
              <w:t>la Commission d'études 17 à procéder à l'examen de ce document en vue de son approbation (dans ce cas, sélectionnez l'une des deux options ⃝):</w:t>
            </w:r>
          </w:p>
          <w:p w14:paraId="6EEE5C3C" w14:textId="77777777" w:rsidR="003C23FA" w:rsidRPr="001B5903" w:rsidRDefault="003C23FA" w:rsidP="001139D4">
            <w:pPr>
              <w:tabs>
                <w:tab w:val="clear" w:pos="794"/>
                <w:tab w:val="clear" w:pos="1191"/>
                <w:tab w:val="clear" w:pos="1588"/>
                <w:tab w:val="clear" w:pos="1985"/>
              </w:tabs>
              <w:spacing w:before="0"/>
              <w:ind w:left="939" w:hanging="459"/>
              <w:rPr>
                <w:szCs w:val="24"/>
              </w:rPr>
            </w:pPr>
            <w:r w:rsidRPr="001B5903">
              <w:t>⃝</w:t>
            </w:r>
            <w:r w:rsidRPr="001B5903">
              <w:tab/>
              <w:t>Pas de commentaire ou de proposition de modification</w:t>
            </w:r>
          </w:p>
          <w:p w14:paraId="4955546B" w14:textId="77777777" w:rsidR="003C23FA" w:rsidRPr="001B5903" w:rsidRDefault="003C23FA" w:rsidP="0061185F">
            <w:pPr>
              <w:tabs>
                <w:tab w:val="clear" w:pos="794"/>
                <w:tab w:val="clear" w:pos="1191"/>
                <w:tab w:val="clear" w:pos="1588"/>
                <w:tab w:val="clear" w:pos="1985"/>
                <w:tab w:val="left" w:pos="250"/>
              </w:tabs>
              <w:spacing w:before="0" w:after="60"/>
              <w:ind w:left="939" w:hanging="459"/>
              <w:rPr>
                <w:sz w:val="22"/>
                <w:szCs w:val="22"/>
              </w:rPr>
            </w:pPr>
            <w:r w:rsidRPr="001B5903">
              <w:t>⃝</w:t>
            </w:r>
            <w:r w:rsidRPr="001B5903">
              <w:tab/>
              <w:t>Des commentaires ou propositions de modification sont joints à la présente</w:t>
            </w:r>
          </w:p>
        </w:tc>
      </w:tr>
      <w:tr w:rsidR="003C23FA" w:rsidRPr="001B5903" w14:paraId="2B0FDEB5" w14:textId="77777777" w:rsidTr="001139D4">
        <w:trPr>
          <w:cantSplit/>
          <w:trHeight w:val="747"/>
        </w:trPr>
        <w:tc>
          <w:tcPr>
            <w:tcW w:w="2263" w:type="dxa"/>
            <w:vMerge/>
            <w:shd w:val="clear" w:color="auto" w:fill="auto"/>
            <w:vAlign w:val="center"/>
          </w:tcPr>
          <w:p w14:paraId="7FF2863B" w14:textId="77777777" w:rsidR="003C23FA" w:rsidRPr="001B5903" w:rsidRDefault="003C23FA" w:rsidP="001139D4">
            <w:pPr>
              <w:spacing w:before="60" w:after="60"/>
              <w:jc w:val="center"/>
              <w:rPr>
                <w:b/>
                <w:bCs/>
                <w:szCs w:val="24"/>
              </w:rPr>
            </w:pPr>
          </w:p>
        </w:tc>
        <w:tc>
          <w:tcPr>
            <w:tcW w:w="7456" w:type="dxa"/>
            <w:shd w:val="clear" w:color="auto" w:fill="auto"/>
            <w:vAlign w:val="center"/>
          </w:tcPr>
          <w:p w14:paraId="16147D19" w14:textId="4A568B1A" w:rsidR="003C23FA" w:rsidRPr="001B5903" w:rsidRDefault="00B7616F" w:rsidP="0061185F">
            <w:pPr>
              <w:tabs>
                <w:tab w:val="clear" w:pos="794"/>
                <w:tab w:val="clear" w:pos="1191"/>
                <w:tab w:val="clear" w:pos="1588"/>
                <w:tab w:val="clear" w:pos="1985"/>
              </w:tabs>
              <w:spacing w:before="60" w:after="60"/>
              <w:ind w:left="459" w:hanging="459"/>
              <w:rPr>
                <w:sz w:val="22"/>
                <w:szCs w:val="22"/>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n'autorise pas</w:t>
            </w:r>
            <w:r w:rsidR="003C23FA" w:rsidRPr="001B5903">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3C23FA" w:rsidRPr="001B5903" w14:paraId="4B403676" w14:textId="77777777" w:rsidTr="001139D4">
        <w:trPr>
          <w:cantSplit/>
          <w:trHeight w:val="747"/>
        </w:trPr>
        <w:tc>
          <w:tcPr>
            <w:tcW w:w="2263" w:type="dxa"/>
            <w:vMerge w:val="restart"/>
            <w:shd w:val="clear" w:color="auto" w:fill="auto"/>
            <w:vAlign w:val="center"/>
          </w:tcPr>
          <w:p w14:paraId="1ADF8931" w14:textId="77777777" w:rsidR="003C23FA" w:rsidRPr="001B5903" w:rsidRDefault="003C23FA" w:rsidP="001139D4">
            <w:pPr>
              <w:spacing w:before="60" w:after="60"/>
              <w:jc w:val="center"/>
              <w:rPr>
                <w:b/>
                <w:bCs/>
                <w:szCs w:val="24"/>
              </w:rPr>
            </w:pPr>
            <w:r w:rsidRPr="001B5903">
              <w:rPr>
                <w:b/>
                <w:bCs/>
              </w:rPr>
              <w:lastRenderedPageBreak/>
              <w:t>Projet de nouvelle Recommandation UIT-T X.1222 (X.taeii)</w:t>
            </w:r>
          </w:p>
        </w:tc>
        <w:tc>
          <w:tcPr>
            <w:tcW w:w="7456" w:type="dxa"/>
            <w:shd w:val="clear" w:color="auto" w:fill="auto"/>
            <w:vAlign w:val="center"/>
          </w:tcPr>
          <w:p w14:paraId="0C9EE290" w14:textId="1782CA40" w:rsidR="003C23FA" w:rsidRPr="001B5903" w:rsidRDefault="00B7616F" w:rsidP="001139D4">
            <w:pPr>
              <w:tabs>
                <w:tab w:val="clear" w:pos="794"/>
                <w:tab w:val="clear" w:pos="1191"/>
                <w:tab w:val="clear" w:pos="1588"/>
                <w:tab w:val="clear" w:pos="1985"/>
              </w:tabs>
              <w:spacing w:before="60" w:after="60"/>
              <w:ind w:left="459" w:hanging="459"/>
              <w:rPr>
                <w:szCs w:val="24"/>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 xml:space="preserve">autorise </w:t>
            </w:r>
            <w:r w:rsidR="003C23FA" w:rsidRPr="001B5903">
              <w:t>la Commission d'études 17 à procéder à l'examen de ce document en vue de son approbation (dans ce cas, sélectionnez l'une des deux options ⃝):</w:t>
            </w:r>
          </w:p>
          <w:p w14:paraId="466665E9" w14:textId="77777777" w:rsidR="003C23FA" w:rsidRPr="001B5903" w:rsidRDefault="003C23FA" w:rsidP="001139D4">
            <w:pPr>
              <w:tabs>
                <w:tab w:val="clear" w:pos="794"/>
                <w:tab w:val="clear" w:pos="1191"/>
                <w:tab w:val="clear" w:pos="1588"/>
                <w:tab w:val="clear" w:pos="1985"/>
              </w:tabs>
              <w:spacing w:before="0"/>
              <w:ind w:left="939" w:hanging="459"/>
              <w:rPr>
                <w:szCs w:val="24"/>
              </w:rPr>
            </w:pPr>
            <w:r w:rsidRPr="001B5903">
              <w:t>⃝</w:t>
            </w:r>
            <w:r w:rsidRPr="001B5903">
              <w:tab/>
              <w:t>Pas de commentaire ou de proposition de modification</w:t>
            </w:r>
          </w:p>
          <w:p w14:paraId="61606CF1" w14:textId="77777777" w:rsidR="003C23FA" w:rsidRPr="001B5903" w:rsidRDefault="003C23FA" w:rsidP="0061185F">
            <w:pPr>
              <w:tabs>
                <w:tab w:val="clear" w:pos="794"/>
                <w:tab w:val="clear" w:pos="1191"/>
                <w:tab w:val="clear" w:pos="1588"/>
                <w:tab w:val="clear" w:pos="1985"/>
                <w:tab w:val="left" w:pos="250"/>
              </w:tabs>
              <w:spacing w:before="0" w:after="60"/>
              <w:ind w:left="939" w:hanging="459"/>
              <w:rPr>
                <w:sz w:val="22"/>
                <w:szCs w:val="22"/>
              </w:rPr>
            </w:pPr>
            <w:r w:rsidRPr="001B5903">
              <w:t>⃝</w:t>
            </w:r>
            <w:r w:rsidRPr="001B5903">
              <w:tab/>
              <w:t>Des commentaires ou propositions de modification sont joints à la présente</w:t>
            </w:r>
          </w:p>
        </w:tc>
      </w:tr>
      <w:tr w:rsidR="003C23FA" w:rsidRPr="001B5903" w14:paraId="09393505" w14:textId="77777777" w:rsidTr="001139D4">
        <w:trPr>
          <w:cantSplit/>
          <w:trHeight w:val="747"/>
        </w:trPr>
        <w:tc>
          <w:tcPr>
            <w:tcW w:w="2263" w:type="dxa"/>
            <w:vMerge/>
            <w:shd w:val="clear" w:color="auto" w:fill="auto"/>
            <w:vAlign w:val="center"/>
          </w:tcPr>
          <w:p w14:paraId="79762FB2" w14:textId="77777777" w:rsidR="003C23FA" w:rsidRPr="001B5903" w:rsidRDefault="003C23FA" w:rsidP="001139D4">
            <w:pPr>
              <w:spacing w:before="60" w:after="60"/>
              <w:jc w:val="center"/>
              <w:rPr>
                <w:b/>
                <w:bCs/>
                <w:szCs w:val="24"/>
              </w:rPr>
            </w:pPr>
          </w:p>
        </w:tc>
        <w:tc>
          <w:tcPr>
            <w:tcW w:w="7456" w:type="dxa"/>
            <w:shd w:val="clear" w:color="auto" w:fill="auto"/>
            <w:vAlign w:val="center"/>
          </w:tcPr>
          <w:p w14:paraId="4610AFE8" w14:textId="4DA8B23F" w:rsidR="003C23FA" w:rsidRPr="001B5903" w:rsidRDefault="00B7616F" w:rsidP="0061185F">
            <w:pPr>
              <w:tabs>
                <w:tab w:val="clear" w:pos="794"/>
                <w:tab w:val="clear" w:pos="1191"/>
                <w:tab w:val="clear" w:pos="1588"/>
                <w:tab w:val="clear" w:pos="1985"/>
              </w:tabs>
              <w:spacing w:before="60" w:after="60"/>
              <w:ind w:left="459" w:hanging="459"/>
              <w:rPr>
                <w:sz w:val="22"/>
                <w:szCs w:val="22"/>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n'autorise pas</w:t>
            </w:r>
            <w:r w:rsidR="003C23FA" w:rsidRPr="001B5903">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3C23FA" w:rsidRPr="001B5903" w14:paraId="4C82139A" w14:textId="77777777" w:rsidTr="001139D4">
        <w:trPr>
          <w:cantSplit/>
          <w:trHeight w:val="357"/>
        </w:trPr>
        <w:tc>
          <w:tcPr>
            <w:tcW w:w="2263" w:type="dxa"/>
            <w:vMerge w:val="restart"/>
            <w:shd w:val="clear" w:color="auto" w:fill="auto"/>
            <w:vAlign w:val="center"/>
          </w:tcPr>
          <w:p w14:paraId="72B3BD35" w14:textId="49D68340" w:rsidR="003C23FA" w:rsidRPr="001B5903" w:rsidRDefault="003C23FA" w:rsidP="001139D4">
            <w:pPr>
              <w:keepNext/>
              <w:keepLines/>
              <w:spacing w:before="60" w:after="60"/>
              <w:jc w:val="center"/>
              <w:rPr>
                <w:b/>
                <w:bCs/>
                <w:szCs w:val="24"/>
              </w:rPr>
            </w:pPr>
            <w:r w:rsidRPr="001B5903">
              <w:rPr>
                <w:b/>
                <w:bCs/>
              </w:rPr>
              <w:t>Projet de nouvelle Recommandation UIT-T X.1280 (X.oob-sa)</w:t>
            </w:r>
          </w:p>
        </w:tc>
        <w:tc>
          <w:tcPr>
            <w:tcW w:w="7456" w:type="dxa"/>
            <w:shd w:val="clear" w:color="auto" w:fill="auto"/>
            <w:vAlign w:val="center"/>
          </w:tcPr>
          <w:p w14:paraId="746E8386" w14:textId="467CE759" w:rsidR="003C23FA" w:rsidRPr="001B5903" w:rsidRDefault="00B7616F" w:rsidP="001139D4">
            <w:pPr>
              <w:keepNext/>
              <w:keepLines/>
              <w:tabs>
                <w:tab w:val="clear" w:pos="794"/>
                <w:tab w:val="clear" w:pos="1191"/>
                <w:tab w:val="clear" w:pos="1588"/>
                <w:tab w:val="clear" w:pos="1985"/>
              </w:tabs>
              <w:spacing w:before="60" w:after="60"/>
              <w:ind w:left="459" w:hanging="459"/>
              <w:rPr>
                <w:szCs w:val="24"/>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 xml:space="preserve">autorise </w:t>
            </w:r>
            <w:r w:rsidR="003C23FA" w:rsidRPr="001B5903">
              <w:t>la Commission d'études 17 à procéder à l'examen de ce document en vue de son approbation (dans ce cas, sélectionnez l'une des deux options ⃝):</w:t>
            </w:r>
          </w:p>
          <w:p w14:paraId="4EB8B3D3" w14:textId="77777777" w:rsidR="003C23FA" w:rsidRPr="001B5903" w:rsidRDefault="003C23FA" w:rsidP="001139D4">
            <w:pPr>
              <w:keepNext/>
              <w:keepLines/>
              <w:tabs>
                <w:tab w:val="clear" w:pos="794"/>
                <w:tab w:val="clear" w:pos="1191"/>
                <w:tab w:val="clear" w:pos="1588"/>
                <w:tab w:val="clear" w:pos="1985"/>
              </w:tabs>
              <w:spacing w:before="0"/>
              <w:ind w:left="939" w:hanging="459"/>
            </w:pPr>
            <w:r w:rsidRPr="001B5903">
              <w:t>⃝</w:t>
            </w:r>
            <w:r w:rsidRPr="001B5903">
              <w:tab/>
              <w:t>Pas de commentaire ou de proposition de modification</w:t>
            </w:r>
          </w:p>
          <w:p w14:paraId="1ED78124" w14:textId="13694DB3" w:rsidR="003C23FA" w:rsidRPr="001B5903" w:rsidRDefault="0061185F" w:rsidP="0061185F">
            <w:pPr>
              <w:keepNext/>
              <w:keepLines/>
              <w:tabs>
                <w:tab w:val="clear" w:pos="794"/>
                <w:tab w:val="clear" w:pos="1191"/>
                <w:tab w:val="clear" w:pos="1588"/>
                <w:tab w:val="clear" w:pos="1985"/>
              </w:tabs>
              <w:spacing w:before="0" w:after="60"/>
              <w:ind w:left="939" w:hanging="459"/>
              <w:rPr>
                <w:szCs w:val="24"/>
              </w:rPr>
            </w:pPr>
            <w:r w:rsidRPr="001B5903">
              <w:t>⃝</w:t>
            </w:r>
            <w:r w:rsidRPr="001B5903">
              <w:tab/>
              <w:t>Des commentaires ou propositions de modification sont joints à la présente</w:t>
            </w:r>
          </w:p>
        </w:tc>
      </w:tr>
      <w:tr w:rsidR="003C23FA" w:rsidRPr="001B5903" w14:paraId="132198B0" w14:textId="77777777" w:rsidTr="001139D4">
        <w:trPr>
          <w:cantSplit/>
          <w:trHeight w:val="380"/>
        </w:trPr>
        <w:tc>
          <w:tcPr>
            <w:tcW w:w="2263" w:type="dxa"/>
            <w:vMerge/>
            <w:shd w:val="clear" w:color="auto" w:fill="auto"/>
          </w:tcPr>
          <w:p w14:paraId="3536C666" w14:textId="77777777" w:rsidR="003C23FA" w:rsidRPr="001B5903" w:rsidRDefault="003C23FA" w:rsidP="001139D4">
            <w:pPr>
              <w:keepNext/>
              <w:keepLines/>
              <w:spacing w:before="60" w:after="60"/>
              <w:jc w:val="center"/>
              <w:rPr>
                <w:b/>
                <w:bCs/>
                <w:szCs w:val="24"/>
              </w:rPr>
            </w:pPr>
          </w:p>
        </w:tc>
        <w:tc>
          <w:tcPr>
            <w:tcW w:w="7456" w:type="dxa"/>
            <w:shd w:val="clear" w:color="auto" w:fill="auto"/>
            <w:vAlign w:val="center"/>
          </w:tcPr>
          <w:p w14:paraId="11660D86" w14:textId="11938222" w:rsidR="003C23FA" w:rsidRPr="001B5903" w:rsidRDefault="00B7616F" w:rsidP="0061185F">
            <w:pPr>
              <w:keepNext/>
              <w:keepLines/>
              <w:tabs>
                <w:tab w:val="clear" w:pos="794"/>
                <w:tab w:val="clear" w:pos="1191"/>
                <w:tab w:val="clear" w:pos="1588"/>
                <w:tab w:val="clear" w:pos="1985"/>
              </w:tabs>
              <w:spacing w:before="60" w:after="60"/>
              <w:ind w:left="459" w:hanging="459"/>
              <w:rPr>
                <w:sz w:val="22"/>
                <w:szCs w:val="22"/>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n'autorise pas</w:t>
            </w:r>
            <w:r w:rsidR="003C23FA" w:rsidRPr="001B5903">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3C23FA" w:rsidRPr="001B5903" w14:paraId="6CDDB766" w14:textId="77777777" w:rsidTr="001139D4">
        <w:trPr>
          <w:cantSplit/>
          <w:trHeight w:val="368"/>
        </w:trPr>
        <w:tc>
          <w:tcPr>
            <w:tcW w:w="2263" w:type="dxa"/>
            <w:vMerge w:val="restart"/>
            <w:shd w:val="clear" w:color="auto" w:fill="auto"/>
            <w:vAlign w:val="center"/>
          </w:tcPr>
          <w:p w14:paraId="0AEB4499" w14:textId="0E83AE73" w:rsidR="003C23FA" w:rsidRPr="001B5903" w:rsidRDefault="003C23FA" w:rsidP="001139D4">
            <w:pPr>
              <w:spacing w:before="60" w:after="60"/>
              <w:jc w:val="center"/>
              <w:rPr>
                <w:b/>
                <w:bCs/>
                <w:szCs w:val="24"/>
              </w:rPr>
            </w:pPr>
            <w:r w:rsidRPr="001B5903">
              <w:rPr>
                <w:b/>
                <w:bCs/>
              </w:rPr>
              <w:t>Projet de nouvelle Recommandation UIT-T X.1811 (X.osia)</w:t>
            </w:r>
          </w:p>
        </w:tc>
        <w:tc>
          <w:tcPr>
            <w:tcW w:w="7456" w:type="dxa"/>
            <w:shd w:val="clear" w:color="auto" w:fill="auto"/>
            <w:vAlign w:val="center"/>
          </w:tcPr>
          <w:p w14:paraId="7EB35EF2" w14:textId="45A308D1" w:rsidR="003C23FA" w:rsidRPr="001B5903" w:rsidRDefault="00B7616F" w:rsidP="001139D4">
            <w:pPr>
              <w:tabs>
                <w:tab w:val="clear" w:pos="794"/>
                <w:tab w:val="clear" w:pos="1191"/>
                <w:tab w:val="clear" w:pos="1588"/>
                <w:tab w:val="clear" w:pos="1985"/>
              </w:tabs>
              <w:spacing w:before="60" w:after="60"/>
              <w:ind w:left="459" w:hanging="459"/>
              <w:rPr>
                <w:szCs w:val="24"/>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 xml:space="preserve">autorise </w:t>
            </w:r>
            <w:r w:rsidR="003C23FA" w:rsidRPr="001B5903">
              <w:t>la Commission d'études 17 à procéder à l'examen de ce document en vue de son approbation (dans ce cas, sélectionnez l'une des deux options ⃝):</w:t>
            </w:r>
          </w:p>
          <w:p w14:paraId="424E610D" w14:textId="77777777" w:rsidR="003C23FA" w:rsidRPr="001B5903" w:rsidRDefault="003C23FA" w:rsidP="001139D4">
            <w:pPr>
              <w:tabs>
                <w:tab w:val="clear" w:pos="794"/>
                <w:tab w:val="clear" w:pos="1191"/>
                <w:tab w:val="clear" w:pos="1588"/>
                <w:tab w:val="clear" w:pos="1985"/>
              </w:tabs>
              <w:spacing w:before="0"/>
              <w:ind w:left="939" w:hanging="459"/>
            </w:pPr>
            <w:r w:rsidRPr="001B5903">
              <w:t>⃝</w:t>
            </w:r>
            <w:r w:rsidRPr="001B5903">
              <w:tab/>
              <w:t>Pas de commentaire ou de proposition de modification</w:t>
            </w:r>
          </w:p>
          <w:p w14:paraId="53EE025E" w14:textId="2C713825" w:rsidR="003C23FA" w:rsidRPr="001B5903" w:rsidRDefault="0061185F" w:rsidP="0061185F">
            <w:pPr>
              <w:tabs>
                <w:tab w:val="clear" w:pos="794"/>
                <w:tab w:val="clear" w:pos="1191"/>
                <w:tab w:val="clear" w:pos="1588"/>
                <w:tab w:val="clear" w:pos="1985"/>
              </w:tabs>
              <w:spacing w:before="0" w:after="60"/>
              <w:ind w:left="939" w:hanging="459"/>
              <w:rPr>
                <w:szCs w:val="24"/>
              </w:rPr>
            </w:pPr>
            <w:r w:rsidRPr="001B5903">
              <w:t>⃝</w:t>
            </w:r>
            <w:r w:rsidRPr="001B5903">
              <w:tab/>
              <w:t>Des commentaires ou propositions de modification sont joints à la présente</w:t>
            </w:r>
          </w:p>
        </w:tc>
      </w:tr>
      <w:tr w:rsidR="003C23FA" w:rsidRPr="001B5903" w14:paraId="693529B5" w14:textId="77777777" w:rsidTr="001139D4">
        <w:trPr>
          <w:cantSplit/>
          <w:trHeight w:val="380"/>
        </w:trPr>
        <w:tc>
          <w:tcPr>
            <w:tcW w:w="2263" w:type="dxa"/>
            <w:vMerge/>
            <w:shd w:val="clear" w:color="auto" w:fill="auto"/>
          </w:tcPr>
          <w:p w14:paraId="10D1A970" w14:textId="77777777" w:rsidR="003C23FA" w:rsidRPr="001B5903" w:rsidRDefault="003C23FA" w:rsidP="001139D4">
            <w:pPr>
              <w:spacing w:before="60" w:after="60"/>
              <w:jc w:val="center"/>
              <w:rPr>
                <w:b/>
                <w:bCs/>
                <w:szCs w:val="24"/>
              </w:rPr>
            </w:pPr>
          </w:p>
        </w:tc>
        <w:tc>
          <w:tcPr>
            <w:tcW w:w="7456" w:type="dxa"/>
            <w:shd w:val="clear" w:color="auto" w:fill="auto"/>
            <w:vAlign w:val="center"/>
          </w:tcPr>
          <w:p w14:paraId="565DD805" w14:textId="3EB79F82" w:rsidR="003C23FA" w:rsidRPr="001B5903" w:rsidRDefault="00B7616F" w:rsidP="0061185F">
            <w:pPr>
              <w:tabs>
                <w:tab w:val="clear" w:pos="794"/>
                <w:tab w:val="clear" w:pos="1191"/>
                <w:tab w:val="clear" w:pos="1588"/>
                <w:tab w:val="clear" w:pos="1985"/>
              </w:tabs>
              <w:spacing w:before="60" w:after="60"/>
              <w:ind w:left="459" w:hanging="459"/>
              <w:rPr>
                <w:sz w:val="22"/>
                <w:szCs w:val="22"/>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n'autorise pas</w:t>
            </w:r>
            <w:r w:rsidR="003C23FA" w:rsidRPr="001B5903">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3C23FA" w:rsidRPr="001B5903" w14:paraId="2CDE9281" w14:textId="77777777" w:rsidTr="001139D4">
        <w:trPr>
          <w:cantSplit/>
          <w:trHeight w:val="380"/>
        </w:trPr>
        <w:tc>
          <w:tcPr>
            <w:tcW w:w="2263" w:type="dxa"/>
            <w:vMerge w:val="restart"/>
            <w:shd w:val="clear" w:color="auto" w:fill="auto"/>
            <w:vAlign w:val="center"/>
          </w:tcPr>
          <w:p w14:paraId="378DE231" w14:textId="6CC81E6F" w:rsidR="003C23FA" w:rsidRPr="001B5903" w:rsidRDefault="003C23FA" w:rsidP="001139D4">
            <w:pPr>
              <w:spacing w:before="60" w:after="60"/>
              <w:jc w:val="center"/>
              <w:rPr>
                <w:b/>
                <w:bCs/>
                <w:szCs w:val="24"/>
              </w:rPr>
            </w:pPr>
            <w:r w:rsidRPr="001B5903">
              <w:rPr>
                <w:b/>
                <w:bCs/>
              </w:rPr>
              <w:t>Projet de nouvel amendement à la Recommandation UIT-T X.1352</w:t>
            </w:r>
          </w:p>
        </w:tc>
        <w:tc>
          <w:tcPr>
            <w:tcW w:w="7456" w:type="dxa"/>
            <w:shd w:val="clear" w:color="auto" w:fill="auto"/>
            <w:vAlign w:val="center"/>
          </w:tcPr>
          <w:p w14:paraId="592B38AF" w14:textId="5CA08E7A" w:rsidR="003C23FA" w:rsidRPr="001B5903" w:rsidRDefault="00B7616F" w:rsidP="001139D4">
            <w:pPr>
              <w:tabs>
                <w:tab w:val="clear" w:pos="794"/>
                <w:tab w:val="clear" w:pos="1191"/>
                <w:tab w:val="clear" w:pos="1588"/>
                <w:tab w:val="clear" w:pos="1985"/>
              </w:tabs>
              <w:spacing w:before="60" w:after="60"/>
              <w:ind w:left="459" w:hanging="459"/>
              <w:rPr>
                <w:szCs w:val="24"/>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 xml:space="preserve">autorise </w:t>
            </w:r>
            <w:r w:rsidR="003C23FA" w:rsidRPr="001B5903">
              <w:t>la Commission d'études 17 à procéder à l'examen de ce document en vue de son approbation (dans ce cas, sélectionnez l'une des deux options ⃝):</w:t>
            </w:r>
          </w:p>
          <w:p w14:paraId="6A2A64F8" w14:textId="77777777" w:rsidR="003C23FA" w:rsidRPr="001B5903" w:rsidRDefault="003C23FA" w:rsidP="001139D4">
            <w:pPr>
              <w:tabs>
                <w:tab w:val="clear" w:pos="794"/>
                <w:tab w:val="clear" w:pos="1191"/>
                <w:tab w:val="clear" w:pos="1588"/>
                <w:tab w:val="clear" w:pos="1985"/>
              </w:tabs>
              <w:spacing w:before="0"/>
              <w:ind w:left="939" w:hanging="459"/>
            </w:pPr>
            <w:r w:rsidRPr="001B5903">
              <w:t>⃝</w:t>
            </w:r>
            <w:r w:rsidRPr="001B5903">
              <w:tab/>
              <w:t>Pas de commentaire ou de proposition de modification</w:t>
            </w:r>
          </w:p>
          <w:p w14:paraId="77705E4C" w14:textId="2D2E15A5" w:rsidR="003C23FA" w:rsidRPr="001B5903" w:rsidRDefault="0061185F" w:rsidP="0061185F">
            <w:pPr>
              <w:tabs>
                <w:tab w:val="clear" w:pos="794"/>
                <w:tab w:val="clear" w:pos="1191"/>
                <w:tab w:val="clear" w:pos="1588"/>
                <w:tab w:val="clear" w:pos="1985"/>
              </w:tabs>
              <w:spacing w:before="0" w:after="60"/>
              <w:ind w:left="939" w:hanging="459"/>
              <w:rPr>
                <w:szCs w:val="24"/>
              </w:rPr>
            </w:pPr>
            <w:r w:rsidRPr="001B5903">
              <w:t>⃝</w:t>
            </w:r>
            <w:r w:rsidRPr="001B5903">
              <w:tab/>
              <w:t>Des commentaires ou propositions de modification sont joints à la présente</w:t>
            </w:r>
          </w:p>
        </w:tc>
      </w:tr>
      <w:tr w:rsidR="003C23FA" w:rsidRPr="001B5903" w14:paraId="557B2E39" w14:textId="77777777" w:rsidTr="001139D4">
        <w:trPr>
          <w:cantSplit/>
          <w:trHeight w:val="357"/>
        </w:trPr>
        <w:tc>
          <w:tcPr>
            <w:tcW w:w="2263" w:type="dxa"/>
            <w:vMerge/>
            <w:shd w:val="clear" w:color="auto" w:fill="auto"/>
            <w:vAlign w:val="center"/>
          </w:tcPr>
          <w:p w14:paraId="71A7334E" w14:textId="77777777" w:rsidR="003C23FA" w:rsidRPr="001B5903" w:rsidRDefault="003C23FA" w:rsidP="001139D4">
            <w:pPr>
              <w:spacing w:before="60" w:after="60"/>
              <w:jc w:val="center"/>
              <w:rPr>
                <w:b/>
                <w:bCs/>
                <w:szCs w:val="24"/>
              </w:rPr>
            </w:pPr>
          </w:p>
        </w:tc>
        <w:tc>
          <w:tcPr>
            <w:tcW w:w="7456" w:type="dxa"/>
            <w:shd w:val="clear" w:color="auto" w:fill="auto"/>
            <w:vAlign w:val="center"/>
          </w:tcPr>
          <w:p w14:paraId="36682C60" w14:textId="56EDAD97" w:rsidR="003C23FA" w:rsidRPr="001B5903" w:rsidRDefault="00B7616F" w:rsidP="0061185F">
            <w:pPr>
              <w:tabs>
                <w:tab w:val="clear" w:pos="794"/>
                <w:tab w:val="clear" w:pos="1191"/>
                <w:tab w:val="clear" w:pos="1588"/>
                <w:tab w:val="clear" w:pos="1985"/>
              </w:tabs>
              <w:spacing w:before="60" w:after="60"/>
              <w:ind w:left="459" w:hanging="459"/>
              <w:rPr>
                <w:sz w:val="22"/>
                <w:szCs w:val="22"/>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n'autorise pas</w:t>
            </w:r>
            <w:r w:rsidR="003C23FA" w:rsidRPr="001B5903">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3C23FA" w:rsidRPr="001B5903" w14:paraId="57D1B8E0" w14:textId="77777777" w:rsidTr="001139D4">
        <w:trPr>
          <w:cantSplit/>
          <w:trHeight w:val="380"/>
        </w:trPr>
        <w:tc>
          <w:tcPr>
            <w:tcW w:w="2263" w:type="dxa"/>
            <w:vMerge w:val="restart"/>
            <w:shd w:val="clear" w:color="auto" w:fill="auto"/>
            <w:vAlign w:val="center"/>
          </w:tcPr>
          <w:p w14:paraId="71A92841" w14:textId="77777777" w:rsidR="003C23FA" w:rsidRPr="001B5903" w:rsidRDefault="003C23FA" w:rsidP="001139D4">
            <w:pPr>
              <w:spacing w:before="60" w:after="60"/>
              <w:jc w:val="center"/>
              <w:rPr>
                <w:b/>
                <w:bCs/>
                <w:szCs w:val="24"/>
              </w:rPr>
            </w:pPr>
            <w:r w:rsidRPr="001B5903">
              <w:rPr>
                <w:b/>
                <w:bCs/>
              </w:rPr>
              <w:lastRenderedPageBreak/>
              <w:t>Projet de Recommandation UIT-T X.1373 révisée</w:t>
            </w:r>
          </w:p>
        </w:tc>
        <w:tc>
          <w:tcPr>
            <w:tcW w:w="7456" w:type="dxa"/>
            <w:shd w:val="clear" w:color="auto" w:fill="auto"/>
            <w:vAlign w:val="center"/>
          </w:tcPr>
          <w:p w14:paraId="017A46DE" w14:textId="142D82C8" w:rsidR="003C23FA" w:rsidRPr="001B5903" w:rsidRDefault="00B7616F" w:rsidP="001139D4">
            <w:pPr>
              <w:tabs>
                <w:tab w:val="clear" w:pos="794"/>
                <w:tab w:val="clear" w:pos="1191"/>
                <w:tab w:val="clear" w:pos="1588"/>
                <w:tab w:val="clear" w:pos="1985"/>
              </w:tabs>
              <w:spacing w:before="60" w:after="60"/>
              <w:ind w:left="459" w:hanging="459"/>
              <w:rPr>
                <w:szCs w:val="24"/>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 xml:space="preserve">autorise </w:t>
            </w:r>
            <w:r w:rsidR="003C23FA" w:rsidRPr="001B5903">
              <w:t>la Commission d'études 17 à procéder à l'examen de ce document en vue de son approbation (dans ce cas, sélectionnez l'une des deux options ⃝):</w:t>
            </w:r>
          </w:p>
          <w:p w14:paraId="4AFD72DD" w14:textId="77777777" w:rsidR="003C23FA" w:rsidRPr="001B5903" w:rsidRDefault="003C23FA" w:rsidP="001139D4">
            <w:pPr>
              <w:tabs>
                <w:tab w:val="clear" w:pos="794"/>
                <w:tab w:val="clear" w:pos="1191"/>
                <w:tab w:val="clear" w:pos="1588"/>
                <w:tab w:val="clear" w:pos="1985"/>
              </w:tabs>
              <w:spacing w:before="0"/>
              <w:ind w:left="939" w:hanging="459"/>
            </w:pPr>
            <w:r w:rsidRPr="001B5903">
              <w:t>⃝</w:t>
            </w:r>
            <w:r w:rsidRPr="001B5903">
              <w:tab/>
              <w:t>Pas de commentaire ou de proposition de modification</w:t>
            </w:r>
          </w:p>
          <w:p w14:paraId="782C554F" w14:textId="315B43AB" w:rsidR="003C23FA" w:rsidRPr="001B5903" w:rsidRDefault="00A45FDB" w:rsidP="00A45FDB">
            <w:pPr>
              <w:tabs>
                <w:tab w:val="clear" w:pos="794"/>
                <w:tab w:val="clear" w:pos="1191"/>
                <w:tab w:val="clear" w:pos="1588"/>
                <w:tab w:val="clear" w:pos="1985"/>
              </w:tabs>
              <w:spacing w:before="0" w:after="60"/>
              <w:ind w:left="939" w:hanging="459"/>
              <w:rPr>
                <w:szCs w:val="24"/>
              </w:rPr>
            </w:pPr>
            <w:r w:rsidRPr="001B5903">
              <w:t>⃝</w:t>
            </w:r>
            <w:r w:rsidRPr="001B5903">
              <w:tab/>
              <w:t>Des commentaires ou propositions de modification sont joints à la présente</w:t>
            </w:r>
          </w:p>
        </w:tc>
      </w:tr>
      <w:tr w:rsidR="003C23FA" w:rsidRPr="001B5903" w14:paraId="77375DBF" w14:textId="77777777" w:rsidTr="001139D4">
        <w:trPr>
          <w:cantSplit/>
          <w:trHeight w:val="357"/>
        </w:trPr>
        <w:tc>
          <w:tcPr>
            <w:tcW w:w="2263" w:type="dxa"/>
            <w:vMerge/>
            <w:shd w:val="clear" w:color="auto" w:fill="auto"/>
            <w:vAlign w:val="center"/>
          </w:tcPr>
          <w:p w14:paraId="23AE48E9" w14:textId="77777777" w:rsidR="003C23FA" w:rsidRPr="001B5903" w:rsidRDefault="003C23FA" w:rsidP="001139D4">
            <w:pPr>
              <w:spacing w:before="60" w:after="60"/>
              <w:jc w:val="center"/>
              <w:rPr>
                <w:b/>
                <w:bCs/>
                <w:szCs w:val="24"/>
              </w:rPr>
            </w:pPr>
          </w:p>
        </w:tc>
        <w:tc>
          <w:tcPr>
            <w:tcW w:w="7456" w:type="dxa"/>
            <w:shd w:val="clear" w:color="auto" w:fill="auto"/>
            <w:vAlign w:val="center"/>
          </w:tcPr>
          <w:p w14:paraId="702FDCD2" w14:textId="7707C7DB" w:rsidR="003C23FA" w:rsidRPr="001B5903" w:rsidRDefault="00B7616F" w:rsidP="00A45FDB">
            <w:pPr>
              <w:tabs>
                <w:tab w:val="clear" w:pos="794"/>
                <w:tab w:val="clear" w:pos="1191"/>
                <w:tab w:val="clear" w:pos="1588"/>
                <w:tab w:val="clear" w:pos="1985"/>
              </w:tabs>
              <w:spacing w:before="60" w:after="60"/>
              <w:ind w:left="459" w:hanging="459"/>
              <w:rPr>
                <w:sz w:val="22"/>
                <w:szCs w:val="22"/>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n'autorise pas</w:t>
            </w:r>
            <w:r w:rsidR="003C23FA" w:rsidRPr="001B5903">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3C23FA" w:rsidRPr="001B5903" w14:paraId="4B0E3342" w14:textId="77777777" w:rsidTr="001139D4">
        <w:trPr>
          <w:cantSplit/>
          <w:trHeight w:val="380"/>
        </w:trPr>
        <w:tc>
          <w:tcPr>
            <w:tcW w:w="2263" w:type="dxa"/>
            <w:vMerge w:val="restart"/>
            <w:shd w:val="clear" w:color="auto" w:fill="auto"/>
            <w:vAlign w:val="center"/>
          </w:tcPr>
          <w:p w14:paraId="22145329" w14:textId="77777777" w:rsidR="003C23FA" w:rsidRPr="001B5903" w:rsidRDefault="003C23FA" w:rsidP="001139D4">
            <w:pPr>
              <w:spacing w:before="60" w:after="60"/>
              <w:jc w:val="center"/>
              <w:rPr>
                <w:b/>
                <w:bCs/>
                <w:szCs w:val="24"/>
              </w:rPr>
            </w:pPr>
            <w:r w:rsidRPr="001B5903">
              <w:rPr>
                <w:b/>
                <w:bCs/>
              </w:rPr>
              <w:t>Projet de nouvelle Recommandation UIT-T X.1818 (X.5Gsec-ctrl)</w:t>
            </w:r>
          </w:p>
        </w:tc>
        <w:tc>
          <w:tcPr>
            <w:tcW w:w="7456" w:type="dxa"/>
            <w:shd w:val="clear" w:color="auto" w:fill="auto"/>
            <w:vAlign w:val="center"/>
          </w:tcPr>
          <w:p w14:paraId="00C71F98" w14:textId="29B7E821" w:rsidR="003C23FA" w:rsidRPr="001B5903" w:rsidRDefault="00B7616F" w:rsidP="001139D4">
            <w:pPr>
              <w:tabs>
                <w:tab w:val="clear" w:pos="794"/>
                <w:tab w:val="clear" w:pos="1191"/>
                <w:tab w:val="clear" w:pos="1588"/>
                <w:tab w:val="clear" w:pos="1985"/>
              </w:tabs>
              <w:spacing w:before="60" w:after="60"/>
              <w:ind w:left="459" w:hanging="459"/>
              <w:rPr>
                <w:szCs w:val="24"/>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 xml:space="preserve">autorise </w:t>
            </w:r>
            <w:r w:rsidR="003C23FA" w:rsidRPr="001B5903">
              <w:t>la Commission d'études 17 à procéder à l'examen de ce document en vue de son approbation (dans ce cas, sélectionnez l'une des deux options ⃝):</w:t>
            </w:r>
          </w:p>
          <w:p w14:paraId="7213B992" w14:textId="77777777" w:rsidR="003C23FA" w:rsidRPr="001B5903" w:rsidRDefault="003C23FA" w:rsidP="001139D4">
            <w:pPr>
              <w:tabs>
                <w:tab w:val="clear" w:pos="794"/>
                <w:tab w:val="clear" w:pos="1191"/>
                <w:tab w:val="clear" w:pos="1588"/>
                <w:tab w:val="clear" w:pos="1985"/>
              </w:tabs>
              <w:spacing w:before="0"/>
              <w:ind w:left="939" w:hanging="459"/>
            </w:pPr>
            <w:r w:rsidRPr="001B5903">
              <w:t>⃝</w:t>
            </w:r>
            <w:r w:rsidRPr="001B5903">
              <w:tab/>
              <w:t>Pas de commentaire ou de proposition de modification</w:t>
            </w:r>
          </w:p>
          <w:p w14:paraId="79C30E72" w14:textId="42B4936A" w:rsidR="003C23FA" w:rsidRPr="001B5903" w:rsidRDefault="00A45FDB" w:rsidP="00A45FDB">
            <w:pPr>
              <w:tabs>
                <w:tab w:val="clear" w:pos="794"/>
                <w:tab w:val="clear" w:pos="1191"/>
                <w:tab w:val="clear" w:pos="1588"/>
                <w:tab w:val="clear" w:pos="1985"/>
              </w:tabs>
              <w:spacing w:before="0" w:after="60"/>
              <w:ind w:left="939" w:hanging="459"/>
              <w:rPr>
                <w:szCs w:val="24"/>
              </w:rPr>
            </w:pPr>
            <w:r w:rsidRPr="001B5903">
              <w:t>⃝</w:t>
            </w:r>
            <w:r w:rsidRPr="001B5903">
              <w:tab/>
              <w:t>Des commentaires ou propositions de modification sont joints à la présente</w:t>
            </w:r>
          </w:p>
        </w:tc>
      </w:tr>
      <w:tr w:rsidR="003C23FA" w:rsidRPr="001B5903" w14:paraId="796FE441" w14:textId="77777777" w:rsidTr="001139D4">
        <w:trPr>
          <w:cantSplit/>
          <w:trHeight w:val="357"/>
        </w:trPr>
        <w:tc>
          <w:tcPr>
            <w:tcW w:w="2263" w:type="dxa"/>
            <w:vMerge/>
            <w:shd w:val="clear" w:color="auto" w:fill="auto"/>
            <w:vAlign w:val="center"/>
          </w:tcPr>
          <w:p w14:paraId="7AD150F3" w14:textId="77777777" w:rsidR="003C23FA" w:rsidRPr="001B5903" w:rsidRDefault="003C23FA" w:rsidP="001139D4">
            <w:pPr>
              <w:spacing w:before="60" w:after="60"/>
              <w:jc w:val="center"/>
              <w:rPr>
                <w:b/>
                <w:bCs/>
                <w:szCs w:val="24"/>
              </w:rPr>
            </w:pPr>
          </w:p>
        </w:tc>
        <w:tc>
          <w:tcPr>
            <w:tcW w:w="7456" w:type="dxa"/>
            <w:shd w:val="clear" w:color="auto" w:fill="auto"/>
            <w:vAlign w:val="center"/>
          </w:tcPr>
          <w:p w14:paraId="4B1B82A5" w14:textId="0E006EC4" w:rsidR="003C23FA" w:rsidRPr="001B5903" w:rsidRDefault="00B7616F" w:rsidP="00A45FDB">
            <w:pPr>
              <w:tabs>
                <w:tab w:val="clear" w:pos="794"/>
                <w:tab w:val="clear" w:pos="1191"/>
                <w:tab w:val="clear" w:pos="1588"/>
                <w:tab w:val="clear" w:pos="1985"/>
              </w:tabs>
              <w:spacing w:before="60" w:after="60"/>
              <w:ind w:left="459" w:hanging="459"/>
              <w:rPr>
                <w:sz w:val="22"/>
                <w:szCs w:val="22"/>
              </w:rPr>
            </w:pPr>
            <w:r w:rsidRPr="001B5903">
              <w:fldChar w:fldCharType="begin">
                <w:ffData>
                  <w:name w:val="Check1"/>
                  <w:enabled/>
                  <w:calcOnExit w:val="0"/>
                  <w:checkBox>
                    <w:sizeAuto/>
                    <w:default w:val="0"/>
                  </w:checkBox>
                </w:ffData>
              </w:fldChar>
            </w:r>
            <w:r w:rsidRPr="001B5903">
              <w:instrText xml:space="preserve"> FORMCHECKBOX </w:instrText>
            </w:r>
            <w:r w:rsidR="00CD004F">
              <w:fldChar w:fldCharType="separate"/>
            </w:r>
            <w:r w:rsidRPr="001B5903">
              <w:fldChar w:fldCharType="end"/>
            </w:r>
            <w:r w:rsidR="003C23FA" w:rsidRPr="001B5903">
              <w:tab/>
            </w:r>
            <w:r w:rsidR="003C23FA" w:rsidRPr="001B5903">
              <w:rPr>
                <w:b/>
                <w:bCs/>
              </w:rPr>
              <w:t>n'autorise pas</w:t>
            </w:r>
            <w:r w:rsidR="003C23FA" w:rsidRPr="001B5903">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bl>
    <w:p w14:paraId="6445DE41" w14:textId="77777777" w:rsidR="003C23FA" w:rsidRPr="001B5903" w:rsidRDefault="003C23FA" w:rsidP="00A45FDB">
      <w:pPr>
        <w:spacing w:before="240" w:after="120"/>
      </w:pPr>
      <w:r w:rsidRPr="001B5903">
        <w:t>Veuillez agréer, Madame, Monsieur, l'assurance de ma considération distinguée.</w:t>
      </w:r>
    </w:p>
    <w:p w14:paraId="676C3D13" w14:textId="77777777" w:rsidR="003C23FA" w:rsidRPr="001B5903" w:rsidRDefault="003C23FA" w:rsidP="00A45FDB">
      <w:pPr>
        <w:spacing w:before="840"/>
        <w:rPr>
          <w:szCs w:val="24"/>
          <w:highlight w:val="green"/>
        </w:rPr>
      </w:pPr>
      <w:r w:rsidRPr="001B5903">
        <w:rPr>
          <w:highlight w:val="green"/>
        </w:rPr>
        <w:t>[Nom]</w:t>
      </w:r>
    </w:p>
    <w:p w14:paraId="3E6FFD76" w14:textId="77777777" w:rsidR="003C23FA" w:rsidRPr="001B5903" w:rsidRDefault="003C23FA" w:rsidP="003C23FA">
      <w:pPr>
        <w:rPr>
          <w:szCs w:val="24"/>
        </w:rPr>
      </w:pPr>
      <w:r w:rsidRPr="001B5903">
        <w:rPr>
          <w:highlight w:val="green"/>
        </w:rPr>
        <w:t>[Rôle/titre officiel]</w:t>
      </w:r>
    </w:p>
    <w:p w14:paraId="716B7DD9" w14:textId="248817F6" w:rsidR="003C23FA" w:rsidRPr="001B5903" w:rsidRDefault="003C23FA" w:rsidP="00A45FDB">
      <w:r w:rsidRPr="001B5903">
        <w:t xml:space="preserve">Administration de </w:t>
      </w:r>
      <w:r w:rsidRPr="001B5903">
        <w:rPr>
          <w:highlight w:val="green"/>
        </w:rPr>
        <w:t>[État Membre]</w:t>
      </w:r>
    </w:p>
    <w:sectPr w:rsidR="003C23FA" w:rsidRPr="001B5903" w:rsidSect="00A15179">
      <w:headerReference w:type="even" r:id="rId22"/>
      <w:headerReference w:type="default" r:id="rId23"/>
      <w:footerReference w:type="even" r:id="rId24"/>
      <w:footerReference w:type="default" r:id="rId25"/>
      <w:headerReference w:type="first" r:id="rId26"/>
      <w:footerReference w:type="first" r:id="rId2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C288" w14:textId="77777777" w:rsidR="002847BD" w:rsidRDefault="00284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2736" w14:textId="2FD156D9" w:rsidR="00697BC1" w:rsidRPr="00AF0D7D" w:rsidRDefault="00697BC1" w:rsidP="002937DB">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70E9" w14:textId="77777777" w:rsidR="002847BD" w:rsidRDefault="00284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09F540BB" w:rsidR="00697BC1" w:rsidRPr="00697BC1" w:rsidRDefault="00CD004F"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1D2A88">
      <w:rPr>
        <w:noProof/>
        <w:sz w:val="18"/>
        <w:szCs w:val="16"/>
      </w:rPr>
      <w:t>142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8838" w14:textId="77777777" w:rsidR="002847BD" w:rsidRDefault="00284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 w:numId="5" w16cid:durableId="1222786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3ED0"/>
    <w:rsid w:val="00035B43"/>
    <w:rsid w:val="00036F4F"/>
    <w:rsid w:val="000758B3"/>
    <w:rsid w:val="00085F5A"/>
    <w:rsid w:val="0009204F"/>
    <w:rsid w:val="000B0D96"/>
    <w:rsid w:val="000B59D8"/>
    <w:rsid w:val="000C1F6B"/>
    <w:rsid w:val="000C25CC"/>
    <w:rsid w:val="000C56BE"/>
    <w:rsid w:val="001026FD"/>
    <w:rsid w:val="001077FD"/>
    <w:rsid w:val="00115DD7"/>
    <w:rsid w:val="00167472"/>
    <w:rsid w:val="00167F92"/>
    <w:rsid w:val="00173738"/>
    <w:rsid w:val="001B5903"/>
    <w:rsid w:val="001B79A3"/>
    <w:rsid w:val="001D2A88"/>
    <w:rsid w:val="002152A3"/>
    <w:rsid w:val="0023667A"/>
    <w:rsid w:val="002847BD"/>
    <w:rsid w:val="002937DB"/>
    <w:rsid w:val="002E395D"/>
    <w:rsid w:val="00307FB4"/>
    <w:rsid w:val="003131F0"/>
    <w:rsid w:val="00333A80"/>
    <w:rsid w:val="00341117"/>
    <w:rsid w:val="00364E95"/>
    <w:rsid w:val="00372875"/>
    <w:rsid w:val="003742F8"/>
    <w:rsid w:val="00386487"/>
    <w:rsid w:val="003B1E80"/>
    <w:rsid w:val="003B66E8"/>
    <w:rsid w:val="003C23FA"/>
    <w:rsid w:val="003E66AD"/>
    <w:rsid w:val="0040074D"/>
    <w:rsid w:val="004033F1"/>
    <w:rsid w:val="00414B0C"/>
    <w:rsid w:val="00423C21"/>
    <w:rsid w:val="004257AC"/>
    <w:rsid w:val="00430825"/>
    <w:rsid w:val="0043711B"/>
    <w:rsid w:val="004419E9"/>
    <w:rsid w:val="00445B68"/>
    <w:rsid w:val="0048088B"/>
    <w:rsid w:val="004977C9"/>
    <w:rsid w:val="004B732E"/>
    <w:rsid w:val="004D51F4"/>
    <w:rsid w:val="004D64E0"/>
    <w:rsid w:val="005120A2"/>
    <w:rsid w:val="0051210D"/>
    <w:rsid w:val="005136D2"/>
    <w:rsid w:val="00517A03"/>
    <w:rsid w:val="00554FCD"/>
    <w:rsid w:val="005A3DD9"/>
    <w:rsid w:val="005B1DFC"/>
    <w:rsid w:val="00601682"/>
    <w:rsid w:val="00603470"/>
    <w:rsid w:val="0061185F"/>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20A89"/>
    <w:rsid w:val="00A45FDB"/>
    <w:rsid w:val="00A51537"/>
    <w:rsid w:val="00A5280F"/>
    <w:rsid w:val="00A5645A"/>
    <w:rsid w:val="00A60FC1"/>
    <w:rsid w:val="00A9231C"/>
    <w:rsid w:val="00A97C37"/>
    <w:rsid w:val="00AA131B"/>
    <w:rsid w:val="00AC37B5"/>
    <w:rsid w:val="00AD752F"/>
    <w:rsid w:val="00AF08A4"/>
    <w:rsid w:val="00AF0D7D"/>
    <w:rsid w:val="00B003E0"/>
    <w:rsid w:val="00B02C94"/>
    <w:rsid w:val="00B27B41"/>
    <w:rsid w:val="00B42659"/>
    <w:rsid w:val="00B46F2D"/>
    <w:rsid w:val="00B51D5E"/>
    <w:rsid w:val="00B60868"/>
    <w:rsid w:val="00B7616F"/>
    <w:rsid w:val="00B8573E"/>
    <w:rsid w:val="00BB24C0"/>
    <w:rsid w:val="00BD6ECF"/>
    <w:rsid w:val="00C26F2E"/>
    <w:rsid w:val="00C302E3"/>
    <w:rsid w:val="00C33585"/>
    <w:rsid w:val="00C41B89"/>
    <w:rsid w:val="00C45376"/>
    <w:rsid w:val="00C9028F"/>
    <w:rsid w:val="00CA0416"/>
    <w:rsid w:val="00CB1125"/>
    <w:rsid w:val="00CB4E80"/>
    <w:rsid w:val="00CD004F"/>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Annextitle0">
    <w:name w:val="Annex_title"/>
    <w:basedOn w:val="Normal"/>
    <w:next w:val="Normal"/>
    <w:rsid w:val="003C23FA"/>
    <w:pPr>
      <w:keepNext/>
      <w:keepLines/>
      <w:spacing w:before="240" w:after="280"/>
      <w:jc w:val="center"/>
    </w:pPr>
    <w:rPr>
      <w:rFonts w:ascii="Calibri" w:hAnsi="Calibri"/>
      <w:b/>
      <w:sz w:val="28"/>
      <w:lang w:val="en-GB"/>
    </w:rPr>
  </w:style>
  <w:style w:type="character" w:customStyle="1" w:styleId="Heading2Char">
    <w:name w:val="Heading 2 Char"/>
    <w:basedOn w:val="DefaultParagraphFont"/>
    <w:link w:val="Heading2"/>
    <w:rsid w:val="003C23FA"/>
    <w:rPr>
      <w:rFonts w:asciiTheme="minorHAnsi" w:hAnsiTheme="minorHAnsi"/>
      <w:b/>
      <w:sz w:val="24"/>
      <w:lang w:val="fr-FR" w:eastAsia="en-US"/>
    </w:rPr>
  </w:style>
  <w:style w:type="paragraph" w:customStyle="1" w:styleId="Reasons">
    <w:name w:val="Reasons"/>
    <w:basedOn w:val="Normal"/>
    <w:qFormat/>
    <w:rsid w:val="00B7616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17-R-0050/en" TargetMode="External"/><Relationship Id="rId18" Type="http://schemas.openxmlformats.org/officeDocument/2006/relationships/hyperlink" Target="https://www.itu.int/md/T22-SG17-R-0049/e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sbdir@itu.in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2-SG17-R-0052/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T22-SG17-R-0051/en" TargetMode="External"/><Relationship Id="rId20" Type="http://schemas.openxmlformats.org/officeDocument/2006/relationships/hyperlink" Target="https://www.itu.int/md/T22-SG17-R-0046/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ipr/Pages/default.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T22-SG17-R-0048/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tu.int/md/T22-SG17-COL-0006/en" TargetMode="External"/><Relationship Id="rId19" Type="http://schemas.openxmlformats.org/officeDocument/2006/relationships/hyperlink" Target="https://www.itu.int/md/T22-SG17-R-0053/en"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T22-SG17-R-0047/en"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62</TotalTime>
  <Pages>9</Pages>
  <Words>2866</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20509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16</cp:revision>
  <cp:lastPrinted>2023-11-15T14:29:00Z</cp:lastPrinted>
  <dcterms:created xsi:type="dcterms:W3CDTF">2023-10-17T11:52:00Z</dcterms:created>
  <dcterms:modified xsi:type="dcterms:W3CDTF">2023-11-15T14:30:00Z</dcterms:modified>
</cp:coreProperties>
</file>