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Look w:val="0000" w:firstRow="0" w:lastRow="0" w:firstColumn="0" w:lastColumn="0" w:noHBand="0" w:noVBand="0"/>
      </w:tblPr>
      <w:tblGrid>
        <w:gridCol w:w="1196"/>
        <w:gridCol w:w="214"/>
        <w:gridCol w:w="3467"/>
        <w:gridCol w:w="4754"/>
      </w:tblGrid>
      <w:tr w:rsidR="007B6316" w:rsidRPr="00AB7C1E" w14:paraId="030B741A" w14:textId="77777777" w:rsidTr="005B3C33">
        <w:trPr>
          <w:cantSplit/>
          <w:trHeight w:val="340"/>
        </w:trPr>
        <w:tc>
          <w:tcPr>
            <w:tcW w:w="1410" w:type="dxa"/>
            <w:gridSpan w:val="2"/>
          </w:tcPr>
          <w:p w14:paraId="26639731" w14:textId="77777777" w:rsidR="007B6316" w:rsidRPr="00AB7C1E" w:rsidRDefault="007B6316" w:rsidP="00303D62">
            <w:pPr>
              <w:tabs>
                <w:tab w:val="left" w:pos="4111"/>
              </w:tabs>
              <w:spacing w:before="10"/>
              <w:ind w:left="57"/>
              <w:rPr>
                <w:sz w:val="22"/>
              </w:rPr>
            </w:pPr>
            <w:r w:rsidRPr="00AB7C1E">
              <w:rPr>
                <w:noProof/>
                <w:lang w:eastAsia="es-ES"/>
              </w:rPr>
              <w:drawing>
                <wp:inline distT="0" distB="0" distL="0" distR="0" wp14:anchorId="030855B6" wp14:editId="71CCD73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21" w:type="dxa"/>
            <w:gridSpan w:val="2"/>
            <w:vAlign w:val="center"/>
          </w:tcPr>
          <w:p w14:paraId="55ABFA82" w14:textId="77777777" w:rsidR="007B6316" w:rsidRPr="00AB7C1E" w:rsidRDefault="007B6316" w:rsidP="007B6316">
            <w:pPr>
              <w:spacing w:before="0"/>
              <w:rPr>
                <w:rFonts w:cs="Times New Roman Bold"/>
                <w:b/>
                <w:bCs/>
                <w:smallCaps/>
                <w:sz w:val="26"/>
                <w:szCs w:val="26"/>
              </w:rPr>
            </w:pPr>
            <w:r w:rsidRPr="00AB7C1E">
              <w:rPr>
                <w:rFonts w:cs="Times New Roman Bold"/>
                <w:b/>
                <w:bCs/>
                <w:smallCaps/>
                <w:sz w:val="36"/>
                <w:szCs w:val="36"/>
              </w:rPr>
              <w:t>Unión Internacional de Telecomunicaciones</w:t>
            </w:r>
          </w:p>
          <w:p w14:paraId="41B6208C" w14:textId="77777777" w:rsidR="007B6316" w:rsidRPr="00AB7C1E" w:rsidRDefault="007B6316" w:rsidP="007B6316">
            <w:pPr>
              <w:spacing w:before="0"/>
            </w:pPr>
            <w:r w:rsidRPr="00AB7C1E">
              <w:rPr>
                <w:rFonts w:cs="Times New Roman Bold"/>
                <w:b/>
                <w:bCs/>
                <w:smallCaps/>
                <w:sz w:val="28"/>
                <w:szCs w:val="28"/>
              </w:rPr>
              <w:t>Oficina</w:t>
            </w:r>
            <w:r w:rsidRPr="00AB7C1E">
              <w:rPr>
                <w:rFonts w:cs="Times New Roman Bold"/>
                <w:b/>
                <w:bCs/>
                <w:iCs/>
                <w:smallCaps/>
                <w:sz w:val="22"/>
                <w:szCs w:val="22"/>
              </w:rPr>
              <w:t xml:space="preserve"> </w:t>
            </w:r>
            <w:r w:rsidRPr="00AB7C1E">
              <w:rPr>
                <w:rFonts w:cs="Times New Roman Bold"/>
                <w:b/>
                <w:bCs/>
                <w:iCs/>
                <w:smallCaps/>
                <w:sz w:val="28"/>
                <w:szCs w:val="28"/>
              </w:rPr>
              <w:t>de Normalización de las Telecomunicaciones</w:t>
            </w:r>
          </w:p>
        </w:tc>
      </w:tr>
      <w:tr w:rsidR="007B6316" w:rsidRPr="00AB7C1E" w14:paraId="3EEE572E" w14:textId="77777777" w:rsidTr="005B3C33">
        <w:trPr>
          <w:cantSplit/>
          <w:trHeight w:val="340"/>
        </w:trPr>
        <w:tc>
          <w:tcPr>
            <w:tcW w:w="1196" w:type="dxa"/>
          </w:tcPr>
          <w:p w14:paraId="6971C9BB" w14:textId="77777777" w:rsidR="007B6316" w:rsidRPr="00AB7C1E" w:rsidRDefault="007B6316" w:rsidP="005B3C33"/>
        </w:tc>
        <w:tc>
          <w:tcPr>
            <w:tcW w:w="3681" w:type="dxa"/>
            <w:gridSpan w:val="2"/>
          </w:tcPr>
          <w:p w14:paraId="4D55054B" w14:textId="77777777" w:rsidR="007B6316" w:rsidRPr="00AB7C1E" w:rsidRDefault="007B6316" w:rsidP="005B3C33"/>
        </w:tc>
        <w:tc>
          <w:tcPr>
            <w:tcW w:w="4754" w:type="dxa"/>
          </w:tcPr>
          <w:p w14:paraId="51B8F07A" w14:textId="007B98A5" w:rsidR="007B6316" w:rsidRPr="00AB7C1E" w:rsidRDefault="0061440B" w:rsidP="005B3C33">
            <w:r w:rsidRPr="00AB7C1E">
              <w:t xml:space="preserve">Ginebra, </w:t>
            </w:r>
            <w:r w:rsidR="00400561" w:rsidRPr="00AB7C1E">
              <w:t>11</w:t>
            </w:r>
            <w:r w:rsidR="008577DB" w:rsidRPr="00AB7C1E">
              <w:t xml:space="preserve"> de </w:t>
            </w:r>
            <w:r w:rsidR="00400561" w:rsidRPr="00AB7C1E">
              <w:t>octubre</w:t>
            </w:r>
            <w:r w:rsidR="008577DB" w:rsidRPr="00AB7C1E">
              <w:t xml:space="preserve"> de 2023</w:t>
            </w:r>
          </w:p>
        </w:tc>
      </w:tr>
      <w:tr w:rsidR="007B6316" w:rsidRPr="00AB7C1E" w14:paraId="5971D39E" w14:textId="77777777" w:rsidTr="005B3C33">
        <w:trPr>
          <w:cantSplit/>
          <w:trHeight w:val="340"/>
        </w:trPr>
        <w:tc>
          <w:tcPr>
            <w:tcW w:w="1196" w:type="dxa"/>
          </w:tcPr>
          <w:p w14:paraId="27A00ABE" w14:textId="2EC207BC" w:rsidR="007B6316" w:rsidRPr="005B3C33" w:rsidRDefault="007B6316" w:rsidP="005B3C33">
            <w:pPr>
              <w:spacing w:before="20" w:after="20"/>
            </w:pPr>
            <w:r w:rsidRPr="005B3C33">
              <w:t>Ref.:</w:t>
            </w:r>
          </w:p>
        </w:tc>
        <w:tc>
          <w:tcPr>
            <w:tcW w:w="3681" w:type="dxa"/>
            <w:gridSpan w:val="2"/>
          </w:tcPr>
          <w:p w14:paraId="3141B56D" w14:textId="57AE6679" w:rsidR="0061440B" w:rsidRPr="005B3C33" w:rsidRDefault="0061440B" w:rsidP="005B3C33">
            <w:pPr>
              <w:spacing w:before="20" w:after="20"/>
              <w:rPr>
                <w:b/>
                <w:bCs/>
              </w:rPr>
            </w:pPr>
            <w:r w:rsidRPr="005B3C33">
              <w:rPr>
                <w:b/>
                <w:bCs/>
              </w:rPr>
              <w:t xml:space="preserve">Circular TSB </w:t>
            </w:r>
            <w:r w:rsidR="00400561" w:rsidRPr="005B3C33">
              <w:rPr>
                <w:b/>
                <w:bCs/>
              </w:rPr>
              <w:t>142</w:t>
            </w:r>
          </w:p>
          <w:p w14:paraId="57F5A3B1" w14:textId="4C6FE567" w:rsidR="007B6316" w:rsidRPr="005B3C33" w:rsidRDefault="0061440B" w:rsidP="005B3C33">
            <w:pPr>
              <w:spacing w:before="20" w:after="20"/>
            </w:pPr>
            <w:r w:rsidRPr="005B3C33">
              <w:t>CE</w:t>
            </w:r>
            <w:r w:rsidR="00DA100E">
              <w:t> </w:t>
            </w:r>
            <w:r w:rsidRPr="005B3C33">
              <w:t>17/XY</w:t>
            </w:r>
          </w:p>
        </w:tc>
        <w:tc>
          <w:tcPr>
            <w:tcW w:w="4754" w:type="dxa"/>
            <w:vMerge w:val="restart"/>
          </w:tcPr>
          <w:p w14:paraId="2A2FA9F9" w14:textId="5F728E42" w:rsidR="005B3C33" w:rsidRPr="00AC7477" w:rsidRDefault="005B3C33" w:rsidP="005B3C33">
            <w:pPr>
              <w:tabs>
                <w:tab w:val="clear" w:pos="794"/>
                <w:tab w:val="left" w:pos="394"/>
              </w:tabs>
              <w:spacing w:before="20" w:after="20"/>
              <w:rPr>
                <w:b/>
                <w:bCs/>
              </w:rPr>
            </w:pPr>
            <w:bookmarkStart w:id="0" w:name="Addressee_S"/>
            <w:bookmarkEnd w:id="0"/>
            <w:r w:rsidRPr="00AC7477">
              <w:rPr>
                <w:b/>
                <w:bCs/>
              </w:rPr>
              <w:t>A:</w:t>
            </w:r>
          </w:p>
          <w:p w14:paraId="7313594E" w14:textId="48A04676" w:rsidR="007B6316" w:rsidRPr="005B3C33" w:rsidRDefault="0061440B" w:rsidP="005B3C33">
            <w:pPr>
              <w:tabs>
                <w:tab w:val="clear" w:pos="794"/>
                <w:tab w:val="left" w:pos="394"/>
              </w:tabs>
              <w:spacing w:before="20" w:after="20"/>
              <w:ind w:left="394" w:hanging="394"/>
            </w:pPr>
            <w:r w:rsidRPr="005B3C33">
              <w:t>–</w:t>
            </w:r>
            <w:r w:rsidR="007B6316" w:rsidRPr="005B3C33">
              <w:tab/>
              <w:t>las Administraciones de los Estados Miembros de la Unión</w:t>
            </w:r>
          </w:p>
          <w:p w14:paraId="4855EF36" w14:textId="77777777" w:rsidR="00CD6078" w:rsidRPr="00AC7477" w:rsidRDefault="00CD6078" w:rsidP="005B3C33">
            <w:pPr>
              <w:spacing w:before="20" w:after="20"/>
              <w:rPr>
                <w:b/>
                <w:bCs/>
              </w:rPr>
            </w:pPr>
            <w:r w:rsidRPr="00AC7477">
              <w:rPr>
                <w:b/>
                <w:bCs/>
              </w:rPr>
              <w:t>Copia:</w:t>
            </w:r>
          </w:p>
          <w:p w14:paraId="23C6B76C" w14:textId="1CE449B2"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 los Miembros de Sector del UIT</w:t>
            </w:r>
            <w:r w:rsidRPr="005B3C33">
              <w:noBreakHyphen/>
              <w:t>T;</w:t>
            </w:r>
          </w:p>
          <w:p w14:paraId="197764AE" w14:textId="2632AFB3"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 los Asociados de la Comisión de Estudio</w:t>
            </w:r>
            <w:r w:rsidR="005B3C33">
              <w:t> </w:t>
            </w:r>
            <w:r w:rsidRPr="005B3C33">
              <w:t>17 del UIT</w:t>
            </w:r>
            <w:r w:rsidRPr="005B3C33">
              <w:noBreakHyphen/>
              <w:t>T;</w:t>
            </w:r>
          </w:p>
          <w:p w14:paraId="145E34C4" w14:textId="27C34DC0"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 las Instituciones Académicas de la UIT;</w:t>
            </w:r>
          </w:p>
          <w:p w14:paraId="7D1AF69A" w14:textId="7CDCA646"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l </w:t>
            </w:r>
            <w:proofErr w:type="gramStart"/>
            <w:r w:rsidRPr="005B3C33">
              <w:t>Presidente</w:t>
            </w:r>
            <w:proofErr w:type="gramEnd"/>
            <w:r w:rsidRPr="005B3C33">
              <w:t xml:space="preserve"> y a los Vicepresidentes de la</w:t>
            </w:r>
            <w:r w:rsidRPr="005B3C33">
              <w:br/>
              <w:t>Comisión de Estudio 17;</w:t>
            </w:r>
          </w:p>
          <w:p w14:paraId="0E736304" w14:textId="36D470F2"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l </w:t>
            </w:r>
            <w:proofErr w:type="gramStart"/>
            <w:r w:rsidRPr="005B3C33">
              <w:t>Director</w:t>
            </w:r>
            <w:proofErr w:type="gramEnd"/>
            <w:r w:rsidRPr="005B3C33">
              <w:t xml:space="preserve"> de la Oficina de Desarrollo de las Telecomunicaciones;</w:t>
            </w:r>
          </w:p>
          <w:p w14:paraId="0595A89A" w14:textId="3B15C7EA" w:rsidR="00CD6078" w:rsidRPr="005B3C33" w:rsidRDefault="00CD6078" w:rsidP="005B3C33">
            <w:pPr>
              <w:tabs>
                <w:tab w:val="clear" w:pos="794"/>
                <w:tab w:val="left" w:pos="394"/>
              </w:tabs>
              <w:spacing w:before="20" w:after="20"/>
              <w:ind w:left="394" w:hanging="394"/>
            </w:pPr>
            <w:r w:rsidRPr="005B3C33">
              <w:t>–</w:t>
            </w:r>
            <w:r w:rsidRPr="005B3C33">
              <w:tab/>
            </w:r>
            <w:r w:rsidR="005B3C33">
              <w:t>a</w:t>
            </w:r>
            <w:r w:rsidRPr="005B3C33">
              <w:t xml:space="preserve">l </w:t>
            </w:r>
            <w:proofErr w:type="gramStart"/>
            <w:r w:rsidRPr="005B3C33">
              <w:t>Director</w:t>
            </w:r>
            <w:proofErr w:type="gramEnd"/>
            <w:r w:rsidRPr="005B3C33">
              <w:t xml:space="preserve"> de la Oficina de Radiocomunicaciones</w:t>
            </w:r>
          </w:p>
        </w:tc>
      </w:tr>
      <w:tr w:rsidR="007B6316" w:rsidRPr="00AB7C1E" w14:paraId="27651668" w14:textId="77777777" w:rsidTr="005B3C33">
        <w:trPr>
          <w:cantSplit/>
        </w:trPr>
        <w:tc>
          <w:tcPr>
            <w:tcW w:w="1196" w:type="dxa"/>
          </w:tcPr>
          <w:p w14:paraId="7ED02CA9" w14:textId="77777777" w:rsidR="007B6316" w:rsidRPr="00AB7C1E" w:rsidRDefault="007B6316" w:rsidP="005B3C33">
            <w:pPr>
              <w:spacing w:before="20" w:after="20"/>
            </w:pPr>
            <w:r w:rsidRPr="00AB7C1E">
              <w:t>Tel.:</w:t>
            </w:r>
          </w:p>
        </w:tc>
        <w:tc>
          <w:tcPr>
            <w:tcW w:w="3681" w:type="dxa"/>
            <w:gridSpan w:val="2"/>
          </w:tcPr>
          <w:p w14:paraId="134E4E8D" w14:textId="7649510E" w:rsidR="007B6316" w:rsidRPr="005B3C33" w:rsidRDefault="0061440B" w:rsidP="005B3C33">
            <w:pPr>
              <w:spacing w:before="20" w:after="20"/>
            </w:pPr>
            <w:r w:rsidRPr="005B3C33">
              <w:t>+41 22 730 6206</w:t>
            </w:r>
          </w:p>
        </w:tc>
        <w:tc>
          <w:tcPr>
            <w:tcW w:w="4754" w:type="dxa"/>
            <w:vMerge/>
          </w:tcPr>
          <w:p w14:paraId="3E283424" w14:textId="77777777" w:rsidR="007B6316" w:rsidRPr="00AB7C1E" w:rsidRDefault="007B6316" w:rsidP="00303D62">
            <w:pPr>
              <w:tabs>
                <w:tab w:val="left" w:pos="4111"/>
              </w:tabs>
              <w:spacing w:before="0"/>
              <w:rPr>
                <w:b/>
                <w:sz w:val="22"/>
                <w:szCs w:val="22"/>
              </w:rPr>
            </w:pPr>
          </w:p>
        </w:tc>
      </w:tr>
      <w:tr w:rsidR="005B3C33" w:rsidRPr="00AB7C1E" w14:paraId="6BEC0B6C" w14:textId="77777777" w:rsidTr="005B3C33">
        <w:trPr>
          <w:cantSplit/>
        </w:trPr>
        <w:tc>
          <w:tcPr>
            <w:tcW w:w="1196" w:type="dxa"/>
          </w:tcPr>
          <w:p w14:paraId="3191B2E9" w14:textId="1ECCD8F4" w:rsidR="005B3C33" w:rsidRPr="00AB7C1E" w:rsidRDefault="005B3C33" w:rsidP="005B3C33">
            <w:pPr>
              <w:spacing w:before="20" w:after="20"/>
            </w:pPr>
            <w:r w:rsidRPr="005B3C33">
              <w:t>Fax:</w:t>
            </w:r>
          </w:p>
        </w:tc>
        <w:tc>
          <w:tcPr>
            <w:tcW w:w="3681" w:type="dxa"/>
            <w:gridSpan w:val="2"/>
          </w:tcPr>
          <w:p w14:paraId="3D8971C8" w14:textId="56BCA9D9" w:rsidR="005B3C33" w:rsidRPr="005B3C33" w:rsidRDefault="005B3C33" w:rsidP="005B3C33">
            <w:pPr>
              <w:spacing w:before="20" w:after="20"/>
            </w:pPr>
            <w:r w:rsidRPr="005B3C33">
              <w:t>+41 22 730 5853</w:t>
            </w:r>
          </w:p>
        </w:tc>
        <w:tc>
          <w:tcPr>
            <w:tcW w:w="4754" w:type="dxa"/>
            <w:vMerge/>
          </w:tcPr>
          <w:p w14:paraId="5CDED707" w14:textId="77777777" w:rsidR="005B3C33" w:rsidRPr="00AB7C1E" w:rsidRDefault="005B3C33" w:rsidP="00303D62">
            <w:pPr>
              <w:tabs>
                <w:tab w:val="left" w:pos="4111"/>
              </w:tabs>
              <w:spacing w:before="0"/>
              <w:rPr>
                <w:b/>
                <w:sz w:val="22"/>
                <w:szCs w:val="22"/>
              </w:rPr>
            </w:pPr>
          </w:p>
        </w:tc>
      </w:tr>
      <w:tr w:rsidR="007B6316" w:rsidRPr="00AB7C1E" w14:paraId="02EB9EAD" w14:textId="77777777" w:rsidTr="005B3C33">
        <w:trPr>
          <w:cantSplit/>
          <w:trHeight w:val="2648"/>
        </w:trPr>
        <w:tc>
          <w:tcPr>
            <w:tcW w:w="1196" w:type="dxa"/>
          </w:tcPr>
          <w:p w14:paraId="6C1958A3" w14:textId="0EB8BE06" w:rsidR="00CD6078" w:rsidRPr="005B3C33" w:rsidRDefault="00CD6078" w:rsidP="005B3C33">
            <w:pPr>
              <w:spacing w:before="20" w:after="20"/>
            </w:pPr>
            <w:r w:rsidRPr="005B3C33">
              <w:t>Correo-e:</w:t>
            </w:r>
          </w:p>
        </w:tc>
        <w:tc>
          <w:tcPr>
            <w:tcW w:w="3681" w:type="dxa"/>
            <w:gridSpan w:val="2"/>
          </w:tcPr>
          <w:p w14:paraId="236A62A6" w14:textId="0025E1B3" w:rsidR="00CD6078" w:rsidRPr="005B3C33" w:rsidRDefault="00830421" w:rsidP="005B3C33">
            <w:pPr>
              <w:spacing w:before="20" w:after="20"/>
            </w:pPr>
            <w:hyperlink r:id="rId9" w:history="1">
              <w:r w:rsidR="005B3C33" w:rsidRPr="00B10540">
                <w:rPr>
                  <w:rStyle w:val="Hyperlink"/>
                </w:rPr>
                <w:t>tsbsg17@itu.int</w:t>
              </w:r>
            </w:hyperlink>
          </w:p>
        </w:tc>
        <w:tc>
          <w:tcPr>
            <w:tcW w:w="4754" w:type="dxa"/>
            <w:vMerge/>
          </w:tcPr>
          <w:p w14:paraId="4357307A" w14:textId="77777777" w:rsidR="007B6316" w:rsidRPr="00AB7C1E" w:rsidRDefault="007B6316" w:rsidP="00303D62">
            <w:pPr>
              <w:tabs>
                <w:tab w:val="left" w:pos="4111"/>
              </w:tabs>
              <w:spacing w:before="0"/>
              <w:rPr>
                <w:b/>
                <w:sz w:val="22"/>
                <w:szCs w:val="22"/>
              </w:rPr>
            </w:pPr>
          </w:p>
        </w:tc>
      </w:tr>
      <w:tr w:rsidR="007B6316" w:rsidRPr="00AB7C1E" w14:paraId="415E6FA9" w14:textId="77777777" w:rsidTr="005B3C33">
        <w:trPr>
          <w:cantSplit/>
          <w:trHeight w:val="1289"/>
        </w:trPr>
        <w:tc>
          <w:tcPr>
            <w:tcW w:w="1196" w:type="dxa"/>
          </w:tcPr>
          <w:p w14:paraId="6BC58E59" w14:textId="77777777" w:rsidR="007B6316" w:rsidRPr="005B3C33" w:rsidRDefault="007B6316" w:rsidP="005B3C33">
            <w:r w:rsidRPr="005B3C33">
              <w:t>Asunto:</w:t>
            </w:r>
          </w:p>
        </w:tc>
        <w:tc>
          <w:tcPr>
            <w:tcW w:w="8435" w:type="dxa"/>
            <w:gridSpan w:val="3"/>
          </w:tcPr>
          <w:p w14:paraId="14F2CAE5" w14:textId="251BA540" w:rsidR="007B6316" w:rsidRPr="005B3C33" w:rsidRDefault="0061440B" w:rsidP="005B3C33">
            <w:pPr>
              <w:rPr>
                <w:b/>
                <w:bCs/>
              </w:rPr>
            </w:pPr>
            <w:r w:rsidRPr="005B3C33">
              <w:rPr>
                <w:b/>
                <w:bCs/>
              </w:rPr>
              <w:t xml:space="preserve">Consulta a los Estados Miembros sobre los proyectos determinados de nuevas Recomendaciones </w:t>
            </w:r>
            <w:r w:rsidR="008577DB" w:rsidRPr="005B3C33">
              <w:rPr>
                <w:b/>
                <w:bCs/>
              </w:rPr>
              <w:t>UIT</w:t>
            </w:r>
            <w:r w:rsidR="008577DB" w:rsidRPr="005B3C33">
              <w:rPr>
                <w:b/>
                <w:bCs/>
              </w:rPr>
              <w:noBreakHyphen/>
              <w:t>T </w:t>
            </w:r>
            <w:r w:rsidR="00400561" w:rsidRPr="005B3C33">
              <w:rPr>
                <w:b/>
                <w:bCs/>
              </w:rPr>
              <w:t>X.1150 (</w:t>
            </w:r>
            <w:proofErr w:type="spellStart"/>
            <w:r w:rsidR="00400561" w:rsidRPr="005B3C33">
              <w:rPr>
                <w:b/>
                <w:bCs/>
              </w:rPr>
              <w:t>X.saf-dfs</w:t>
            </w:r>
            <w:proofErr w:type="spellEnd"/>
            <w:r w:rsidR="00400561" w:rsidRPr="005B3C33">
              <w:rPr>
                <w:b/>
                <w:bCs/>
              </w:rPr>
              <w:t>), X.1221 (</w:t>
            </w:r>
            <w:proofErr w:type="spellStart"/>
            <w:proofErr w:type="gramStart"/>
            <w:r w:rsidR="00400561" w:rsidRPr="005B3C33">
              <w:rPr>
                <w:b/>
                <w:bCs/>
              </w:rPr>
              <w:t>X.stie</w:t>
            </w:r>
            <w:proofErr w:type="spellEnd"/>
            <w:proofErr w:type="gramEnd"/>
            <w:r w:rsidR="00400561" w:rsidRPr="005B3C33">
              <w:rPr>
                <w:b/>
                <w:bCs/>
              </w:rPr>
              <w:t>), X.1222 (</w:t>
            </w:r>
            <w:proofErr w:type="spellStart"/>
            <w:r w:rsidR="00400561" w:rsidRPr="005B3C33">
              <w:rPr>
                <w:b/>
                <w:bCs/>
              </w:rPr>
              <w:t>X.taeii</w:t>
            </w:r>
            <w:proofErr w:type="spellEnd"/>
            <w:r w:rsidR="00400561" w:rsidRPr="005B3C33">
              <w:rPr>
                <w:b/>
                <w:bCs/>
              </w:rPr>
              <w:t>), X.1280 (</w:t>
            </w:r>
            <w:proofErr w:type="spellStart"/>
            <w:r w:rsidR="00400561" w:rsidRPr="005B3C33">
              <w:rPr>
                <w:b/>
                <w:bCs/>
              </w:rPr>
              <w:t>X.oob-sa</w:t>
            </w:r>
            <w:proofErr w:type="spellEnd"/>
            <w:r w:rsidR="00400561" w:rsidRPr="005B3C33">
              <w:rPr>
                <w:b/>
                <w:bCs/>
              </w:rPr>
              <w:t>), X.1281 (</w:t>
            </w:r>
            <w:proofErr w:type="spellStart"/>
            <w:r w:rsidR="00400561" w:rsidRPr="005B3C33">
              <w:rPr>
                <w:b/>
                <w:bCs/>
              </w:rPr>
              <w:t>X.osia</w:t>
            </w:r>
            <w:proofErr w:type="spellEnd"/>
            <w:r w:rsidR="00400561" w:rsidRPr="005B3C33">
              <w:rPr>
                <w:b/>
                <w:bCs/>
              </w:rPr>
              <w:t>), Enmienda 1 a la X.1352, X</w:t>
            </w:r>
            <w:r w:rsidR="00DA100E">
              <w:rPr>
                <w:b/>
                <w:bCs/>
              </w:rPr>
              <w:t>.</w:t>
            </w:r>
            <w:r w:rsidR="00400561" w:rsidRPr="005B3C33">
              <w:rPr>
                <w:b/>
                <w:bCs/>
              </w:rPr>
              <w:t>1373 revisada y X</w:t>
            </w:r>
            <w:r w:rsidR="00DA100E">
              <w:rPr>
                <w:b/>
                <w:bCs/>
              </w:rPr>
              <w:t>.</w:t>
            </w:r>
            <w:r w:rsidR="00400561" w:rsidRPr="005B3C33">
              <w:rPr>
                <w:b/>
                <w:bCs/>
              </w:rPr>
              <w:t xml:space="preserve">1818 (X.5Gsec-ctrl), </w:t>
            </w:r>
            <w:r w:rsidRPr="005B3C33">
              <w:rPr>
                <w:b/>
                <w:bCs/>
              </w:rPr>
              <w:t xml:space="preserve">propuestos para aprobación en la reunión de la Comisión de Estudio 17 del UIT-T, </w:t>
            </w:r>
            <w:r w:rsidR="00135302" w:rsidRPr="005B3C33">
              <w:rPr>
                <w:b/>
                <w:bCs/>
              </w:rPr>
              <w:t xml:space="preserve">del </w:t>
            </w:r>
            <w:r w:rsidR="008577DB" w:rsidRPr="005B3C33">
              <w:rPr>
                <w:b/>
                <w:bCs/>
              </w:rPr>
              <w:t>2</w:t>
            </w:r>
            <w:r w:rsidR="00400561" w:rsidRPr="005B3C33">
              <w:rPr>
                <w:b/>
                <w:bCs/>
              </w:rPr>
              <w:t>0</w:t>
            </w:r>
            <w:r w:rsidR="008577DB" w:rsidRPr="005B3C33">
              <w:rPr>
                <w:b/>
                <w:bCs/>
              </w:rPr>
              <w:t xml:space="preserve"> </w:t>
            </w:r>
            <w:r w:rsidRPr="005B3C33">
              <w:rPr>
                <w:b/>
                <w:bCs/>
              </w:rPr>
              <w:t xml:space="preserve">de </w:t>
            </w:r>
            <w:r w:rsidR="00400561" w:rsidRPr="005B3C33">
              <w:rPr>
                <w:b/>
                <w:bCs/>
              </w:rPr>
              <w:t xml:space="preserve">febrero </w:t>
            </w:r>
            <w:r w:rsidR="00135302" w:rsidRPr="005B3C33">
              <w:rPr>
                <w:b/>
                <w:bCs/>
              </w:rPr>
              <w:t xml:space="preserve">al </w:t>
            </w:r>
            <w:r w:rsidR="00400561" w:rsidRPr="005B3C33">
              <w:rPr>
                <w:b/>
                <w:bCs/>
              </w:rPr>
              <w:t>1</w:t>
            </w:r>
            <w:r w:rsidR="008577DB" w:rsidRPr="005B3C33">
              <w:rPr>
                <w:b/>
                <w:bCs/>
              </w:rPr>
              <w:t xml:space="preserve"> </w:t>
            </w:r>
            <w:r w:rsidRPr="005B3C33">
              <w:rPr>
                <w:b/>
                <w:bCs/>
              </w:rPr>
              <w:t xml:space="preserve">de </w:t>
            </w:r>
            <w:r w:rsidR="00400561" w:rsidRPr="005B3C33">
              <w:rPr>
                <w:b/>
                <w:bCs/>
              </w:rPr>
              <w:t xml:space="preserve">marzo </w:t>
            </w:r>
            <w:r w:rsidRPr="005B3C33">
              <w:rPr>
                <w:b/>
                <w:bCs/>
              </w:rPr>
              <w:t xml:space="preserve">de </w:t>
            </w:r>
            <w:r w:rsidR="008577DB" w:rsidRPr="005B3C33">
              <w:rPr>
                <w:b/>
                <w:bCs/>
              </w:rPr>
              <w:t>202</w:t>
            </w:r>
            <w:r w:rsidR="00400561" w:rsidRPr="005B3C33">
              <w:rPr>
                <w:b/>
                <w:bCs/>
              </w:rPr>
              <w:t>4</w:t>
            </w:r>
          </w:p>
        </w:tc>
      </w:tr>
    </w:tbl>
    <w:p w14:paraId="5EEE7046" w14:textId="49A735A6" w:rsidR="00C34772" w:rsidRPr="00AB7C1E" w:rsidRDefault="00C34772" w:rsidP="00306263">
      <w:pPr>
        <w:pStyle w:val="Normalaftertitle0"/>
      </w:pPr>
      <w:bookmarkStart w:id="1" w:name="StartTyping_S"/>
      <w:bookmarkStart w:id="2" w:name="suitetext"/>
      <w:bookmarkStart w:id="3" w:name="text"/>
      <w:bookmarkEnd w:id="1"/>
      <w:bookmarkEnd w:id="2"/>
      <w:bookmarkEnd w:id="3"/>
      <w:r w:rsidRPr="00AB7C1E">
        <w:t>Muy Señora mía/Muy Señor mío</w:t>
      </w:r>
      <w:r w:rsidR="00306263">
        <w:t>:</w:t>
      </w:r>
    </w:p>
    <w:p w14:paraId="7C560B03" w14:textId="23C02E4C" w:rsidR="007B6316" w:rsidRPr="00AB7C1E" w:rsidRDefault="0061440B" w:rsidP="00306263">
      <w:r w:rsidRPr="00AB7C1E">
        <w:rPr>
          <w:bCs/>
        </w:rPr>
        <w:t>1</w:t>
      </w:r>
      <w:r w:rsidRPr="00AB7C1E">
        <w:tab/>
      </w:r>
      <w:proofErr w:type="gramStart"/>
      <w:r w:rsidRPr="00AB7C1E">
        <w:t>La</w:t>
      </w:r>
      <w:proofErr w:type="gramEnd"/>
      <w:r w:rsidRPr="00AB7C1E">
        <w:t xml:space="preserve"> Comisión de Estudio 17 (Seguridad) tiene previsto aplicar el procedimiento de aprobación tradicional descrito en la Sección 9 de la Resolución 1 (Rev. Ginebra, 2022) de la AMNT a efectos de la aprobación de los proyectos de Recomendación indicados en el asunto durante la próxima reunión que tendrá lugar en </w:t>
      </w:r>
      <w:r w:rsidR="00400561" w:rsidRPr="00AB7C1E">
        <w:t>Sudáfrica</w:t>
      </w:r>
      <w:r w:rsidR="008577DB" w:rsidRPr="00AB7C1E">
        <w:t xml:space="preserve"> </w:t>
      </w:r>
      <w:r w:rsidRPr="00AB7C1E">
        <w:t xml:space="preserve">del </w:t>
      </w:r>
      <w:r w:rsidR="008577DB" w:rsidRPr="00AB7C1E">
        <w:t>2</w:t>
      </w:r>
      <w:r w:rsidR="00400561" w:rsidRPr="00AB7C1E">
        <w:t>0</w:t>
      </w:r>
      <w:r w:rsidR="008577DB" w:rsidRPr="00AB7C1E">
        <w:t xml:space="preserve"> </w:t>
      </w:r>
      <w:r w:rsidRPr="00AB7C1E">
        <w:t xml:space="preserve">de </w:t>
      </w:r>
      <w:r w:rsidR="00400561" w:rsidRPr="00AB7C1E">
        <w:t xml:space="preserve">febrero </w:t>
      </w:r>
      <w:r w:rsidRPr="00AB7C1E">
        <w:t xml:space="preserve">al </w:t>
      </w:r>
      <w:r w:rsidR="00400561" w:rsidRPr="00AB7C1E">
        <w:t>1</w:t>
      </w:r>
      <w:r w:rsidR="008577DB" w:rsidRPr="00AB7C1E">
        <w:t xml:space="preserve"> </w:t>
      </w:r>
      <w:r w:rsidRPr="00AB7C1E">
        <w:t xml:space="preserve">de </w:t>
      </w:r>
      <w:r w:rsidR="00400561" w:rsidRPr="00AB7C1E">
        <w:t xml:space="preserve">marzo </w:t>
      </w:r>
      <w:r w:rsidRPr="00AB7C1E">
        <w:t xml:space="preserve">de </w:t>
      </w:r>
      <w:r w:rsidR="008577DB" w:rsidRPr="00AB7C1E">
        <w:t>202</w:t>
      </w:r>
      <w:r w:rsidR="00400561" w:rsidRPr="00AB7C1E">
        <w:t>4</w:t>
      </w:r>
      <w:r w:rsidRPr="00AB7C1E">
        <w:t xml:space="preserve">. El orden del día y toda la información pertinente sobre la reunión de la Comisión de Estudio 17 del UIT-T figuran en la Carta Colectiva </w:t>
      </w:r>
      <w:hyperlink r:id="rId10" w:history="1">
        <w:r w:rsidR="00400561" w:rsidRPr="00306263">
          <w:rPr>
            <w:rStyle w:val="Hyperlink"/>
          </w:rPr>
          <w:t>6/17</w:t>
        </w:r>
      </w:hyperlink>
      <w:r w:rsidRPr="00AB7C1E">
        <w:t>.</w:t>
      </w:r>
    </w:p>
    <w:p w14:paraId="4DA73665" w14:textId="77777777" w:rsidR="0061440B" w:rsidRPr="00AB7C1E" w:rsidRDefault="0061440B" w:rsidP="00306263">
      <w:r w:rsidRPr="00AB7C1E">
        <w:rPr>
          <w:bCs/>
        </w:rPr>
        <w:t>2</w:t>
      </w:r>
      <w:r w:rsidRPr="00AB7C1E">
        <w:tab/>
      </w:r>
      <w:proofErr w:type="gramStart"/>
      <w:r w:rsidRPr="00AB7C1E">
        <w:t>El</w:t>
      </w:r>
      <w:proofErr w:type="gramEnd"/>
      <w:r w:rsidRPr="00AB7C1E">
        <w:t xml:space="preserve"> </w:t>
      </w:r>
      <w:r w:rsidRPr="00AB7C1E">
        <w:rPr>
          <w:b/>
          <w:bCs/>
        </w:rPr>
        <w:t xml:space="preserve">Anexo 1 </w:t>
      </w:r>
      <w:r w:rsidRPr="00AB7C1E">
        <w:t>contiene los títulos, resúmenes y ubicaciones de los proyectos de Recomendación UIT-T propuestos para aprobación.</w:t>
      </w:r>
    </w:p>
    <w:p w14:paraId="22DE9A02" w14:textId="6DA5707E" w:rsidR="0061440B" w:rsidRPr="00AB7C1E" w:rsidRDefault="0061440B" w:rsidP="00306263">
      <w:pPr>
        <w:pStyle w:val="Note"/>
      </w:pPr>
      <w:r w:rsidRPr="00306263">
        <w:t>NOTA</w:t>
      </w:r>
      <w:r w:rsidRPr="00AB7C1E">
        <w:t xml:space="preserve"> 1 de la TSB – </w:t>
      </w:r>
      <w:r w:rsidR="00AA5922" w:rsidRPr="00AB7C1E">
        <w:t xml:space="preserve">A excepción del proyecto de </w:t>
      </w:r>
      <w:r w:rsidR="00400561" w:rsidRPr="00AB7C1E">
        <w:t xml:space="preserve">las </w:t>
      </w:r>
      <w:r w:rsidR="00AA5922" w:rsidRPr="00AB7C1E">
        <w:t>nueva</w:t>
      </w:r>
      <w:r w:rsidR="00400561" w:rsidRPr="00AB7C1E">
        <w:t>s</w:t>
      </w:r>
      <w:r w:rsidR="00AA5922" w:rsidRPr="00AB7C1E">
        <w:t xml:space="preserve"> Recomendaci</w:t>
      </w:r>
      <w:r w:rsidR="00400561" w:rsidRPr="00AB7C1E">
        <w:t>ones</w:t>
      </w:r>
      <w:r w:rsidR="00AA5922" w:rsidRPr="00AB7C1E">
        <w:t xml:space="preserve"> </w:t>
      </w:r>
      <w:r w:rsidR="00400561" w:rsidRPr="00AB7C1E">
        <w:t>X.1221 (</w:t>
      </w:r>
      <w:proofErr w:type="spellStart"/>
      <w:proofErr w:type="gramStart"/>
      <w:r w:rsidR="00400561" w:rsidRPr="00AB7C1E">
        <w:t>X.stie</w:t>
      </w:r>
      <w:proofErr w:type="spellEnd"/>
      <w:proofErr w:type="gramEnd"/>
      <w:r w:rsidR="00400561" w:rsidRPr="00AB7C1E">
        <w:t>), X.1222 (</w:t>
      </w:r>
      <w:proofErr w:type="spellStart"/>
      <w:r w:rsidR="00400561" w:rsidRPr="00AB7C1E">
        <w:t>X.taeii</w:t>
      </w:r>
      <w:proofErr w:type="spellEnd"/>
      <w:r w:rsidR="00AA5922" w:rsidRPr="00AB7C1E">
        <w:t xml:space="preserve">), no se ha presentado la justificación </w:t>
      </w:r>
      <w:r w:rsidR="00C30BF5" w:rsidRPr="00C30BF5">
        <w:t xml:space="preserve">con arreglo a la UIT-T A.5 </w:t>
      </w:r>
      <w:r w:rsidR="00AA5922" w:rsidRPr="00AB7C1E">
        <w:t>de los textos determinados.</w:t>
      </w:r>
    </w:p>
    <w:p w14:paraId="50C705FC" w14:textId="44051F57" w:rsidR="0061440B" w:rsidRPr="00AB7C1E" w:rsidRDefault="0061440B" w:rsidP="00306263">
      <w:pPr>
        <w:pStyle w:val="Note"/>
      </w:pPr>
      <w:r w:rsidRPr="00AB7C1E">
        <w:t xml:space="preserve">NOTA 2 de la TSB – En el momento en que se publica la presente Circular, la TSB no había recibido declaración alguna en materia de derechos de propiedad intelectual </w:t>
      </w:r>
      <w:r w:rsidR="00E77E66" w:rsidRPr="00AB7C1E">
        <w:t xml:space="preserve">para </w:t>
      </w:r>
      <w:r w:rsidRPr="00AB7C1E">
        <w:t>estos texto</w:t>
      </w:r>
      <w:r w:rsidR="00E77E66" w:rsidRPr="00AB7C1E">
        <w:t>s determinados</w:t>
      </w:r>
      <w:r w:rsidRPr="00AB7C1E">
        <w:t xml:space="preserve">. Para obtener información actualizada, se invita a los miembros a que consulten la base de datos de DPI en la dirección </w:t>
      </w:r>
      <w:hyperlink r:id="rId11" w:history="1">
        <w:r w:rsidR="00306263" w:rsidRPr="00B10540">
          <w:rPr>
            <w:rStyle w:val="Hyperlink"/>
          </w:rPr>
          <w:t>https://www.itu.int/ipr/</w:t>
        </w:r>
      </w:hyperlink>
      <w:r w:rsidRPr="00306263">
        <w:t>.</w:t>
      </w:r>
    </w:p>
    <w:p w14:paraId="7E3D646B" w14:textId="0A46EB21" w:rsidR="00CD6078" w:rsidRPr="00AB7C1E" w:rsidRDefault="0061440B" w:rsidP="00306263">
      <w:r w:rsidRPr="00AB7C1E">
        <w:t>3</w:t>
      </w:r>
      <w:r w:rsidRPr="00AB7C1E">
        <w:tab/>
      </w:r>
      <w:proofErr w:type="gramStart"/>
      <w:r w:rsidRPr="00AB7C1E">
        <w:t>Con</w:t>
      </w:r>
      <w:proofErr w:type="gramEnd"/>
      <w:r w:rsidRPr="00AB7C1E">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306263">
        <w:rPr>
          <w:b/>
          <w:bCs/>
        </w:rPr>
        <w:t>Anexo 2</w:t>
      </w:r>
      <w:r w:rsidRPr="00306263">
        <w:t xml:space="preserve"> </w:t>
      </w:r>
      <w:r w:rsidRPr="00AB7C1E">
        <w:t xml:space="preserve">antes de las 23.59 horas UTC del </w:t>
      </w:r>
      <w:r w:rsidR="00400561" w:rsidRPr="00306263">
        <w:rPr>
          <w:b/>
          <w:bCs/>
        </w:rPr>
        <w:t>8</w:t>
      </w:r>
      <w:r w:rsidR="00E77E66" w:rsidRPr="00306263">
        <w:rPr>
          <w:b/>
          <w:bCs/>
        </w:rPr>
        <w:t xml:space="preserve"> </w:t>
      </w:r>
      <w:r w:rsidRPr="00306263">
        <w:rPr>
          <w:b/>
          <w:bCs/>
        </w:rPr>
        <w:t xml:space="preserve">de </w:t>
      </w:r>
      <w:r w:rsidR="00400561" w:rsidRPr="00306263">
        <w:rPr>
          <w:b/>
          <w:bCs/>
        </w:rPr>
        <w:t xml:space="preserve">febrero </w:t>
      </w:r>
      <w:r w:rsidRPr="00306263">
        <w:rPr>
          <w:b/>
          <w:bCs/>
        </w:rPr>
        <w:t xml:space="preserve">de </w:t>
      </w:r>
      <w:r w:rsidR="00E77E66" w:rsidRPr="00306263">
        <w:rPr>
          <w:b/>
          <w:bCs/>
        </w:rPr>
        <w:t>202</w:t>
      </w:r>
      <w:r w:rsidR="00400561" w:rsidRPr="00306263">
        <w:rPr>
          <w:b/>
          <w:bCs/>
        </w:rPr>
        <w:t>4</w:t>
      </w:r>
      <w:r w:rsidRPr="00AB7C1E">
        <w:t>.</w:t>
      </w:r>
    </w:p>
    <w:p w14:paraId="0BF16D47" w14:textId="14424ED7" w:rsidR="007B6316" w:rsidRPr="00AB7C1E" w:rsidRDefault="0061440B" w:rsidP="00306263">
      <w:r w:rsidRPr="00AB7C1E">
        <w:lastRenderedPageBreak/>
        <w:t>4</w:t>
      </w:r>
      <w:r w:rsidRPr="00AB7C1E">
        <w:tab/>
      </w:r>
      <w:proofErr w:type="gramStart"/>
      <w:r w:rsidRPr="00AB7C1E">
        <w:t>Si</w:t>
      </w:r>
      <w:proofErr w:type="gramEnd"/>
      <w:r w:rsidRPr="00AB7C1E">
        <w:t xml:space="preserve"> el 70%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AB7C1E">
        <w:t>Director</w:t>
      </w:r>
      <w:proofErr w:type="gramEnd"/>
      <w:r w:rsidRPr="00AB7C1E">
        <w:t xml:space="preserve"> de la TSB de los motivos en que se fundamenta esta opinión e indicar los cambios que podrían permitir el proseguimiento de los trabajos.</w:t>
      </w:r>
    </w:p>
    <w:p w14:paraId="66B314C9" w14:textId="7F31514F" w:rsidR="00AE2318" w:rsidRDefault="007B6316" w:rsidP="00AE2318">
      <w:r w:rsidRPr="00AB7C1E">
        <w:t>Atentamente,</w:t>
      </w:r>
    </w:p>
    <w:p w14:paraId="259E6905" w14:textId="2D230289" w:rsidR="00736785" w:rsidRPr="00736785" w:rsidRDefault="00830421" w:rsidP="00642C4B">
      <w:pPr>
        <w:spacing w:before="960"/>
      </w:pPr>
      <w:r>
        <w:rPr>
          <w:noProof/>
        </w:rPr>
        <w:drawing>
          <wp:anchor distT="0" distB="0" distL="114300" distR="114300" simplePos="0" relativeHeight="251658240" behindDoc="1" locked="0" layoutInCell="1" allowOverlap="1" wp14:anchorId="33250F52" wp14:editId="18440E3C">
            <wp:simplePos x="0" y="0"/>
            <wp:positionH relativeFrom="column">
              <wp:posOffset>-1916</wp:posOffset>
            </wp:positionH>
            <wp:positionV relativeFrom="paragraph">
              <wp:posOffset>158750</wp:posOffset>
            </wp:positionV>
            <wp:extent cx="736600" cy="331751"/>
            <wp:effectExtent l="0" t="0" r="6350" b="0"/>
            <wp:wrapNone/>
            <wp:docPr id="144858702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87026" name="Picture 1"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36600" cy="331751"/>
                    </a:xfrm>
                    <a:prstGeom prst="rect">
                      <a:avLst/>
                    </a:prstGeom>
                  </pic:spPr>
                </pic:pic>
              </a:graphicData>
            </a:graphic>
            <wp14:sizeRelH relativeFrom="margin">
              <wp14:pctWidth>0</wp14:pctWidth>
            </wp14:sizeRelH>
            <wp14:sizeRelV relativeFrom="margin">
              <wp14:pctHeight>0</wp14:pctHeight>
            </wp14:sizeRelV>
          </wp:anchor>
        </w:drawing>
      </w:r>
      <w:r w:rsidR="006012DF" w:rsidRPr="00736785">
        <w:t>Seizo Onoe</w:t>
      </w:r>
      <w:r w:rsidR="007B6316" w:rsidRPr="00736785">
        <w:br/>
      </w:r>
      <w:proofErr w:type="gramStart"/>
      <w:r w:rsidR="007B6316" w:rsidRPr="00736785">
        <w:t>Director</w:t>
      </w:r>
      <w:proofErr w:type="gramEnd"/>
      <w:r w:rsidR="007B6316" w:rsidRPr="00736785">
        <w:t xml:space="preserve"> de la Oficina de </w:t>
      </w:r>
      <w:r w:rsidR="007B6316" w:rsidRPr="00736785">
        <w:br/>
        <w:t>Normalización de las Telecomunicaciones</w:t>
      </w:r>
    </w:p>
    <w:p w14:paraId="1F88EBEC" w14:textId="77777777" w:rsidR="00306263" w:rsidRDefault="0061440B" w:rsidP="00AC7477">
      <w:pPr>
        <w:spacing w:before="960"/>
        <w:rPr>
          <w:bCs/>
        </w:rPr>
      </w:pPr>
      <w:r w:rsidRPr="00306263">
        <w:rPr>
          <w:b/>
          <w:bCs/>
        </w:rPr>
        <w:t>Anexos</w:t>
      </w:r>
      <w:r w:rsidRPr="00AB7C1E">
        <w:t xml:space="preserve">: </w:t>
      </w:r>
      <w:r w:rsidRPr="00AB7C1E">
        <w:rPr>
          <w:bCs/>
        </w:rPr>
        <w:t>2</w:t>
      </w:r>
    </w:p>
    <w:p w14:paraId="3D858A06" w14:textId="1CE1DA85" w:rsidR="0061440B" w:rsidRPr="00736785" w:rsidRDefault="0061440B" w:rsidP="0061440B">
      <w:pPr>
        <w:ind w:right="92"/>
        <w:rPr>
          <w:bCs/>
          <w:sz w:val="22"/>
          <w:szCs w:val="22"/>
        </w:rPr>
      </w:pPr>
      <w:r w:rsidRPr="00AB7C1E">
        <w:br w:type="page"/>
      </w:r>
    </w:p>
    <w:p w14:paraId="3F33AD66" w14:textId="714216DB" w:rsidR="0061440B" w:rsidRPr="00AB7C1E" w:rsidRDefault="0061440B" w:rsidP="00306263">
      <w:pPr>
        <w:pStyle w:val="AnnexNotitle"/>
      </w:pPr>
      <w:r w:rsidRPr="00AB7C1E">
        <w:lastRenderedPageBreak/>
        <w:t>Anexo 1</w:t>
      </w:r>
      <w:r w:rsidR="00306263">
        <w:br/>
      </w:r>
      <w:r w:rsidR="00306263">
        <w:br/>
      </w:r>
      <w:r w:rsidRPr="00AB7C1E">
        <w:t xml:space="preserve">Resumen y ubicación de los proyectos determinados de nuevas Recomendaciones </w:t>
      </w:r>
      <w:bookmarkStart w:id="4" w:name="lt_pId073"/>
      <w:r w:rsidR="006012DF" w:rsidRPr="00AB7C1E">
        <w:t>UIT</w:t>
      </w:r>
      <w:r w:rsidR="009A41ED">
        <w:noBreakHyphen/>
      </w:r>
      <w:r w:rsidR="006012DF" w:rsidRPr="00AB7C1E">
        <w:t xml:space="preserve">T </w:t>
      </w:r>
      <w:r w:rsidR="00400561" w:rsidRPr="00AB7C1E">
        <w:t xml:space="preserve">X.1150 (X.saf-dfs), </w:t>
      </w:r>
      <w:bookmarkStart w:id="5" w:name="_Hlk147301343"/>
      <w:r w:rsidR="00400561" w:rsidRPr="00AB7C1E">
        <w:t>X.1221 (</w:t>
      </w:r>
      <w:proofErr w:type="gramStart"/>
      <w:r w:rsidR="00400561" w:rsidRPr="00AB7C1E">
        <w:t>X.stie</w:t>
      </w:r>
      <w:proofErr w:type="gramEnd"/>
      <w:r w:rsidR="00400561" w:rsidRPr="00AB7C1E">
        <w:t>)</w:t>
      </w:r>
      <w:bookmarkEnd w:id="5"/>
      <w:r w:rsidR="00400561" w:rsidRPr="00AB7C1E">
        <w:t>, X.1222 (X.taeii), X.1280 (X.oob-sa), X.1281 (X.osia), Enmienda 1 a la X.1352, X</w:t>
      </w:r>
      <w:r w:rsidR="00FF7D4E" w:rsidRPr="00AB7C1E">
        <w:t>.</w:t>
      </w:r>
      <w:r w:rsidR="00400561" w:rsidRPr="00AB7C1E">
        <w:t>1373 revisada y X</w:t>
      </w:r>
      <w:r w:rsidR="00FF7D4E" w:rsidRPr="00AB7C1E">
        <w:t>.</w:t>
      </w:r>
      <w:r w:rsidR="00400561" w:rsidRPr="00AB7C1E">
        <w:t>1818 (X.5Gsec-ctrl)</w:t>
      </w:r>
      <w:bookmarkEnd w:id="4"/>
    </w:p>
    <w:p w14:paraId="54999639" w14:textId="23893AA5" w:rsidR="00400561" w:rsidRPr="00306263" w:rsidRDefault="00306263" w:rsidP="00306263">
      <w:pPr>
        <w:pStyle w:val="Heading1"/>
      </w:pPr>
      <w:r>
        <w:t>1</w:t>
      </w:r>
      <w:r>
        <w:tab/>
      </w:r>
      <w:proofErr w:type="gramStart"/>
      <w:r w:rsidR="00110FED" w:rsidRPr="00306263">
        <w:t>Proyecto</w:t>
      </w:r>
      <w:proofErr w:type="gramEnd"/>
      <w:r w:rsidR="00110FED" w:rsidRPr="00306263">
        <w:t xml:space="preserve"> de nueva Recomendación UIT-T </w:t>
      </w:r>
      <w:r w:rsidR="00400561" w:rsidRPr="00306263">
        <w:t>X.1150 (X.saf-dfs) [</w:t>
      </w:r>
      <w:hyperlink r:id="rId13" w:history="1">
        <w:r w:rsidR="00400561" w:rsidRPr="00306263">
          <w:rPr>
            <w:rStyle w:val="Hyperlink"/>
          </w:rPr>
          <w:t>R50</w:t>
        </w:r>
      </w:hyperlink>
      <w:r w:rsidR="00400561" w:rsidRPr="00306263">
        <w:t>]</w:t>
      </w:r>
    </w:p>
    <w:p w14:paraId="2324F5A8" w14:textId="10FD2BAA" w:rsidR="00400561" w:rsidRPr="00AB7C1E" w:rsidRDefault="00110FED" w:rsidP="00400561">
      <w:r w:rsidRPr="00AB7C1E">
        <w:t>Marco de garantía de seguridad para los servicios financieros digitales</w:t>
      </w:r>
    </w:p>
    <w:p w14:paraId="5BF0E58D" w14:textId="141100F4" w:rsidR="00400561" w:rsidRPr="00AB7C1E" w:rsidRDefault="00110FED" w:rsidP="00306263">
      <w:pPr>
        <w:pStyle w:val="Headingb0"/>
      </w:pPr>
      <w:r w:rsidRPr="00AB7C1E">
        <w:t>Resumen</w:t>
      </w:r>
    </w:p>
    <w:p w14:paraId="2E12117D" w14:textId="77777777" w:rsidR="00110FED" w:rsidRPr="00AB7C1E" w:rsidRDefault="00110FED" w:rsidP="00110FED">
      <w:pPr>
        <w:rPr>
          <w:sz w:val="22"/>
          <w:szCs w:val="22"/>
        </w:rPr>
      </w:pPr>
      <w:r w:rsidRPr="00AB7C1E">
        <w:t>Los servicios financieros digitales (SFD) constituyen un complejo ecosistema en el que participan diferentes partes interesadas, como bancos, proveedores de SFD, operadores de redes móviles (ORM), proveedores de plataformas de SFD, reguladores, agentes, comerciantes, proveedores de servicios de pago, fabricantes de dispositivos, desarrolladores de aplicaciones, proveedores de servicios de token, fabricantes de equipos originales (OEM) y clientes. La interdependencia de estas entidades y su dependencia de varias partes del ecosistema hace que los límites de la seguridad no se limiten al proveedor de SFD, sino que se extiendan a los clientes, los proveedores de red, los fabricantes de teléfonos móviles y otros terceros proveedores del ecosistema.</w:t>
      </w:r>
    </w:p>
    <w:p w14:paraId="0635A9FA" w14:textId="77777777" w:rsidR="00110FED" w:rsidRPr="00AB7C1E" w:rsidRDefault="00110FED" w:rsidP="00110FED">
      <w:pPr>
        <w:rPr>
          <w:sz w:val="22"/>
          <w:szCs w:val="22"/>
        </w:rPr>
      </w:pPr>
      <w:r w:rsidRPr="00AB7C1E">
        <w:t>El marco de garantía de seguridad de los SFD proporciona una descripción general de las amenazas y vulnerabilidades de seguridad a las que se enfrentan las partes interesadas en los SFD. Los reguladores, incluidas las autoridades de telecomunicaciones, la banca y los reguladores de pagos, también podrían recurrir al marco de garantía de seguridad de los SFD para establecer criterios de seguridad para los proveedores de SFD.</w:t>
      </w:r>
    </w:p>
    <w:p w14:paraId="53C68CD3" w14:textId="77777777" w:rsidR="00110FED" w:rsidRPr="00AB7C1E" w:rsidRDefault="00110FED" w:rsidP="00110FED">
      <w:pPr>
        <w:rPr>
          <w:sz w:val="22"/>
          <w:szCs w:val="22"/>
        </w:rPr>
      </w:pPr>
      <w:r w:rsidRPr="00AB7C1E">
        <w:t>La aplicación del marco complementará las prácticas establecidas de gestión de riesgos y seguridad de la información de las partes implicadas en el ecosistema de los SFD. Por ejemplo, los controles de seguridad de esta Recomendación pueden incluirse en el programa de seguridad de las tecnologías de la información y la comunicación (TIC) del proveedor de SFD.</w:t>
      </w:r>
    </w:p>
    <w:p w14:paraId="03154C8E" w14:textId="0F73B970" w:rsidR="00110FED" w:rsidRPr="00AB7C1E" w:rsidRDefault="00110FED" w:rsidP="00110FED">
      <w:pPr>
        <w:rPr>
          <w:sz w:val="22"/>
          <w:szCs w:val="22"/>
        </w:rPr>
      </w:pPr>
      <w:r w:rsidRPr="00AB7C1E">
        <w:t>Esta Recomendación describe un marco de garantía de seguridad de los SFD que proporciona un proceso sistemático de gestión de los riesgos de seguridad para evaluar las amenazas y vulnerabilidades e identifica los controles de seguridad apropiados que deben aplicar las partes interesadas de los SFD. Las amenazas relacionadas con los comerciantes, proveedores de servicios de pago y otras organizaciones de servicios financieros y las mitigaciones específicas para protegerse de las posibles amenazas quedan fuera del alcance de esta Recomendación.</w:t>
      </w:r>
    </w:p>
    <w:p w14:paraId="63268527" w14:textId="77777777" w:rsidR="00110FED" w:rsidRPr="00AB7C1E" w:rsidRDefault="00110FED" w:rsidP="00110FED">
      <w:pPr>
        <w:rPr>
          <w:sz w:val="22"/>
          <w:szCs w:val="22"/>
        </w:rPr>
      </w:pPr>
      <w:r w:rsidRPr="00AB7C1E">
        <w:t>El marco de garantía de seguridad de los SFD consta de los siguientes componentes:</w:t>
      </w:r>
    </w:p>
    <w:p w14:paraId="57CF1165" w14:textId="6E49ECDB" w:rsidR="00110FED" w:rsidRPr="00AC7477" w:rsidRDefault="00110FED" w:rsidP="00AC7477">
      <w:pPr>
        <w:pStyle w:val="enumlev1"/>
      </w:pPr>
      <w:r w:rsidRPr="00AC7477">
        <w:t>a)</w:t>
      </w:r>
      <w:r w:rsidR="00AC7477">
        <w:tab/>
      </w:r>
      <w:r w:rsidRPr="00AC7477">
        <w:t>Proceso de gestión de los riesgos de seguridad basado en [b-ISO/CEI 27005].</w:t>
      </w:r>
    </w:p>
    <w:p w14:paraId="3DDB3392" w14:textId="032D30DB" w:rsidR="00110FED" w:rsidRPr="00AC7477" w:rsidRDefault="00110FED" w:rsidP="00AC7477">
      <w:pPr>
        <w:pStyle w:val="enumlev1"/>
      </w:pPr>
      <w:r w:rsidRPr="00AC7477">
        <w:t>b)</w:t>
      </w:r>
      <w:r w:rsidR="00AC7477">
        <w:tab/>
      </w:r>
      <w:r w:rsidR="00736785" w:rsidRPr="00AC7477">
        <w:t>E</w:t>
      </w:r>
      <w:r w:rsidRPr="00AC7477">
        <w:t>valuación de las amenazas y vulnerabilidades de la infraestructura subyacente del operador de red móvil y el proveedor de SFD, las aplicaciones SFD, los servicios, las operaciones de red y los proveedores externos que son parte del ecosistema de prestación de SFD.</w:t>
      </w:r>
    </w:p>
    <w:p w14:paraId="49E51078" w14:textId="65EA1B55" w:rsidR="00400561" w:rsidRPr="006920D8" w:rsidRDefault="00110FED" w:rsidP="00AC7477">
      <w:pPr>
        <w:pStyle w:val="enumlev1"/>
      </w:pPr>
      <w:r w:rsidRPr="00AC7477">
        <w:t>c)</w:t>
      </w:r>
      <w:r w:rsidR="00AC7477">
        <w:tab/>
      </w:r>
      <w:r w:rsidRPr="00AC7477">
        <w:t>Estrategias de mitigación basadas en los resultados del apartado b) anterior. Las medidas de mitigación consisten en 119 controles de seguridad para las amenazas de seguridad descritas en la cláusula 13 de esta Recomendación</w:t>
      </w:r>
      <w:r w:rsidR="00400561" w:rsidRPr="00AC7477">
        <w:t>.</w:t>
      </w:r>
    </w:p>
    <w:p w14:paraId="73B59A31" w14:textId="12AB49D9" w:rsidR="00400561" w:rsidRPr="00AC7477" w:rsidRDefault="00AC7477" w:rsidP="00AC7477">
      <w:pPr>
        <w:pStyle w:val="Heading1"/>
      </w:pPr>
      <w:r>
        <w:lastRenderedPageBreak/>
        <w:t>2</w:t>
      </w:r>
      <w:r>
        <w:tab/>
      </w:r>
      <w:r w:rsidR="00110FED" w:rsidRPr="00AC7477">
        <w:t xml:space="preserve">Proyecto de nueva Recomendación UIT-T </w:t>
      </w:r>
      <w:r w:rsidR="00400561" w:rsidRPr="00AC7477">
        <w:t>X.1221 (</w:t>
      </w:r>
      <w:proofErr w:type="gramStart"/>
      <w:r w:rsidR="00400561" w:rsidRPr="00AC7477">
        <w:t>X.stie</w:t>
      </w:r>
      <w:proofErr w:type="gramEnd"/>
      <w:r w:rsidR="00400561" w:rsidRPr="00AC7477">
        <w:t>) [</w:t>
      </w:r>
      <w:hyperlink r:id="rId14" w:history="1">
        <w:r w:rsidR="00400561" w:rsidRPr="00AC7477">
          <w:rPr>
            <w:rStyle w:val="Hyperlink"/>
          </w:rPr>
          <w:t>R47</w:t>
        </w:r>
      </w:hyperlink>
      <w:r w:rsidR="00400561" w:rsidRPr="00AC7477">
        <w:t>]</w:t>
      </w:r>
    </w:p>
    <w:p w14:paraId="18E93866" w14:textId="39AB03EB" w:rsidR="00400561" w:rsidRPr="00AB7C1E" w:rsidRDefault="001252CF" w:rsidP="00400561">
      <w:r w:rsidRPr="00AB7C1E">
        <w:t>Expresión estructurada de información sobre amenazas (Structured Threat Information eXpression, STIX</w:t>
      </w:r>
      <w:r w:rsidR="00400561" w:rsidRPr="00AB7C1E">
        <w:t>)</w:t>
      </w:r>
    </w:p>
    <w:p w14:paraId="4625586D" w14:textId="436BAB25" w:rsidR="00400561" w:rsidRPr="00AB7C1E" w:rsidRDefault="001252CF" w:rsidP="00306263">
      <w:pPr>
        <w:pStyle w:val="Headingb0"/>
      </w:pPr>
      <w:r w:rsidRPr="00AB7C1E">
        <w:t>Resumen</w:t>
      </w:r>
    </w:p>
    <w:p w14:paraId="21BE305B" w14:textId="503CB597" w:rsidR="00400561" w:rsidRPr="00AB7C1E" w:rsidRDefault="001252CF" w:rsidP="00400561">
      <w:r w:rsidRPr="00AB7C1E">
        <w:t>Esta Recomendación define el lenguaje STIX (expresión estructurada de información sobre amenazas), utilizado para describir objetos de datos e intercambiar inteligencia sobre amenazas cibernéticas, junto con un formato de serialización JSON. STIX no depende de ningún mecanismo de transporte específico. Esta Recomendación equivale técnicamente a la norma STIX 2.1 de OASIS [b-STIX v2.1] y es compatible con la misma</w:t>
      </w:r>
      <w:r w:rsidR="00400561" w:rsidRPr="00AB7C1E">
        <w:t>.</w:t>
      </w:r>
    </w:p>
    <w:p w14:paraId="1851D5F9" w14:textId="2C8D12FE" w:rsidR="00400561" w:rsidRPr="00AC7477" w:rsidRDefault="00AC7477" w:rsidP="00AC7477">
      <w:pPr>
        <w:pStyle w:val="Heading1"/>
      </w:pPr>
      <w:r>
        <w:t>3</w:t>
      </w:r>
      <w:r>
        <w:tab/>
      </w:r>
      <w:r w:rsidR="00110FED" w:rsidRPr="00AC7477">
        <w:t xml:space="preserve">Proyecto de nueva Recomendación UIT-T </w:t>
      </w:r>
      <w:r w:rsidR="00400561" w:rsidRPr="00AC7477">
        <w:t>X.1222 (</w:t>
      </w:r>
      <w:proofErr w:type="gramStart"/>
      <w:r w:rsidR="00400561" w:rsidRPr="00AC7477">
        <w:t>X.taeii</w:t>
      </w:r>
      <w:proofErr w:type="gramEnd"/>
      <w:r w:rsidR="00400561" w:rsidRPr="00AC7477">
        <w:t>) [</w:t>
      </w:r>
      <w:hyperlink r:id="rId15" w:history="1">
        <w:r w:rsidR="00400561" w:rsidRPr="00AC7477">
          <w:rPr>
            <w:rStyle w:val="Hyperlink"/>
          </w:rPr>
          <w:t>R48</w:t>
        </w:r>
      </w:hyperlink>
      <w:r w:rsidR="00400561" w:rsidRPr="00AC7477">
        <w:t>]</w:t>
      </w:r>
    </w:p>
    <w:p w14:paraId="168A6CCE" w14:textId="3739A63B" w:rsidR="00400561" w:rsidRPr="00AB7C1E" w:rsidRDefault="001252CF" w:rsidP="001252CF">
      <w:bookmarkStart w:id="6" w:name="_Hlk113457282"/>
      <w:r w:rsidRPr="00AB7C1E">
        <w:t>Intercambio automatizado fiable de información de inteligencia (Trusted Automated eXchange of Intelligence Information, TAXII</w:t>
      </w:r>
      <w:r w:rsidR="00400561" w:rsidRPr="00AB7C1E">
        <w:t>)</w:t>
      </w:r>
    </w:p>
    <w:p w14:paraId="577CC8EA" w14:textId="4FE3E6FA" w:rsidR="00400561" w:rsidRPr="00AB7C1E" w:rsidRDefault="001252CF" w:rsidP="00306263">
      <w:pPr>
        <w:pStyle w:val="Headingb0"/>
      </w:pPr>
      <w:r w:rsidRPr="00AB7C1E">
        <w:t>Resumen</w:t>
      </w:r>
    </w:p>
    <w:bookmarkEnd w:id="6"/>
    <w:p w14:paraId="6934AE0B" w14:textId="440F3EB1" w:rsidR="00400561" w:rsidRPr="00AB7C1E" w:rsidRDefault="001252CF" w:rsidP="001252CF">
      <w:r w:rsidRPr="00AB7C1E">
        <w:t>Esta Recomendación es un protocolo de la capa de aplicación para la comunicación de información sobre ciberamenazas de manera sencilla y escalable. Esta especificación define la interfaz de programación de aplicaciones (API) de TAXII REST y sus recursos, junto con los requisitos para las implementaciones del cliente y del servidor TAXII. TAXII es un conjunto de métodos para compartir y comunicar objetos de datos relevantes para el intercambio de inteligencia sobre ciberamenazas. Esta Recomendación equivale técnicamente a la norma TAXII versión 2.1 de OASIS [b-TAXII v2.1] y es compatible con la misma</w:t>
      </w:r>
      <w:r w:rsidR="00400561" w:rsidRPr="00AB7C1E">
        <w:t>.</w:t>
      </w:r>
    </w:p>
    <w:p w14:paraId="2505D190" w14:textId="2230BDA8" w:rsidR="00400561" w:rsidRPr="00AC7477" w:rsidRDefault="00AC7477" w:rsidP="00AC7477">
      <w:pPr>
        <w:pStyle w:val="Heading1"/>
      </w:pPr>
      <w:r>
        <w:t>4</w:t>
      </w:r>
      <w:r>
        <w:tab/>
      </w:r>
      <w:proofErr w:type="gramStart"/>
      <w:r w:rsidR="00110FED" w:rsidRPr="00AC7477">
        <w:t>Proyecto</w:t>
      </w:r>
      <w:proofErr w:type="gramEnd"/>
      <w:r w:rsidR="00110FED" w:rsidRPr="00AC7477">
        <w:t xml:space="preserve"> de nueva Recomendación UIT-T </w:t>
      </w:r>
      <w:r w:rsidR="00400561" w:rsidRPr="00AC7477">
        <w:t>X.1280 (X.oob-sa) [</w:t>
      </w:r>
      <w:hyperlink r:id="rId16" w:history="1">
        <w:r w:rsidR="00400561" w:rsidRPr="00AC7477">
          <w:rPr>
            <w:rStyle w:val="Hyperlink"/>
          </w:rPr>
          <w:t>R51</w:t>
        </w:r>
      </w:hyperlink>
      <w:r w:rsidR="00400561" w:rsidRPr="00AC7477">
        <w:t>]</w:t>
      </w:r>
    </w:p>
    <w:p w14:paraId="6B453490" w14:textId="3039DF56" w:rsidR="00400561" w:rsidRPr="00AB7C1E" w:rsidRDefault="001252CF" w:rsidP="001252CF">
      <w:r w:rsidRPr="00AB7C1E">
        <w:t>Marco para la autenticación de servidor fuera de banda mediante dispositivos móviles</w:t>
      </w:r>
    </w:p>
    <w:p w14:paraId="58FE5B71" w14:textId="7B00E807" w:rsidR="00400561" w:rsidRPr="00AB7C1E" w:rsidRDefault="001252CF" w:rsidP="00306263">
      <w:pPr>
        <w:pStyle w:val="Headingb0"/>
      </w:pPr>
      <w:r w:rsidRPr="00AB7C1E">
        <w:t>Resumen</w:t>
      </w:r>
    </w:p>
    <w:p w14:paraId="75E7F50F" w14:textId="77777777" w:rsidR="001252CF" w:rsidRPr="00AB7C1E" w:rsidRDefault="001252CF" w:rsidP="001252CF">
      <w:pPr>
        <w:rPr>
          <w:rFonts w:eastAsia="SimSun"/>
          <w:sz w:val="22"/>
          <w:szCs w:val="22"/>
        </w:rPr>
      </w:pPr>
      <w:r w:rsidRPr="00AB7C1E">
        <w:t>En las normas de tecnología de autenticación, la resistencia a la suplantación del verificador se considera un requisito del más alto nivel en lo que respecta a la garantía de autenticación. Sin embargo, las tecnologías de autenticación existentes se concentran en la autenticación del usuario, por lo que existe una limitación al no poderse verificar explícitamente a los proveedores de servicio.</w:t>
      </w:r>
    </w:p>
    <w:p w14:paraId="706102CE" w14:textId="5EB132A3" w:rsidR="00400561" w:rsidRPr="00AB7C1E" w:rsidRDefault="001252CF" w:rsidP="001252CF">
      <w:r w:rsidRPr="00AB7C1E">
        <w:t>Esta Recomendación describe un marco para la autenticación del servidor fuera de banda utilizando dispositivos móviles, que resuelve la vulnerabilidad de la suplantación del verificador y la limitación de la dependencia del terminal de usuario respecto de los autenticadores existentes. Permite al usuario proporcionar información de autenticación de usuario después de haber verificado explícita e independientemente al proveedor de servicio en el proceso de autenticación de usuario desde cualquier terminal de usuario</w:t>
      </w:r>
      <w:r w:rsidR="00400561" w:rsidRPr="00AB7C1E">
        <w:t>.</w:t>
      </w:r>
    </w:p>
    <w:p w14:paraId="54B59165" w14:textId="58098733" w:rsidR="00400561" w:rsidRPr="00AC7477" w:rsidRDefault="00AC7477" w:rsidP="00AC7477">
      <w:pPr>
        <w:pStyle w:val="Heading1"/>
      </w:pPr>
      <w:r>
        <w:t>5</w:t>
      </w:r>
      <w:r>
        <w:tab/>
      </w:r>
      <w:r w:rsidR="00110FED" w:rsidRPr="00AC7477">
        <w:t xml:space="preserve">Proyecto de nueva Recomendación UIT-T </w:t>
      </w:r>
      <w:r w:rsidR="00400561" w:rsidRPr="00AC7477">
        <w:t>X.1281 (</w:t>
      </w:r>
      <w:proofErr w:type="gramStart"/>
      <w:r w:rsidR="00400561" w:rsidRPr="00AC7477">
        <w:t>X.osia</w:t>
      </w:r>
      <w:proofErr w:type="gramEnd"/>
      <w:r w:rsidR="00400561" w:rsidRPr="00AC7477">
        <w:t>) [</w:t>
      </w:r>
      <w:hyperlink r:id="rId17" w:history="1">
        <w:r w:rsidR="00400561" w:rsidRPr="00AC7477">
          <w:rPr>
            <w:rStyle w:val="Hyperlink"/>
          </w:rPr>
          <w:t>R52</w:t>
        </w:r>
      </w:hyperlink>
      <w:r w:rsidR="00400561" w:rsidRPr="00AC7477">
        <w:t>]</w:t>
      </w:r>
    </w:p>
    <w:p w14:paraId="5497B392" w14:textId="70C22A15" w:rsidR="00400561" w:rsidRPr="00AB7C1E" w:rsidRDefault="001252CF" w:rsidP="001252CF">
      <w:r w:rsidRPr="00AB7C1E">
        <w:t>Interfaz de programación de aplicaciones (API) para la interoperabilidad de los sistemas de gestión de identidades</w:t>
      </w:r>
    </w:p>
    <w:p w14:paraId="5AD0C6BF" w14:textId="2BFA9FDC" w:rsidR="00400561" w:rsidRPr="00AB7C1E" w:rsidRDefault="001252CF" w:rsidP="00306263">
      <w:pPr>
        <w:pStyle w:val="Headingb0"/>
      </w:pPr>
      <w:r w:rsidRPr="00AB7C1E">
        <w:lastRenderedPageBreak/>
        <w:t>Resumen</w:t>
      </w:r>
    </w:p>
    <w:p w14:paraId="16657E02" w14:textId="6A3EB0B3" w:rsidR="00400561" w:rsidRPr="00AB7C1E" w:rsidRDefault="001252CF" w:rsidP="001252CF">
      <w:r w:rsidRPr="00AB7C1E">
        <w:t>En esta Recomendación se describe un conjunto de interfaces de programa de aplicaciones (API) normalizadas que son necesarias para conectar los diversos componentes de una solución de gestión de identidades</w:t>
      </w:r>
      <w:r w:rsidR="00400561" w:rsidRPr="00AB7C1E">
        <w:t>.</w:t>
      </w:r>
    </w:p>
    <w:p w14:paraId="4E9FC66D" w14:textId="682AD5E5" w:rsidR="00400561" w:rsidRPr="00AC7477" w:rsidRDefault="00AC7477" w:rsidP="00AC7477">
      <w:pPr>
        <w:pStyle w:val="Heading1"/>
      </w:pPr>
      <w:r>
        <w:t>6</w:t>
      </w:r>
      <w:r>
        <w:tab/>
      </w:r>
      <w:proofErr w:type="gramStart"/>
      <w:r w:rsidR="00110FED" w:rsidRPr="00AC7477">
        <w:t>Proyecto</w:t>
      </w:r>
      <w:proofErr w:type="gramEnd"/>
      <w:r w:rsidR="00110FED" w:rsidRPr="00AC7477">
        <w:t xml:space="preserve"> de nueva Enmienda</w:t>
      </w:r>
      <w:r w:rsidR="00400561" w:rsidRPr="00AC7477">
        <w:t xml:space="preserve"> 1 </w:t>
      </w:r>
      <w:r w:rsidR="00110FED" w:rsidRPr="00AC7477">
        <w:t xml:space="preserve">a la Recomendación UIT-T </w:t>
      </w:r>
      <w:r w:rsidR="00400561" w:rsidRPr="00AC7477">
        <w:t>X.1352 [</w:t>
      </w:r>
      <w:hyperlink r:id="rId18" w:history="1">
        <w:r w:rsidR="00400561" w:rsidRPr="00AC7477">
          <w:rPr>
            <w:rStyle w:val="Hyperlink"/>
          </w:rPr>
          <w:t>R49</w:t>
        </w:r>
      </w:hyperlink>
      <w:r w:rsidR="00400561" w:rsidRPr="00AC7477">
        <w:t>]</w:t>
      </w:r>
    </w:p>
    <w:p w14:paraId="628C2A2C" w14:textId="6B780D39" w:rsidR="00400561" w:rsidRPr="00AB7C1E" w:rsidRDefault="001252CF" w:rsidP="00400561">
      <w:bookmarkStart w:id="7" w:name="_Hlk147303868"/>
      <w:r w:rsidRPr="00AB7C1E">
        <w:t>Requisitos de seguridad para los dispositivos y pasarelas de Internet de las cosas (IoT)</w:t>
      </w:r>
    </w:p>
    <w:p w14:paraId="363ACD60" w14:textId="142A53CD" w:rsidR="00400561" w:rsidRPr="00AB7C1E" w:rsidRDefault="001252CF" w:rsidP="00306263">
      <w:pPr>
        <w:pStyle w:val="Headingb0"/>
      </w:pPr>
      <w:r w:rsidRPr="00AB7C1E">
        <w:t>Resumen</w:t>
      </w:r>
    </w:p>
    <w:bookmarkEnd w:id="7"/>
    <w:p w14:paraId="20DBDA89" w14:textId="77777777" w:rsidR="00191DED" w:rsidRPr="00AB7C1E" w:rsidRDefault="00191DED" w:rsidP="00191DED">
      <w:pPr>
        <w:rPr>
          <w:rFonts w:eastAsia="SimSun"/>
          <w:sz w:val="22"/>
          <w:szCs w:val="22"/>
        </w:rPr>
      </w:pPr>
      <w:r w:rsidRPr="00AB7C1E">
        <w:t>La Recomendación UIT-T X.1352 establece los requisitos detallados para cinco dimensiones de seguridad aplicables a dispositivos y pasarelas de Internet de las cosas (IoT): autentificación; criptografía; seguridad de los datos; seguridad de plataformas de dispositivos; y seguridad física, partiendo del modelo de referencia IoT especificado en la Recomendación UIT-T Y.4100 y el marco de seguridad IoT en la Recomendación UIT-T X.1361.</w:t>
      </w:r>
    </w:p>
    <w:p w14:paraId="6DE69141" w14:textId="2D5B74AA" w:rsidR="00400561" w:rsidRPr="00AB7C1E" w:rsidRDefault="00191DED" w:rsidP="00191DED">
      <w:r w:rsidRPr="00AB7C1E">
        <w:t xml:space="preserve">La dimensión de la autenticación incluye la autenticación del usuario, la utilización segura de las credenciales de autenticación y la autenticación de los dispositivos. La dimensión del cifrado incluye la utilización del cifrado seguro, la gestión segura de claves y la generación segura de números aleatorios. La dimensión de la seguridad de datos incluye la seguridad en la transmisión y el almacenamiento, el control del flujo de información, la seguridad en la gestión de sesiones y la gestión de la información de identificación personal (PII). La dimensión de seguridad de la plataforma del dispositivo consta de cinco aspectos: seguridad del </w:t>
      </w:r>
      <w:r w:rsidRPr="009A41ED">
        <w:rPr>
          <w:i/>
          <w:iCs/>
        </w:rPr>
        <w:t>software</w:t>
      </w:r>
      <w:r w:rsidRPr="00AB7C1E">
        <w:t>; actualización segura; gestión de la seguridad; registro; y sello de tiempo. De manera análoga, la dimensión de la seguridad física incluye la seguridad de la interfaz física y la protección contra las manipulaciones</w:t>
      </w:r>
      <w:r w:rsidR="00400561" w:rsidRPr="00AB7C1E">
        <w:t>.</w:t>
      </w:r>
    </w:p>
    <w:p w14:paraId="415F6BDD" w14:textId="283CA8F1" w:rsidR="00400561" w:rsidRPr="00AC7477" w:rsidRDefault="00AC7477" w:rsidP="00AC7477">
      <w:pPr>
        <w:pStyle w:val="Heading1"/>
      </w:pPr>
      <w:r>
        <w:t>7</w:t>
      </w:r>
      <w:r>
        <w:tab/>
      </w:r>
      <w:proofErr w:type="gramStart"/>
      <w:r w:rsidR="00110FED" w:rsidRPr="00AC7477">
        <w:t>Proyecto</w:t>
      </w:r>
      <w:proofErr w:type="gramEnd"/>
      <w:r w:rsidR="00110FED" w:rsidRPr="00AC7477">
        <w:t xml:space="preserve"> de revisión de la</w:t>
      </w:r>
      <w:r w:rsidR="00400561" w:rsidRPr="00AC7477">
        <w:t xml:space="preserve"> </w:t>
      </w:r>
      <w:r w:rsidR="00110FED" w:rsidRPr="00AC7477">
        <w:t xml:space="preserve">Recomendación UIT-T </w:t>
      </w:r>
      <w:r w:rsidR="00400561" w:rsidRPr="00AC7477">
        <w:t>X.1373 [</w:t>
      </w:r>
      <w:hyperlink r:id="rId19" w:history="1">
        <w:r w:rsidR="00400561" w:rsidRPr="00AC7477">
          <w:rPr>
            <w:rStyle w:val="Hyperlink"/>
          </w:rPr>
          <w:t>R53</w:t>
        </w:r>
      </w:hyperlink>
      <w:r w:rsidR="00400561" w:rsidRPr="00AC7477">
        <w:t>]</w:t>
      </w:r>
    </w:p>
    <w:p w14:paraId="04B9E3DE" w14:textId="63D54E0E" w:rsidR="00400561" w:rsidRPr="00AB7C1E" w:rsidRDefault="00191DED" w:rsidP="001252CF">
      <w:bookmarkStart w:id="8" w:name="_Hlk147304018"/>
      <w:r w:rsidRPr="00AB7C1E">
        <w:t xml:space="preserve">Capacidad de actualización segura de </w:t>
      </w:r>
      <w:r w:rsidRPr="009A41ED">
        <w:rPr>
          <w:i/>
          <w:iCs/>
        </w:rPr>
        <w:t>software</w:t>
      </w:r>
      <w:r w:rsidRPr="00AB7C1E">
        <w:t xml:space="preserve"> en dispositivos de comunicación de sistemas de transporte inteligentes</w:t>
      </w:r>
    </w:p>
    <w:p w14:paraId="6A67624F" w14:textId="4B28054A" w:rsidR="00400561" w:rsidRPr="00AB7C1E" w:rsidRDefault="00191DED" w:rsidP="00306263">
      <w:pPr>
        <w:pStyle w:val="Headingb0"/>
      </w:pPr>
      <w:r w:rsidRPr="00AB7C1E">
        <w:t>Resumen</w:t>
      </w:r>
    </w:p>
    <w:p w14:paraId="1A9305A6" w14:textId="4A69770C" w:rsidR="00191DED" w:rsidRPr="00AB7C1E" w:rsidRDefault="00191DED" w:rsidP="00191DED">
      <w:pPr>
        <w:keepNext/>
        <w:keepLines/>
        <w:rPr>
          <w:rFonts w:eastAsia="SimSun"/>
          <w:sz w:val="22"/>
          <w:szCs w:val="22"/>
        </w:rPr>
      </w:pPr>
      <w:r w:rsidRPr="00AB7C1E">
        <w:t xml:space="preserve">A medida que mejoran las tecnologías de los Sistemas Inteligentes de Transporte (ITS), se ha generalizado la comunicación de los vehículos con otras entidades, por </w:t>
      </w:r>
      <w:proofErr w:type="gramStart"/>
      <w:r w:rsidRPr="00AB7C1E">
        <w:t>ejemplo</w:t>
      </w:r>
      <w:proofErr w:type="gramEnd"/>
      <w:r w:rsidRPr="00AB7C1E">
        <w:t xml:space="preserve"> con otros vehículos, así como las comunicaciones de vehículo a vehículo (V2V) y de vehículo a infraestructura (V2I). Los dispositivos eléctricos dentro de un vehículo, como las unidades de control electrónico (ECU), los dispositivos de peaje eléctrico (ETC) y los sistemas de navegación para vehículos son cada vez más sofisticados. En consecuencia, los módulos de </w:t>
      </w:r>
      <w:r w:rsidRPr="009A41ED">
        <w:rPr>
          <w:i/>
          <w:iCs/>
        </w:rPr>
        <w:t>software</w:t>
      </w:r>
      <w:r w:rsidRPr="00AB7C1E">
        <w:t xml:space="preserve"> integrados en estos dispositivos electrónicos deben mantenerse debidamente actualizados para corregir errores y mejorar el rendimiento y la seguridad, con el fin de evitar accidentes.</w:t>
      </w:r>
    </w:p>
    <w:p w14:paraId="1DECB1B3" w14:textId="154C6F80" w:rsidR="00400561" w:rsidRPr="00AB7C1E" w:rsidRDefault="00191DED" w:rsidP="00191DED">
      <w:r w:rsidRPr="00AB7C1E">
        <w:t xml:space="preserve">Para cumplir los requisitos anteriores, la Recomendación UIT-T X.1373 proporciona procedimientos seguros de actualización de </w:t>
      </w:r>
      <w:r w:rsidRPr="009A41ED">
        <w:rPr>
          <w:i/>
          <w:iCs/>
        </w:rPr>
        <w:t>software</w:t>
      </w:r>
      <w:r w:rsidRPr="00AB7C1E">
        <w:t xml:space="preserve"> entre un servidor de actualización de </w:t>
      </w:r>
      <w:r w:rsidRPr="009A41ED">
        <w:rPr>
          <w:i/>
          <w:iCs/>
        </w:rPr>
        <w:t>software</w:t>
      </w:r>
      <w:r w:rsidRPr="00AB7C1E">
        <w:t xml:space="preserve"> y los vehículos con los controles de seguridad adecuados, incluidos los mensajes de comunicación en el vehículo. Esta Recomendación puede ser de utilidad para fabricantes de automóviles y para industrias relacionadas con los STI, como conjunto de capacidades normalizadas para el desarrollo de prácticas idóneas</w:t>
      </w:r>
      <w:r w:rsidR="00400561" w:rsidRPr="00AB7C1E">
        <w:t>.</w:t>
      </w:r>
    </w:p>
    <w:bookmarkEnd w:id="8"/>
    <w:p w14:paraId="1C69D48E" w14:textId="73ED5213" w:rsidR="00400561" w:rsidRPr="00AC7477" w:rsidRDefault="00AC7477" w:rsidP="00AC7477">
      <w:pPr>
        <w:pStyle w:val="Heading1"/>
      </w:pPr>
      <w:r>
        <w:lastRenderedPageBreak/>
        <w:t>8</w:t>
      </w:r>
      <w:r>
        <w:tab/>
      </w:r>
      <w:proofErr w:type="gramStart"/>
      <w:r w:rsidR="00110FED" w:rsidRPr="00AC7477">
        <w:t>Proyecto</w:t>
      </w:r>
      <w:proofErr w:type="gramEnd"/>
      <w:r w:rsidR="00110FED" w:rsidRPr="00AC7477">
        <w:t xml:space="preserve"> de nueva Recomendación UIT-T </w:t>
      </w:r>
      <w:r w:rsidR="00400561" w:rsidRPr="00AC7477">
        <w:t>X.1818 (X.5Gsec-ctrl) [</w:t>
      </w:r>
      <w:hyperlink r:id="rId20" w:history="1">
        <w:r w:rsidR="00400561" w:rsidRPr="00AC7477">
          <w:rPr>
            <w:rStyle w:val="Hyperlink"/>
          </w:rPr>
          <w:t>R46</w:t>
        </w:r>
      </w:hyperlink>
      <w:r w:rsidR="00400561" w:rsidRPr="00AC7477">
        <w:t>]</w:t>
      </w:r>
    </w:p>
    <w:p w14:paraId="230C0BBA" w14:textId="0920549E" w:rsidR="00400561" w:rsidRPr="00AB7C1E" w:rsidRDefault="00191DED" w:rsidP="00400561">
      <w:r w:rsidRPr="00AB7C1E">
        <w:t xml:space="preserve">Controles de seguridad para la operación y el mantenimiento de sistemas de redes </w:t>
      </w:r>
      <w:r w:rsidR="00400561" w:rsidRPr="00AB7C1E">
        <w:t>IMT-2020/5G</w:t>
      </w:r>
    </w:p>
    <w:p w14:paraId="202AA4A1" w14:textId="2D635EB7" w:rsidR="00400561" w:rsidRPr="00AB7C1E" w:rsidRDefault="00191DED" w:rsidP="00306263">
      <w:pPr>
        <w:pStyle w:val="Headingb0"/>
      </w:pPr>
      <w:r w:rsidRPr="00AB7C1E">
        <w:t>Resumen</w:t>
      </w:r>
    </w:p>
    <w:p w14:paraId="6D2F6D22" w14:textId="70E6D3E7" w:rsidR="00191DED" w:rsidRPr="00AB7C1E" w:rsidRDefault="00191DED" w:rsidP="00191DED">
      <w:pPr>
        <w:rPr>
          <w:rFonts w:eastAsia="SimSun"/>
          <w:sz w:val="22"/>
          <w:szCs w:val="22"/>
        </w:rPr>
      </w:pPr>
      <w:r w:rsidRPr="00AB7C1E">
        <w:t>Esta Recomendación contiene directrices detalladas sobre la protección del sistema IMT-2020 (también conocido como 5G) durante las fases de operación y mantenimiento en la práctica. Las amenazas de seguridad descritas y los controles de seguridad recomendados son el resultado de un análisis de amenazas.</w:t>
      </w:r>
    </w:p>
    <w:p w14:paraId="0C3EA92F" w14:textId="4F7AAFFB" w:rsidR="00400561" w:rsidRPr="00AB7C1E" w:rsidRDefault="00191DED" w:rsidP="00191DED">
      <w:r w:rsidRPr="00AB7C1E">
        <w:t>Esta Recomendación se centra en el sistema 5G autónomo (5G SA), así como en la infraestructura virtual y los correspondientes sistemas de gestión constituirán previsiblemente la base para el despliegue de la 5G. Además de los aspectos tecnológicos, también se han tomado en consideración los aspectos humanos y los procesos que afectan a la seguridad de los servicios 5G. Los controles de seguridad recomendados se describen a alto nivel y, cuando procede, se hace referencia a las normas y prácticas idóneas establecidas</w:t>
      </w:r>
      <w:r w:rsidR="00400561" w:rsidRPr="00AB7C1E">
        <w:t>.</w:t>
      </w:r>
    </w:p>
    <w:p w14:paraId="6198A7E1" w14:textId="386D5F7F" w:rsidR="00A87D62" w:rsidRPr="00AB7C1E" w:rsidRDefault="00A87D62" w:rsidP="00306263">
      <w:r w:rsidRPr="00AB7C1E">
        <w:br w:type="page"/>
      </w:r>
    </w:p>
    <w:p w14:paraId="67F9CE1C" w14:textId="3DA1CA91" w:rsidR="0061440B" w:rsidRPr="00AB7C1E" w:rsidRDefault="0061440B" w:rsidP="00010EC1">
      <w:pPr>
        <w:pStyle w:val="AnnexNotitle"/>
        <w:spacing w:after="240"/>
      </w:pPr>
      <w:r w:rsidRPr="00AB7C1E">
        <w:lastRenderedPageBreak/>
        <w:t>Anexo 2</w:t>
      </w:r>
      <w:r w:rsidR="00AC7477">
        <w:br/>
      </w:r>
      <w:r w:rsidR="00AC7477">
        <w:br/>
      </w:r>
      <w:r w:rsidRPr="00AB7C1E">
        <w:t xml:space="preserve">Asunto: Respuesta del Estado Miembro a la Circular </w:t>
      </w:r>
      <w:r w:rsidR="00FF7D4E" w:rsidRPr="00AB7C1E">
        <w:t>142</w:t>
      </w:r>
      <w:r w:rsidR="009D526C" w:rsidRPr="00AB7C1E">
        <w:t xml:space="preserve"> </w:t>
      </w:r>
      <w:r w:rsidRPr="00AB7C1E">
        <w:t>de la TSB:</w:t>
      </w:r>
      <w:r w:rsidRPr="00AB7C1E">
        <w:br/>
        <w:t xml:space="preserve">Consulta sobre los proyectos determinados de nuevas Recomendaciones </w:t>
      </w:r>
      <w:r w:rsidR="009D526C" w:rsidRPr="00AB7C1E">
        <w:t xml:space="preserve">UIT-T </w:t>
      </w:r>
      <w:r w:rsidR="00010EC1">
        <w:br/>
      </w:r>
      <w:r w:rsidR="00400561" w:rsidRPr="00AB7C1E">
        <w:t>X.1150 (X.saf-dfs), X.1221 (</w:t>
      </w:r>
      <w:proofErr w:type="gramStart"/>
      <w:r w:rsidR="00400561" w:rsidRPr="00AB7C1E">
        <w:t>X.stie</w:t>
      </w:r>
      <w:proofErr w:type="gramEnd"/>
      <w:r w:rsidR="00400561" w:rsidRPr="00AB7C1E">
        <w:t>), X.1222 (X.taeii), X.1280 (X.oob-sa), X.1281 (X.osia), Enmienda 1 a la X.1352, X</w:t>
      </w:r>
      <w:r w:rsidR="00FF7D4E" w:rsidRPr="00AB7C1E">
        <w:t>.</w:t>
      </w:r>
      <w:r w:rsidR="00400561" w:rsidRPr="00AB7C1E">
        <w:t>1373 revisada y X</w:t>
      </w:r>
      <w:r w:rsidR="00FF7D4E" w:rsidRPr="00AB7C1E">
        <w:t>.</w:t>
      </w:r>
      <w:r w:rsidR="00400561" w:rsidRPr="00AB7C1E">
        <w:t>1818 (X.5Gsec-ctrl</w:t>
      </w:r>
      <w:r w:rsidR="009D526C" w:rsidRPr="00AB7C1E">
        <w:t>)</w:t>
      </w:r>
    </w:p>
    <w:tbl>
      <w:tblPr>
        <w:tblW w:w="5000" w:type="pct"/>
        <w:jc w:val="center"/>
        <w:tblLayout w:type="fixed"/>
        <w:tblLook w:val="04A0" w:firstRow="1" w:lastRow="0" w:firstColumn="1" w:lastColumn="0" w:noHBand="0" w:noVBand="1"/>
      </w:tblPr>
      <w:tblGrid>
        <w:gridCol w:w="1162"/>
        <w:gridCol w:w="4382"/>
        <w:gridCol w:w="1215"/>
        <w:gridCol w:w="2880"/>
      </w:tblGrid>
      <w:tr w:rsidR="0061440B" w:rsidRPr="00AB7C1E" w14:paraId="7FF1B04B" w14:textId="77777777" w:rsidTr="00010EC1">
        <w:trPr>
          <w:jc w:val="center"/>
        </w:trPr>
        <w:tc>
          <w:tcPr>
            <w:tcW w:w="1162" w:type="dxa"/>
            <w:shd w:val="clear" w:color="auto" w:fill="auto"/>
          </w:tcPr>
          <w:p w14:paraId="7564F663" w14:textId="77777777" w:rsidR="0061440B" w:rsidRPr="00AB7C1E" w:rsidRDefault="0061440B" w:rsidP="00A523F3">
            <w:pPr>
              <w:ind w:right="92"/>
              <w:jc w:val="right"/>
              <w:rPr>
                <w:b/>
                <w:bCs/>
              </w:rPr>
            </w:pPr>
            <w:r w:rsidRPr="00AB7C1E">
              <w:rPr>
                <w:b/>
                <w:bCs/>
              </w:rPr>
              <w:t>A:</w:t>
            </w:r>
          </w:p>
        </w:tc>
        <w:tc>
          <w:tcPr>
            <w:tcW w:w="4382" w:type="dxa"/>
            <w:tcBorders>
              <w:right w:val="single" w:sz="8" w:space="0" w:color="auto"/>
            </w:tcBorders>
            <w:shd w:val="clear" w:color="auto" w:fill="auto"/>
          </w:tcPr>
          <w:p w14:paraId="3D4D3B96" w14:textId="24EBD677" w:rsidR="0061440B" w:rsidRPr="00AB7C1E" w:rsidRDefault="0061440B" w:rsidP="00EC3DE5">
            <w:bookmarkStart w:id="9" w:name="lt_pId115"/>
            <w:r w:rsidRPr="00AB7C1E">
              <w:t xml:space="preserve">Director </w:t>
            </w:r>
            <w:bookmarkStart w:id="10" w:name="lt_pId116"/>
            <w:bookmarkEnd w:id="9"/>
            <w:r w:rsidRPr="00AB7C1E">
              <w:t xml:space="preserve">de la </w:t>
            </w:r>
            <w:r w:rsidR="00010EC1">
              <w:br/>
            </w:r>
            <w:r w:rsidRPr="00AB7C1E">
              <w:t>Oficina de Normalización de las Telecomunicaciones,</w:t>
            </w:r>
            <w:bookmarkEnd w:id="10"/>
            <w:r w:rsidRPr="00AB7C1E">
              <w:t xml:space="preserve"> </w:t>
            </w:r>
            <w:r w:rsidRPr="00AB7C1E">
              <w:br/>
              <w:t>Unión Internacional de Telecomunicaciones</w:t>
            </w:r>
            <w:r w:rsidRPr="00AB7C1E">
              <w:br/>
              <w:t>Place des Nations</w:t>
            </w:r>
            <w:r w:rsidRPr="00AB7C1E">
              <w:br/>
              <w:t>CH 1211 Ginebra 20, Suiza</w:t>
            </w:r>
          </w:p>
        </w:tc>
        <w:tc>
          <w:tcPr>
            <w:tcW w:w="1215" w:type="dxa"/>
            <w:tcBorders>
              <w:left w:val="single" w:sz="4" w:space="0" w:color="auto"/>
            </w:tcBorders>
            <w:shd w:val="clear" w:color="auto" w:fill="auto"/>
            <w:tcMar>
              <w:left w:w="115" w:type="dxa"/>
              <w:right w:w="115" w:type="dxa"/>
            </w:tcMar>
          </w:tcPr>
          <w:p w14:paraId="56F3BAA3" w14:textId="77777777" w:rsidR="0061440B" w:rsidRPr="00AB7C1E" w:rsidRDefault="0061440B" w:rsidP="00A523F3">
            <w:pPr>
              <w:ind w:right="92"/>
              <w:jc w:val="right"/>
              <w:rPr>
                <w:b/>
                <w:bCs/>
              </w:rPr>
            </w:pPr>
            <w:r w:rsidRPr="00AB7C1E">
              <w:rPr>
                <w:b/>
                <w:bCs/>
              </w:rPr>
              <w:t>De:</w:t>
            </w:r>
          </w:p>
        </w:tc>
        <w:tc>
          <w:tcPr>
            <w:tcW w:w="2880" w:type="dxa"/>
            <w:shd w:val="clear" w:color="auto" w:fill="auto"/>
          </w:tcPr>
          <w:p w14:paraId="5F4BF48D" w14:textId="77777777" w:rsidR="0061440B" w:rsidRPr="00AB7C1E" w:rsidRDefault="0061440B" w:rsidP="00EC3DE5">
            <w:r w:rsidRPr="00AB7C1E">
              <w:rPr>
                <w:highlight w:val="green"/>
              </w:rPr>
              <w:t>[Nombre]</w:t>
            </w:r>
            <w:r w:rsidRPr="00AB7C1E">
              <w:rPr>
                <w:highlight w:val="green"/>
              </w:rPr>
              <w:br/>
              <w:t>[Cargo oficial/Título]</w:t>
            </w:r>
            <w:r w:rsidRPr="00AB7C1E">
              <w:rPr>
                <w:highlight w:val="green"/>
              </w:rPr>
              <w:br/>
              <w:t>[Dirección]</w:t>
            </w:r>
          </w:p>
        </w:tc>
      </w:tr>
      <w:tr w:rsidR="0061440B" w:rsidRPr="00AB7C1E" w14:paraId="323AA660" w14:textId="77777777" w:rsidTr="00010EC1">
        <w:trPr>
          <w:jc w:val="center"/>
        </w:trPr>
        <w:tc>
          <w:tcPr>
            <w:tcW w:w="1162" w:type="dxa"/>
            <w:shd w:val="clear" w:color="auto" w:fill="auto"/>
          </w:tcPr>
          <w:p w14:paraId="3D2C634A" w14:textId="3AA648D7" w:rsidR="0061440B" w:rsidRPr="00AB7C1E" w:rsidRDefault="0061440B" w:rsidP="009A41ED">
            <w:pPr>
              <w:spacing w:before="0"/>
              <w:jc w:val="right"/>
            </w:pPr>
            <w:r w:rsidRPr="00AB7C1E">
              <w:rPr>
                <w:b/>
                <w:bCs/>
              </w:rPr>
              <w:t>Fax</w:t>
            </w:r>
            <w:r w:rsidRPr="009A41ED">
              <w:rPr>
                <w:b/>
                <w:bCs/>
              </w:rPr>
              <w:t>:</w:t>
            </w:r>
          </w:p>
        </w:tc>
        <w:tc>
          <w:tcPr>
            <w:tcW w:w="4382" w:type="dxa"/>
            <w:tcBorders>
              <w:right w:val="single" w:sz="8" w:space="0" w:color="auto"/>
            </w:tcBorders>
            <w:shd w:val="clear" w:color="auto" w:fill="auto"/>
          </w:tcPr>
          <w:p w14:paraId="2A1AF980" w14:textId="18454676" w:rsidR="0061440B" w:rsidRPr="00AB7C1E" w:rsidRDefault="0061440B" w:rsidP="009A41ED">
            <w:pPr>
              <w:spacing w:before="0"/>
            </w:pPr>
            <w:r w:rsidRPr="00AB7C1E">
              <w:t>+41-22-</w:t>
            </w:r>
            <w:r w:rsidRPr="00AB7C1E">
              <w:rPr>
                <w:rFonts w:ascii="Calibri" w:hAnsi="Calibri"/>
                <w:szCs w:val="24"/>
              </w:rPr>
              <w:t>730</w:t>
            </w:r>
            <w:r w:rsidRPr="00AB7C1E">
              <w:t>-5853</w:t>
            </w:r>
          </w:p>
        </w:tc>
        <w:tc>
          <w:tcPr>
            <w:tcW w:w="1215" w:type="dxa"/>
            <w:tcBorders>
              <w:left w:val="single" w:sz="4" w:space="0" w:color="auto"/>
            </w:tcBorders>
            <w:shd w:val="clear" w:color="auto" w:fill="auto"/>
          </w:tcPr>
          <w:p w14:paraId="76EF4446" w14:textId="7CFD733B" w:rsidR="0061440B" w:rsidRPr="00AB7C1E" w:rsidRDefault="0061440B" w:rsidP="009A41ED">
            <w:pPr>
              <w:spacing w:before="0"/>
              <w:jc w:val="right"/>
            </w:pPr>
            <w:r w:rsidRPr="00AB7C1E">
              <w:rPr>
                <w:b/>
                <w:bCs/>
              </w:rPr>
              <w:t>Fax</w:t>
            </w:r>
            <w:r w:rsidRPr="009A41ED">
              <w:rPr>
                <w:b/>
                <w:bCs/>
              </w:rPr>
              <w:t>:</w:t>
            </w:r>
          </w:p>
        </w:tc>
        <w:tc>
          <w:tcPr>
            <w:tcW w:w="2880" w:type="dxa"/>
            <w:shd w:val="clear" w:color="auto" w:fill="auto"/>
          </w:tcPr>
          <w:p w14:paraId="541B312E" w14:textId="77777777" w:rsidR="0061440B" w:rsidRPr="00AB7C1E" w:rsidRDefault="0061440B" w:rsidP="0061440B">
            <w:pPr>
              <w:ind w:right="92"/>
            </w:pPr>
          </w:p>
        </w:tc>
      </w:tr>
      <w:tr w:rsidR="009A41ED" w:rsidRPr="00AB7C1E" w14:paraId="132EB382" w14:textId="77777777" w:rsidTr="00010EC1">
        <w:trPr>
          <w:jc w:val="center"/>
        </w:trPr>
        <w:tc>
          <w:tcPr>
            <w:tcW w:w="1162" w:type="dxa"/>
            <w:shd w:val="clear" w:color="auto" w:fill="auto"/>
          </w:tcPr>
          <w:p w14:paraId="42CEC140" w14:textId="15F38486" w:rsidR="009A41ED" w:rsidRPr="00AB7C1E" w:rsidRDefault="009A41ED" w:rsidP="000D538C">
            <w:pPr>
              <w:spacing w:before="0"/>
              <w:jc w:val="right"/>
              <w:rPr>
                <w:b/>
                <w:bCs/>
              </w:rPr>
            </w:pPr>
            <w:r w:rsidRPr="00AB7C1E">
              <w:rPr>
                <w:b/>
                <w:bCs/>
              </w:rPr>
              <w:t>Correo-e</w:t>
            </w:r>
            <w:r w:rsidRPr="009A41ED">
              <w:rPr>
                <w:b/>
                <w:bCs/>
              </w:rPr>
              <w:t>:</w:t>
            </w:r>
          </w:p>
        </w:tc>
        <w:tc>
          <w:tcPr>
            <w:tcW w:w="4382" w:type="dxa"/>
            <w:tcBorders>
              <w:right w:val="single" w:sz="8" w:space="0" w:color="auto"/>
            </w:tcBorders>
            <w:shd w:val="clear" w:color="auto" w:fill="auto"/>
          </w:tcPr>
          <w:p w14:paraId="10D879F0" w14:textId="2AE1FCA6" w:rsidR="009A41ED" w:rsidRPr="00AB7C1E" w:rsidRDefault="00830421" w:rsidP="000D538C">
            <w:pPr>
              <w:spacing w:before="0"/>
            </w:pPr>
            <w:hyperlink r:id="rId21" w:history="1">
              <w:r w:rsidR="009A41ED" w:rsidRPr="00AB7C1E">
                <w:rPr>
                  <w:rStyle w:val="Hyperlink"/>
                </w:rPr>
                <w:t>tsbdir@itu.int</w:t>
              </w:r>
            </w:hyperlink>
          </w:p>
        </w:tc>
        <w:tc>
          <w:tcPr>
            <w:tcW w:w="1215" w:type="dxa"/>
            <w:tcBorders>
              <w:left w:val="single" w:sz="4" w:space="0" w:color="auto"/>
            </w:tcBorders>
            <w:shd w:val="clear" w:color="auto" w:fill="auto"/>
          </w:tcPr>
          <w:p w14:paraId="5BCA9CD1" w14:textId="7C0593A1" w:rsidR="009A41ED" w:rsidRPr="00AB7C1E" w:rsidRDefault="009A41ED" w:rsidP="000D538C">
            <w:pPr>
              <w:spacing w:before="0"/>
              <w:jc w:val="right"/>
              <w:rPr>
                <w:b/>
                <w:bCs/>
              </w:rPr>
            </w:pPr>
            <w:r w:rsidRPr="00AB7C1E">
              <w:rPr>
                <w:b/>
                <w:bCs/>
              </w:rPr>
              <w:t>Correo-e:</w:t>
            </w:r>
          </w:p>
        </w:tc>
        <w:tc>
          <w:tcPr>
            <w:tcW w:w="2880" w:type="dxa"/>
            <w:shd w:val="clear" w:color="auto" w:fill="auto"/>
          </w:tcPr>
          <w:p w14:paraId="06EED359" w14:textId="77777777" w:rsidR="009A41ED" w:rsidRPr="00AB7C1E" w:rsidRDefault="009A41ED" w:rsidP="0061440B">
            <w:pPr>
              <w:ind w:right="92"/>
            </w:pPr>
          </w:p>
        </w:tc>
      </w:tr>
      <w:tr w:rsidR="0061440B" w:rsidRPr="00AB7C1E" w14:paraId="41E2430C" w14:textId="77777777" w:rsidTr="00010EC1">
        <w:trPr>
          <w:jc w:val="center"/>
        </w:trPr>
        <w:tc>
          <w:tcPr>
            <w:tcW w:w="1162" w:type="dxa"/>
            <w:shd w:val="clear" w:color="auto" w:fill="auto"/>
          </w:tcPr>
          <w:p w14:paraId="0F0D8399" w14:textId="77777777" w:rsidR="0061440B" w:rsidRPr="00AB7C1E" w:rsidRDefault="0061440B" w:rsidP="000D538C">
            <w:pPr>
              <w:spacing w:before="0"/>
            </w:pPr>
          </w:p>
        </w:tc>
        <w:tc>
          <w:tcPr>
            <w:tcW w:w="4382" w:type="dxa"/>
            <w:tcBorders>
              <w:right w:val="single" w:sz="8" w:space="0" w:color="auto"/>
            </w:tcBorders>
            <w:shd w:val="clear" w:color="auto" w:fill="auto"/>
          </w:tcPr>
          <w:p w14:paraId="147E4C71" w14:textId="77777777" w:rsidR="0061440B" w:rsidRPr="00AB7C1E" w:rsidRDefault="0061440B" w:rsidP="000D538C">
            <w:pPr>
              <w:spacing w:before="0"/>
            </w:pPr>
          </w:p>
        </w:tc>
        <w:tc>
          <w:tcPr>
            <w:tcW w:w="1215" w:type="dxa"/>
            <w:tcBorders>
              <w:left w:val="single" w:sz="4" w:space="0" w:color="auto"/>
            </w:tcBorders>
            <w:shd w:val="clear" w:color="auto" w:fill="auto"/>
          </w:tcPr>
          <w:p w14:paraId="4C4745F2" w14:textId="77777777" w:rsidR="0061440B" w:rsidRPr="00AB7C1E" w:rsidRDefault="0061440B" w:rsidP="000D538C">
            <w:pPr>
              <w:spacing w:before="0"/>
              <w:jc w:val="right"/>
            </w:pPr>
            <w:r w:rsidRPr="00AB7C1E">
              <w:rPr>
                <w:b/>
                <w:bCs/>
              </w:rPr>
              <w:t>Fecha:</w:t>
            </w:r>
          </w:p>
        </w:tc>
        <w:tc>
          <w:tcPr>
            <w:tcW w:w="2880" w:type="dxa"/>
            <w:shd w:val="clear" w:color="auto" w:fill="auto"/>
          </w:tcPr>
          <w:p w14:paraId="655325E9" w14:textId="77777777" w:rsidR="0061440B" w:rsidRPr="00AB7C1E" w:rsidRDefault="0061440B" w:rsidP="000D538C">
            <w:pPr>
              <w:spacing w:before="0"/>
            </w:pPr>
            <w:r w:rsidRPr="00AB7C1E">
              <w:rPr>
                <w:highlight w:val="green"/>
              </w:rPr>
              <w:t>[Lugar,] [Fecha]</w:t>
            </w:r>
          </w:p>
        </w:tc>
      </w:tr>
    </w:tbl>
    <w:p w14:paraId="2032F050" w14:textId="04E79778" w:rsidR="0061440B" w:rsidRPr="00AB7C1E" w:rsidRDefault="0061440B" w:rsidP="00AC7477">
      <w:pPr>
        <w:pStyle w:val="Normalaftertitle0"/>
      </w:pPr>
      <w:r w:rsidRPr="00AB7C1E">
        <w:t>Muy Señora mía/Muy Señor mío:</w:t>
      </w:r>
    </w:p>
    <w:p w14:paraId="5D39F571" w14:textId="177E34E6" w:rsidR="0061440B" w:rsidRPr="00AB7C1E" w:rsidRDefault="0061440B" w:rsidP="00AC7477">
      <w:pPr>
        <w:spacing w:after="120"/>
      </w:pPr>
      <w:r w:rsidRPr="00AB7C1E">
        <w:t>En lo que respecta a la consulta a los Estados Miembros sobre los proyectos determinados que se enumeran en la Circular </w:t>
      </w:r>
      <w:r w:rsidR="006E5785">
        <w:t>142</w:t>
      </w:r>
      <w:r w:rsidRPr="00AB7C1E">
        <w:t xml:space="preserve"> de la TSB, deseo informarle de la opinión de esta Administración, que se refleja en el siguiente cuadro: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568"/>
      </w:tblGrid>
      <w:tr w:rsidR="0061440B" w:rsidRPr="00AB7C1E" w14:paraId="01A3D6DF" w14:textId="77777777" w:rsidTr="00C30BF5">
        <w:trPr>
          <w:cantSplit/>
          <w:tblHeader/>
          <w:jc w:val="center"/>
        </w:trPr>
        <w:tc>
          <w:tcPr>
            <w:tcW w:w="2061" w:type="dxa"/>
            <w:shd w:val="clear" w:color="auto" w:fill="auto"/>
            <w:vAlign w:val="center"/>
          </w:tcPr>
          <w:p w14:paraId="1389DBBA" w14:textId="77777777" w:rsidR="0061440B" w:rsidRPr="00AB7C1E" w:rsidRDefault="0061440B" w:rsidP="00A523F3">
            <w:pPr>
              <w:pStyle w:val="Tablehead0"/>
            </w:pPr>
          </w:p>
        </w:tc>
        <w:tc>
          <w:tcPr>
            <w:tcW w:w="7568" w:type="dxa"/>
            <w:shd w:val="clear" w:color="auto" w:fill="auto"/>
            <w:vAlign w:val="center"/>
          </w:tcPr>
          <w:p w14:paraId="2ABF22B9" w14:textId="77777777" w:rsidR="0061440B" w:rsidRPr="00AB7C1E" w:rsidRDefault="0061440B" w:rsidP="00A523F3">
            <w:pPr>
              <w:pStyle w:val="Tablehead0"/>
            </w:pPr>
            <w:bookmarkStart w:id="11" w:name="lt_pId134"/>
            <w:r w:rsidRPr="00AB7C1E">
              <w:t>Seleccione una de las dos casillas</w:t>
            </w:r>
            <w:bookmarkEnd w:id="11"/>
            <w:r w:rsidRPr="00AB7C1E">
              <w:t xml:space="preserve"> para cada texto</w:t>
            </w:r>
          </w:p>
        </w:tc>
      </w:tr>
      <w:tr w:rsidR="0061440B" w:rsidRPr="00AB7C1E" w14:paraId="5072DA5D" w14:textId="77777777" w:rsidTr="00C30BF5">
        <w:trPr>
          <w:cantSplit/>
          <w:trHeight w:val="748"/>
          <w:jc w:val="center"/>
        </w:trPr>
        <w:tc>
          <w:tcPr>
            <w:tcW w:w="2061" w:type="dxa"/>
            <w:vMerge w:val="restart"/>
            <w:shd w:val="clear" w:color="auto" w:fill="auto"/>
            <w:vAlign w:val="center"/>
          </w:tcPr>
          <w:p w14:paraId="0576DD51" w14:textId="2893898E" w:rsidR="00400561" w:rsidRPr="00385EE1" w:rsidRDefault="00400561" w:rsidP="00385EE1">
            <w:pPr>
              <w:pStyle w:val="Tabletext0"/>
              <w:jc w:val="center"/>
              <w:rPr>
                <w:b/>
                <w:bCs/>
              </w:rPr>
            </w:pPr>
            <w:r w:rsidRPr="00385EE1">
              <w:rPr>
                <w:b/>
                <w:bCs/>
              </w:rPr>
              <w:t>Proyecto de nueva Recomendación UIT-T X.1150</w:t>
            </w:r>
            <w:r w:rsidRPr="00385EE1">
              <w:rPr>
                <w:b/>
                <w:bCs/>
              </w:rPr>
              <w:br/>
              <w:t>(X.saf-dfs)</w:t>
            </w:r>
          </w:p>
        </w:tc>
        <w:tc>
          <w:tcPr>
            <w:tcW w:w="7568" w:type="dxa"/>
            <w:shd w:val="clear" w:color="auto" w:fill="auto"/>
            <w:vAlign w:val="center"/>
          </w:tcPr>
          <w:p w14:paraId="3C1517A9" w14:textId="2F594654"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10398C51" w14:textId="221BBD5D" w:rsidR="0061440B" w:rsidRPr="00AB7C1E" w:rsidRDefault="0061440B" w:rsidP="00AC7477">
            <w:pPr>
              <w:pStyle w:val="Tabletext0"/>
              <w:tabs>
                <w:tab w:val="clear" w:pos="284"/>
                <w:tab w:val="clear" w:pos="567"/>
                <w:tab w:val="clear" w:pos="851"/>
              </w:tabs>
              <w:ind w:left="1134" w:hanging="567"/>
            </w:pPr>
            <w:r w:rsidRPr="00AB7C1E">
              <w:t>⃝</w:t>
            </w:r>
            <w:r w:rsidR="00A523F3" w:rsidRPr="00AB7C1E">
              <w:tab/>
            </w:r>
            <w:r w:rsidRPr="00AB7C1E">
              <w:t>Sin comentarios o cambios sugeridos</w:t>
            </w:r>
          </w:p>
          <w:p w14:paraId="0AC8B275" w14:textId="0B6663BB" w:rsidR="0061440B" w:rsidRPr="00AB7C1E" w:rsidRDefault="0061440B"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61440B" w:rsidRPr="00AB7C1E" w14:paraId="7EC44212" w14:textId="77777777" w:rsidTr="00C30BF5">
        <w:trPr>
          <w:cantSplit/>
          <w:trHeight w:val="747"/>
          <w:jc w:val="center"/>
        </w:trPr>
        <w:tc>
          <w:tcPr>
            <w:tcW w:w="2061" w:type="dxa"/>
            <w:vMerge/>
            <w:shd w:val="clear" w:color="auto" w:fill="auto"/>
            <w:vAlign w:val="center"/>
          </w:tcPr>
          <w:p w14:paraId="613013E6" w14:textId="77777777" w:rsidR="0061440B" w:rsidRPr="00AB7C1E" w:rsidRDefault="0061440B" w:rsidP="0061440B">
            <w:pPr>
              <w:ind w:right="92"/>
              <w:rPr>
                <w:b/>
                <w:bCs/>
              </w:rPr>
            </w:pPr>
          </w:p>
        </w:tc>
        <w:tc>
          <w:tcPr>
            <w:tcW w:w="7568" w:type="dxa"/>
            <w:shd w:val="clear" w:color="auto" w:fill="auto"/>
            <w:vAlign w:val="center"/>
          </w:tcPr>
          <w:p w14:paraId="0C7850E6" w14:textId="4B25FCF7"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61440B" w:rsidRPr="00AB7C1E" w14:paraId="1162CC5C" w14:textId="77777777" w:rsidTr="00C30BF5">
        <w:trPr>
          <w:cantSplit/>
          <w:trHeight w:val="748"/>
          <w:jc w:val="center"/>
        </w:trPr>
        <w:tc>
          <w:tcPr>
            <w:tcW w:w="2061" w:type="dxa"/>
            <w:vMerge w:val="restart"/>
            <w:shd w:val="clear" w:color="auto" w:fill="auto"/>
            <w:vAlign w:val="center"/>
          </w:tcPr>
          <w:p w14:paraId="4A27A76C" w14:textId="1E31A1CA" w:rsidR="0061440B" w:rsidRPr="00385EE1" w:rsidRDefault="0061440B" w:rsidP="00385EE1">
            <w:pPr>
              <w:pStyle w:val="Tabletext0"/>
              <w:jc w:val="center"/>
              <w:rPr>
                <w:b/>
                <w:bCs/>
              </w:rPr>
            </w:pPr>
            <w:r w:rsidRPr="00385EE1">
              <w:rPr>
                <w:b/>
                <w:bCs/>
              </w:rPr>
              <w:t xml:space="preserve">Proyecto de nueva Recomendación UIT-T </w:t>
            </w:r>
            <w:r w:rsidR="00FF7D4E" w:rsidRPr="00385EE1">
              <w:rPr>
                <w:b/>
                <w:bCs/>
              </w:rPr>
              <w:t>X.1221</w:t>
            </w:r>
            <w:r w:rsidR="00FF7D4E" w:rsidRPr="00385EE1">
              <w:rPr>
                <w:b/>
                <w:bCs/>
              </w:rPr>
              <w:br/>
              <w:t>(</w:t>
            </w:r>
            <w:proofErr w:type="gramStart"/>
            <w:r w:rsidR="00FF7D4E" w:rsidRPr="00385EE1">
              <w:rPr>
                <w:b/>
                <w:bCs/>
              </w:rPr>
              <w:t>X.stie</w:t>
            </w:r>
            <w:proofErr w:type="gramEnd"/>
            <w:r w:rsidR="00FF7D4E" w:rsidRPr="00385EE1">
              <w:rPr>
                <w:b/>
                <w:bCs/>
              </w:rPr>
              <w:t>)</w:t>
            </w:r>
          </w:p>
        </w:tc>
        <w:tc>
          <w:tcPr>
            <w:tcW w:w="7568" w:type="dxa"/>
            <w:shd w:val="clear" w:color="auto" w:fill="auto"/>
            <w:vAlign w:val="center"/>
          </w:tcPr>
          <w:p w14:paraId="6E4EAFE0" w14:textId="0EEBC87B"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5BBE15D1" w14:textId="720CA1CC" w:rsidR="0061440B" w:rsidRPr="00AB7C1E" w:rsidRDefault="0061440B" w:rsidP="00AC7477">
            <w:pPr>
              <w:pStyle w:val="Tabletext0"/>
              <w:tabs>
                <w:tab w:val="clear" w:pos="284"/>
                <w:tab w:val="clear" w:pos="567"/>
                <w:tab w:val="clear" w:pos="851"/>
              </w:tabs>
              <w:ind w:left="1134" w:hanging="567"/>
            </w:pPr>
            <w:r w:rsidRPr="00AB7C1E">
              <w:t>⃝</w:t>
            </w:r>
            <w:r w:rsidR="00A523F3" w:rsidRPr="00AB7C1E">
              <w:tab/>
            </w:r>
            <w:r w:rsidRPr="00AB7C1E">
              <w:t>Sin comentarios o cambios sugeridos</w:t>
            </w:r>
          </w:p>
          <w:p w14:paraId="2657CD11" w14:textId="69A7F708" w:rsidR="0061440B" w:rsidRPr="00AB7C1E" w:rsidRDefault="0061440B"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61440B" w:rsidRPr="00AB7C1E" w14:paraId="3668B431" w14:textId="77777777" w:rsidTr="00C30BF5">
        <w:trPr>
          <w:cantSplit/>
          <w:trHeight w:val="747"/>
          <w:jc w:val="center"/>
        </w:trPr>
        <w:tc>
          <w:tcPr>
            <w:tcW w:w="2061" w:type="dxa"/>
            <w:vMerge/>
            <w:shd w:val="clear" w:color="auto" w:fill="auto"/>
            <w:vAlign w:val="center"/>
          </w:tcPr>
          <w:p w14:paraId="1646AE54" w14:textId="77777777" w:rsidR="0061440B" w:rsidRPr="00AB7C1E" w:rsidRDefault="0061440B" w:rsidP="0061440B">
            <w:pPr>
              <w:ind w:right="92"/>
              <w:rPr>
                <w:b/>
                <w:bCs/>
              </w:rPr>
            </w:pPr>
          </w:p>
        </w:tc>
        <w:tc>
          <w:tcPr>
            <w:tcW w:w="7568" w:type="dxa"/>
            <w:shd w:val="clear" w:color="auto" w:fill="auto"/>
            <w:vAlign w:val="center"/>
          </w:tcPr>
          <w:p w14:paraId="309A9C3E" w14:textId="201ABB70"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BE1380" w:rsidRPr="00AB7C1E" w14:paraId="7539F49A" w14:textId="77777777" w:rsidTr="00C30BF5">
        <w:trPr>
          <w:cantSplit/>
          <w:trHeight w:val="748"/>
          <w:jc w:val="center"/>
        </w:trPr>
        <w:tc>
          <w:tcPr>
            <w:tcW w:w="2061" w:type="dxa"/>
            <w:vMerge w:val="restart"/>
            <w:shd w:val="clear" w:color="auto" w:fill="auto"/>
            <w:vAlign w:val="center"/>
          </w:tcPr>
          <w:p w14:paraId="46CDF83A" w14:textId="14C38941" w:rsidR="00BE1380" w:rsidRPr="00385EE1" w:rsidRDefault="00BE1380" w:rsidP="00385EE1">
            <w:pPr>
              <w:pStyle w:val="Tabletext0"/>
              <w:keepNext/>
              <w:keepLines/>
              <w:jc w:val="center"/>
              <w:rPr>
                <w:b/>
                <w:bCs/>
              </w:rPr>
            </w:pPr>
            <w:r w:rsidRPr="00385EE1">
              <w:rPr>
                <w:b/>
                <w:bCs/>
              </w:rPr>
              <w:lastRenderedPageBreak/>
              <w:t xml:space="preserve">Proyecto de nueva Recomendación UIT-T </w:t>
            </w:r>
            <w:r w:rsidR="00FF7D4E" w:rsidRPr="00385EE1">
              <w:rPr>
                <w:b/>
                <w:bCs/>
              </w:rPr>
              <w:t>X.1222</w:t>
            </w:r>
            <w:r w:rsidR="00010EC1" w:rsidRPr="00385EE1">
              <w:rPr>
                <w:b/>
                <w:bCs/>
              </w:rPr>
              <w:br/>
            </w:r>
            <w:r w:rsidR="00FF7D4E" w:rsidRPr="00385EE1">
              <w:rPr>
                <w:b/>
                <w:bCs/>
              </w:rPr>
              <w:t>(</w:t>
            </w:r>
            <w:proofErr w:type="gramStart"/>
            <w:r w:rsidR="00FF7D4E" w:rsidRPr="00385EE1">
              <w:rPr>
                <w:b/>
                <w:bCs/>
              </w:rPr>
              <w:t>X.taeii</w:t>
            </w:r>
            <w:proofErr w:type="gramEnd"/>
            <w:r w:rsidR="00FF7D4E" w:rsidRPr="00385EE1">
              <w:rPr>
                <w:b/>
                <w:bCs/>
              </w:rPr>
              <w:t>)</w:t>
            </w:r>
          </w:p>
        </w:tc>
        <w:tc>
          <w:tcPr>
            <w:tcW w:w="7568" w:type="dxa"/>
            <w:shd w:val="clear" w:color="auto" w:fill="auto"/>
            <w:vAlign w:val="center"/>
          </w:tcPr>
          <w:p w14:paraId="66B8A9BA" w14:textId="2C75302C"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55542A8C" w14:textId="1C12EC90" w:rsidR="00BE1380" w:rsidRPr="00AB7C1E" w:rsidRDefault="00BE1380" w:rsidP="00AC7477">
            <w:pPr>
              <w:pStyle w:val="Tabletext0"/>
              <w:tabs>
                <w:tab w:val="clear" w:pos="284"/>
                <w:tab w:val="clear" w:pos="567"/>
                <w:tab w:val="clear" w:pos="851"/>
              </w:tabs>
              <w:ind w:left="1134" w:hanging="567"/>
            </w:pPr>
            <w:r w:rsidRPr="00AB7C1E">
              <w:t>⃝</w:t>
            </w:r>
            <w:r w:rsidRPr="00AB7C1E">
              <w:tab/>
              <w:t>Sin comentarios o cambios sugeridos</w:t>
            </w:r>
          </w:p>
          <w:p w14:paraId="18F11EDE" w14:textId="1D0A0A3C" w:rsidR="00BE1380" w:rsidRPr="00AB7C1E" w:rsidRDefault="00BE1380"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BE1380" w:rsidRPr="00AB7C1E" w14:paraId="47AB4ECC" w14:textId="77777777" w:rsidTr="00C30BF5">
        <w:trPr>
          <w:cantSplit/>
          <w:trHeight w:val="747"/>
          <w:jc w:val="center"/>
        </w:trPr>
        <w:tc>
          <w:tcPr>
            <w:tcW w:w="2061" w:type="dxa"/>
            <w:vMerge/>
            <w:shd w:val="clear" w:color="auto" w:fill="auto"/>
            <w:vAlign w:val="center"/>
          </w:tcPr>
          <w:p w14:paraId="4B699C80" w14:textId="77777777" w:rsidR="00BE1380" w:rsidRPr="00AB7C1E" w:rsidRDefault="00BE1380" w:rsidP="00385EE1">
            <w:pPr>
              <w:pStyle w:val="Tabletext0"/>
              <w:jc w:val="center"/>
              <w:rPr>
                <w:b/>
                <w:bCs/>
              </w:rPr>
            </w:pPr>
          </w:p>
        </w:tc>
        <w:tc>
          <w:tcPr>
            <w:tcW w:w="7568" w:type="dxa"/>
            <w:shd w:val="clear" w:color="auto" w:fill="auto"/>
            <w:vAlign w:val="center"/>
          </w:tcPr>
          <w:p w14:paraId="2DA5AB59" w14:textId="32C8107C"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BE1380" w:rsidRPr="00AB7C1E" w14:paraId="2B02B45F" w14:textId="77777777" w:rsidTr="00C30BF5">
        <w:trPr>
          <w:cantSplit/>
          <w:trHeight w:val="748"/>
          <w:jc w:val="center"/>
        </w:trPr>
        <w:tc>
          <w:tcPr>
            <w:tcW w:w="2061" w:type="dxa"/>
            <w:vMerge w:val="restart"/>
            <w:shd w:val="clear" w:color="auto" w:fill="auto"/>
            <w:vAlign w:val="center"/>
          </w:tcPr>
          <w:p w14:paraId="62BD73E0" w14:textId="30B17039" w:rsidR="00BE1380" w:rsidRPr="00385EE1" w:rsidRDefault="00BE1380" w:rsidP="00385EE1">
            <w:pPr>
              <w:pStyle w:val="Tabletext0"/>
              <w:jc w:val="center"/>
              <w:rPr>
                <w:b/>
                <w:bCs/>
              </w:rPr>
            </w:pPr>
            <w:r w:rsidRPr="00385EE1">
              <w:rPr>
                <w:b/>
                <w:bCs/>
              </w:rPr>
              <w:t xml:space="preserve">Proyecto de nueva Recomendación UIT-T </w:t>
            </w:r>
            <w:r w:rsidR="00FF7D4E" w:rsidRPr="00385EE1">
              <w:rPr>
                <w:b/>
                <w:bCs/>
              </w:rPr>
              <w:t xml:space="preserve">X.1280 </w:t>
            </w:r>
            <w:r w:rsidR="00FF7D4E" w:rsidRPr="00385EE1">
              <w:rPr>
                <w:b/>
                <w:bCs/>
              </w:rPr>
              <w:br/>
              <w:t>(X.oob-sa)</w:t>
            </w:r>
          </w:p>
        </w:tc>
        <w:tc>
          <w:tcPr>
            <w:tcW w:w="7568" w:type="dxa"/>
            <w:shd w:val="clear" w:color="auto" w:fill="auto"/>
            <w:vAlign w:val="center"/>
          </w:tcPr>
          <w:p w14:paraId="19133A3C" w14:textId="26C5CC3F"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11ADCBD1" w14:textId="6A2EBA05" w:rsidR="00BE1380" w:rsidRPr="00AB7C1E" w:rsidRDefault="00BE1380" w:rsidP="00AC7477">
            <w:pPr>
              <w:pStyle w:val="Tabletext0"/>
              <w:tabs>
                <w:tab w:val="clear" w:pos="284"/>
                <w:tab w:val="clear" w:pos="567"/>
                <w:tab w:val="clear" w:pos="851"/>
              </w:tabs>
              <w:ind w:left="1134" w:hanging="567"/>
            </w:pPr>
            <w:r w:rsidRPr="00AB7C1E">
              <w:t>⃝</w:t>
            </w:r>
            <w:r w:rsidRPr="00AB7C1E">
              <w:tab/>
              <w:t>Sin comentarios o cambios sugeridos</w:t>
            </w:r>
          </w:p>
          <w:p w14:paraId="5370D75C" w14:textId="1DA34821" w:rsidR="00BE1380" w:rsidRPr="00AB7C1E" w:rsidRDefault="00BE1380"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BE1380" w:rsidRPr="00AB7C1E" w14:paraId="13BEF026" w14:textId="77777777" w:rsidTr="00C30BF5">
        <w:trPr>
          <w:cantSplit/>
          <w:trHeight w:val="747"/>
          <w:jc w:val="center"/>
        </w:trPr>
        <w:tc>
          <w:tcPr>
            <w:tcW w:w="2061" w:type="dxa"/>
            <w:vMerge/>
            <w:shd w:val="clear" w:color="auto" w:fill="auto"/>
            <w:vAlign w:val="center"/>
          </w:tcPr>
          <w:p w14:paraId="21CE7316" w14:textId="77777777" w:rsidR="00BE1380" w:rsidRPr="00AB7C1E" w:rsidRDefault="00BE1380" w:rsidP="00385EE1">
            <w:pPr>
              <w:pStyle w:val="Tabletext0"/>
              <w:jc w:val="center"/>
              <w:rPr>
                <w:b/>
                <w:bCs/>
              </w:rPr>
            </w:pPr>
          </w:p>
        </w:tc>
        <w:tc>
          <w:tcPr>
            <w:tcW w:w="7568" w:type="dxa"/>
            <w:shd w:val="clear" w:color="auto" w:fill="auto"/>
            <w:vAlign w:val="center"/>
          </w:tcPr>
          <w:p w14:paraId="0821CCEA" w14:textId="2C0C6417"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BE1380" w:rsidRPr="00AB7C1E" w14:paraId="606FAC1E" w14:textId="77777777" w:rsidTr="00C30BF5">
        <w:trPr>
          <w:cantSplit/>
          <w:trHeight w:val="748"/>
          <w:jc w:val="center"/>
        </w:trPr>
        <w:tc>
          <w:tcPr>
            <w:tcW w:w="2061" w:type="dxa"/>
            <w:vMerge w:val="restart"/>
            <w:shd w:val="clear" w:color="auto" w:fill="auto"/>
            <w:vAlign w:val="center"/>
          </w:tcPr>
          <w:p w14:paraId="123077D3" w14:textId="6E095D76" w:rsidR="00BE1380" w:rsidRPr="00385EE1" w:rsidRDefault="00BE1380" w:rsidP="00385EE1">
            <w:pPr>
              <w:pStyle w:val="Tabletext0"/>
              <w:jc w:val="center"/>
              <w:rPr>
                <w:b/>
                <w:bCs/>
              </w:rPr>
            </w:pPr>
            <w:r w:rsidRPr="00385EE1">
              <w:rPr>
                <w:b/>
                <w:bCs/>
              </w:rPr>
              <w:t xml:space="preserve">Proyecto de nueva Recomendación UIT-T </w:t>
            </w:r>
            <w:r w:rsidR="00FF7D4E" w:rsidRPr="00385EE1">
              <w:rPr>
                <w:b/>
                <w:bCs/>
              </w:rPr>
              <w:t xml:space="preserve">X.1811 </w:t>
            </w:r>
            <w:r w:rsidR="00FF7D4E" w:rsidRPr="00385EE1">
              <w:rPr>
                <w:b/>
                <w:bCs/>
              </w:rPr>
              <w:br/>
              <w:t>(</w:t>
            </w:r>
            <w:proofErr w:type="gramStart"/>
            <w:r w:rsidR="00FF7D4E" w:rsidRPr="00385EE1">
              <w:rPr>
                <w:b/>
                <w:bCs/>
              </w:rPr>
              <w:t>X.osia</w:t>
            </w:r>
            <w:proofErr w:type="gramEnd"/>
            <w:r w:rsidR="00FF7D4E" w:rsidRPr="00385EE1">
              <w:rPr>
                <w:b/>
                <w:bCs/>
              </w:rPr>
              <w:t>)</w:t>
            </w:r>
          </w:p>
        </w:tc>
        <w:tc>
          <w:tcPr>
            <w:tcW w:w="7568" w:type="dxa"/>
            <w:shd w:val="clear" w:color="auto" w:fill="auto"/>
            <w:vAlign w:val="center"/>
          </w:tcPr>
          <w:p w14:paraId="687189C1" w14:textId="01882721"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66BEA27A" w14:textId="78A8871E" w:rsidR="00BE1380" w:rsidRPr="00AB7C1E" w:rsidRDefault="00BE1380" w:rsidP="00AC7477">
            <w:pPr>
              <w:pStyle w:val="Tabletext0"/>
              <w:tabs>
                <w:tab w:val="clear" w:pos="284"/>
                <w:tab w:val="clear" w:pos="567"/>
                <w:tab w:val="clear" w:pos="851"/>
              </w:tabs>
              <w:ind w:left="1134" w:hanging="567"/>
            </w:pPr>
            <w:r w:rsidRPr="00AB7C1E">
              <w:t>⃝</w:t>
            </w:r>
            <w:r w:rsidRPr="00AB7C1E">
              <w:tab/>
              <w:t>Sin comentarios o cambios sugeridos</w:t>
            </w:r>
          </w:p>
          <w:p w14:paraId="3A6C1BB4" w14:textId="74548993" w:rsidR="00BE1380" w:rsidRPr="00AB7C1E" w:rsidRDefault="00BE1380"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BE1380" w:rsidRPr="00AB7C1E" w14:paraId="1D13D985" w14:textId="77777777" w:rsidTr="00C30BF5">
        <w:trPr>
          <w:cantSplit/>
          <w:trHeight w:val="747"/>
          <w:jc w:val="center"/>
        </w:trPr>
        <w:tc>
          <w:tcPr>
            <w:tcW w:w="2061" w:type="dxa"/>
            <w:vMerge/>
            <w:shd w:val="clear" w:color="auto" w:fill="auto"/>
            <w:vAlign w:val="center"/>
          </w:tcPr>
          <w:p w14:paraId="372AF209" w14:textId="77777777" w:rsidR="00BE1380" w:rsidRPr="00AB7C1E" w:rsidRDefault="00BE1380" w:rsidP="00241BEA">
            <w:pPr>
              <w:ind w:right="92"/>
              <w:rPr>
                <w:b/>
                <w:bCs/>
              </w:rPr>
            </w:pPr>
          </w:p>
        </w:tc>
        <w:tc>
          <w:tcPr>
            <w:tcW w:w="7568" w:type="dxa"/>
            <w:shd w:val="clear" w:color="auto" w:fill="auto"/>
            <w:vAlign w:val="center"/>
          </w:tcPr>
          <w:p w14:paraId="059415C5" w14:textId="7E8C5F56" w:rsidR="00BE1380" w:rsidRPr="00AB7C1E" w:rsidRDefault="00BE1380"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61440B" w:rsidRPr="00AB7C1E" w14:paraId="1B6CE248" w14:textId="77777777" w:rsidTr="00C30BF5">
        <w:trPr>
          <w:cantSplit/>
          <w:trHeight w:val="747"/>
          <w:jc w:val="center"/>
        </w:trPr>
        <w:tc>
          <w:tcPr>
            <w:tcW w:w="2061" w:type="dxa"/>
            <w:vMerge w:val="restart"/>
            <w:shd w:val="clear" w:color="auto" w:fill="auto"/>
            <w:vAlign w:val="center"/>
          </w:tcPr>
          <w:p w14:paraId="69D58215" w14:textId="73D2752C" w:rsidR="0061440B" w:rsidRPr="00385EE1" w:rsidRDefault="0061440B" w:rsidP="00385EE1">
            <w:pPr>
              <w:pStyle w:val="Tabletext0"/>
              <w:jc w:val="center"/>
              <w:rPr>
                <w:b/>
                <w:bCs/>
              </w:rPr>
            </w:pPr>
            <w:r w:rsidRPr="00385EE1">
              <w:rPr>
                <w:b/>
                <w:bCs/>
              </w:rPr>
              <w:t xml:space="preserve">Proyecto de </w:t>
            </w:r>
            <w:r w:rsidR="00FF7D4E" w:rsidRPr="00385EE1">
              <w:rPr>
                <w:b/>
                <w:bCs/>
              </w:rPr>
              <w:t>Enmien</w:t>
            </w:r>
            <w:r w:rsidR="00AC7477" w:rsidRPr="00385EE1">
              <w:rPr>
                <w:b/>
                <w:bCs/>
              </w:rPr>
              <w:t>d</w:t>
            </w:r>
            <w:r w:rsidR="00FF7D4E" w:rsidRPr="00385EE1">
              <w:rPr>
                <w:b/>
                <w:bCs/>
              </w:rPr>
              <w:t>a a la</w:t>
            </w:r>
            <w:r w:rsidRPr="00385EE1">
              <w:rPr>
                <w:b/>
                <w:bCs/>
              </w:rPr>
              <w:t xml:space="preserve"> Recomendación UIT-T </w:t>
            </w:r>
            <w:r w:rsidR="00FF7D4E" w:rsidRPr="00385EE1">
              <w:rPr>
                <w:b/>
                <w:bCs/>
              </w:rPr>
              <w:t>X.1352</w:t>
            </w:r>
          </w:p>
        </w:tc>
        <w:tc>
          <w:tcPr>
            <w:tcW w:w="7568" w:type="dxa"/>
            <w:shd w:val="clear" w:color="auto" w:fill="auto"/>
            <w:vAlign w:val="center"/>
          </w:tcPr>
          <w:p w14:paraId="3EEC4801" w14:textId="5F51DF86"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0993292E" w14:textId="5DD72421" w:rsidR="0061440B" w:rsidRPr="00AB7C1E" w:rsidRDefault="0061440B" w:rsidP="00AC7477">
            <w:pPr>
              <w:pStyle w:val="Tabletext0"/>
              <w:tabs>
                <w:tab w:val="clear" w:pos="284"/>
                <w:tab w:val="clear" w:pos="567"/>
                <w:tab w:val="clear" w:pos="851"/>
              </w:tabs>
              <w:ind w:left="1134" w:hanging="567"/>
            </w:pPr>
            <w:r w:rsidRPr="00AB7C1E">
              <w:t>⃝</w:t>
            </w:r>
            <w:r w:rsidRPr="00AB7C1E">
              <w:tab/>
              <w:t>Sin comentarios o cambios sugeridos</w:t>
            </w:r>
          </w:p>
          <w:p w14:paraId="6D9F82E1" w14:textId="2191FD20" w:rsidR="0061440B" w:rsidRPr="00AB7C1E" w:rsidRDefault="0061440B"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61440B" w:rsidRPr="00AB7C1E" w14:paraId="5D3496B5" w14:textId="77777777" w:rsidTr="00C30BF5">
        <w:trPr>
          <w:cantSplit/>
          <w:trHeight w:val="747"/>
          <w:jc w:val="center"/>
        </w:trPr>
        <w:tc>
          <w:tcPr>
            <w:tcW w:w="2061" w:type="dxa"/>
            <w:vMerge/>
            <w:shd w:val="clear" w:color="auto" w:fill="auto"/>
            <w:vAlign w:val="center"/>
          </w:tcPr>
          <w:p w14:paraId="3B31B767" w14:textId="77777777" w:rsidR="0061440B" w:rsidRPr="00AB7C1E" w:rsidRDefault="0061440B" w:rsidP="00385EE1">
            <w:pPr>
              <w:pStyle w:val="Tabletext0"/>
              <w:jc w:val="center"/>
              <w:rPr>
                <w:b/>
                <w:bCs/>
              </w:rPr>
            </w:pPr>
          </w:p>
        </w:tc>
        <w:tc>
          <w:tcPr>
            <w:tcW w:w="7568" w:type="dxa"/>
            <w:shd w:val="clear" w:color="auto" w:fill="auto"/>
            <w:vAlign w:val="center"/>
          </w:tcPr>
          <w:p w14:paraId="7D55BCB0" w14:textId="3CD2AAE0" w:rsidR="0061440B" w:rsidRPr="00AB7C1E" w:rsidRDefault="0061440B"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FF7D4E" w:rsidRPr="00AB7C1E" w14:paraId="5FC0ABD4" w14:textId="77777777" w:rsidTr="00C30BF5">
        <w:trPr>
          <w:cantSplit/>
          <w:trHeight w:val="747"/>
          <w:jc w:val="center"/>
        </w:trPr>
        <w:tc>
          <w:tcPr>
            <w:tcW w:w="2061" w:type="dxa"/>
            <w:vMerge w:val="restart"/>
            <w:shd w:val="clear" w:color="auto" w:fill="auto"/>
            <w:vAlign w:val="center"/>
          </w:tcPr>
          <w:p w14:paraId="51BF099B" w14:textId="1162E6A0" w:rsidR="00FF7D4E" w:rsidRPr="00385EE1" w:rsidRDefault="00FF7D4E" w:rsidP="00385EE1">
            <w:pPr>
              <w:pStyle w:val="Tabletext0"/>
              <w:jc w:val="center"/>
              <w:rPr>
                <w:b/>
                <w:bCs/>
              </w:rPr>
            </w:pPr>
            <w:r w:rsidRPr="00385EE1">
              <w:rPr>
                <w:b/>
                <w:bCs/>
              </w:rPr>
              <w:t xml:space="preserve">Proyecto de </w:t>
            </w:r>
            <w:r w:rsidR="00C30BF5">
              <w:rPr>
                <w:b/>
                <w:bCs/>
              </w:rPr>
              <w:t xml:space="preserve">revisión de la </w:t>
            </w:r>
            <w:r w:rsidRPr="00385EE1">
              <w:rPr>
                <w:b/>
                <w:bCs/>
              </w:rPr>
              <w:t>Recomendación UIT-T X.1373</w:t>
            </w:r>
          </w:p>
        </w:tc>
        <w:tc>
          <w:tcPr>
            <w:tcW w:w="7568" w:type="dxa"/>
            <w:shd w:val="clear" w:color="auto" w:fill="auto"/>
            <w:vAlign w:val="center"/>
          </w:tcPr>
          <w:p w14:paraId="28E06BCE" w14:textId="62F8FCE8" w:rsidR="00FF7D4E" w:rsidRPr="00AB7C1E" w:rsidRDefault="00FF7D4E"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44949846" w14:textId="14971FE7" w:rsidR="00FF7D4E" w:rsidRPr="00AB7C1E" w:rsidRDefault="00FF7D4E" w:rsidP="00AC7477">
            <w:pPr>
              <w:pStyle w:val="Tabletext0"/>
              <w:tabs>
                <w:tab w:val="clear" w:pos="284"/>
                <w:tab w:val="clear" w:pos="567"/>
                <w:tab w:val="clear" w:pos="851"/>
              </w:tabs>
              <w:ind w:left="1134" w:hanging="567"/>
            </w:pPr>
            <w:r w:rsidRPr="00AB7C1E">
              <w:t>⃝</w:t>
            </w:r>
            <w:r w:rsidRPr="00AB7C1E">
              <w:tab/>
              <w:t>Sin comentarios o cambios sugeridos</w:t>
            </w:r>
          </w:p>
          <w:p w14:paraId="13A2987D" w14:textId="04AF8D94" w:rsidR="00FF7D4E" w:rsidRPr="00AB7C1E" w:rsidRDefault="00FF7D4E"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FF7D4E" w:rsidRPr="00AB7C1E" w14:paraId="4217837E" w14:textId="77777777" w:rsidTr="00C30BF5">
        <w:trPr>
          <w:cantSplit/>
          <w:trHeight w:val="747"/>
          <w:jc w:val="center"/>
        </w:trPr>
        <w:tc>
          <w:tcPr>
            <w:tcW w:w="2061" w:type="dxa"/>
            <w:vMerge/>
            <w:shd w:val="clear" w:color="auto" w:fill="auto"/>
            <w:vAlign w:val="center"/>
          </w:tcPr>
          <w:p w14:paraId="7D8CDB99" w14:textId="77777777" w:rsidR="00FF7D4E" w:rsidRPr="00AB7C1E" w:rsidRDefault="00FF7D4E" w:rsidP="000656E0">
            <w:pPr>
              <w:ind w:right="92"/>
              <w:rPr>
                <w:b/>
                <w:bCs/>
              </w:rPr>
            </w:pPr>
          </w:p>
        </w:tc>
        <w:tc>
          <w:tcPr>
            <w:tcW w:w="7568" w:type="dxa"/>
            <w:shd w:val="clear" w:color="auto" w:fill="auto"/>
            <w:vAlign w:val="center"/>
          </w:tcPr>
          <w:p w14:paraId="1FD178E4" w14:textId="1E0A9DD8" w:rsidR="00FF7D4E" w:rsidRPr="00AB7C1E" w:rsidRDefault="00FF7D4E"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r w:rsidR="00FF7D4E" w:rsidRPr="00AB7C1E" w14:paraId="4547C2C0" w14:textId="77777777" w:rsidTr="00C30BF5">
        <w:trPr>
          <w:cantSplit/>
          <w:trHeight w:val="747"/>
          <w:jc w:val="center"/>
        </w:trPr>
        <w:tc>
          <w:tcPr>
            <w:tcW w:w="2061" w:type="dxa"/>
            <w:vMerge w:val="restart"/>
            <w:shd w:val="clear" w:color="auto" w:fill="auto"/>
            <w:vAlign w:val="center"/>
          </w:tcPr>
          <w:p w14:paraId="1B1C4940" w14:textId="6CE5D0B1" w:rsidR="00FF7D4E" w:rsidRPr="00385EE1" w:rsidRDefault="00FF7D4E" w:rsidP="00385EE1">
            <w:pPr>
              <w:pStyle w:val="Tabletext0"/>
              <w:keepNext/>
              <w:keepLines/>
              <w:jc w:val="center"/>
              <w:rPr>
                <w:b/>
                <w:bCs/>
              </w:rPr>
            </w:pPr>
            <w:r w:rsidRPr="00385EE1">
              <w:rPr>
                <w:b/>
                <w:bCs/>
              </w:rPr>
              <w:lastRenderedPageBreak/>
              <w:t xml:space="preserve">Proyecto de nueva Recomendación UIT-T X.1818 </w:t>
            </w:r>
            <w:r w:rsidRPr="00385EE1">
              <w:rPr>
                <w:b/>
                <w:bCs/>
              </w:rPr>
              <w:br/>
              <w:t>(X.5Gsec-ctrl)</w:t>
            </w:r>
          </w:p>
        </w:tc>
        <w:tc>
          <w:tcPr>
            <w:tcW w:w="7568" w:type="dxa"/>
            <w:shd w:val="clear" w:color="auto" w:fill="auto"/>
            <w:vAlign w:val="center"/>
          </w:tcPr>
          <w:p w14:paraId="2732D2E0" w14:textId="050B44CC" w:rsidR="00FF7D4E" w:rsidRPr="00AB7C1E" w:rsidRDefault="00FF7D4E"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Otorga autoridad </w:t>
            </w:r>
            <w:r w:rsidRPr="00AB7C1E">
              <w:t xml:space="preserve">a la Comisión de Estudio 17 a fin de examinar este texto para aprobación (en cuyo caso seleccionará una de las dos </w:t>
            </w:r>
            <w:proofErr w:type="gramStart"/>
            <w:r w:rsidRPr="00AB7C1E">
              <w:t>opciones</w:t>
            </w:r>
            <w:r w:rsidR="00010EC1">
              <w:t xml:space="preserve"> </w:t>
            </w:r>
            <w:r w:rsidRPr="00AB7C1E">
              <w:t xml:space="preserve"> ⃝</w:t>
            </w:r>
            <w:proofErr w:type="gramEnd"/>
            <w:r w:rsidRPr="00AB7C1E">
              <w:t>):</w:t>
            </w:r>
          </w:p>
          <w:p w14:paraId="63D09ECF" w14:textId="3B006365" w:rsidR="00FF7D4E" w:rsidRPr="00AB7C1E" w:rsidRDefault="00FF7D4E" w:rsidP="00AC7477">
            <w:pPr>
              <w:pStyle w:val="Tabletext0"/>
              <w:tabs>
                <w:tab w:val="clear" w:pos="284"/>
                <w:tab w:val="clear" w:pos="567"/>
                <w:tab w:val="clear" w:pos="851"/>
              </w:tabs>
              <w:ind w:left="1134" w:hanging="567"/>
            </w:pPr>
            <w:r w:rsidRPr="00AB7C1E">
              <w:t>⃝</w:t>
            </w:r>
            <w:r w:rsidRPr="00AB7C1E">
              <w:tab/>
              <w:t>Sin comentarios o cambios sugeridos</w:t>
            </w:r>
          </w:p>
          <w:p w14:paraId="55695752" w14:textId="18F1F029" w:rsidR="00FF7D4E" w:rsidRPr="00AB7C1E" w:rsidRDefault="00FF7D4E" w:rsidP="00AC7477">
            <w:pPr>
              <w:pStyle w:val="Tabletext0"/>
              <w:tabs>
                <w:tab w:val="clear" w:pos="284"/>
                <w:tab w:val="clear" w:pos="567"/>
                <w:tab w:val="clear" w:pos="851"/>
              </w:tabs>
              <w:ind w:left="1134" w:hanging="567"/>
            </w:pPr>
            <w:r w:rsidRPr="00AB7C1E">
              <w:t>⃝</w:t>
            </w:r>
            <w:r w:rsidRPr="00AB7C1E">
              <w:tab/>
              <w:t>Se adjuntan los comentarios o cambios sugeridos</w:t>
            </w:r>
          </w:p>
        </w:tc>
      </w:tr>
      <w:tr w:rsidR="00FF7D4E" w:rsidRPr="00AB7C1E" w14:paraId="1D99F7E6" w14:textId="77777777" w:rsidTr="00C30BF5">
        <w:trPr>
          <w:cantSplit/>
          <w:trHeight w:val="747"/>
          <w:jc w:val="center"/>
        </w:trPr>
        <w:tc>
          <w:tcPr>
            <w:tcW w:w="2061" w:type="dxa"/>
            <w:vMerge/>
            <w:shd w:val="clear" w:color="auto" w:fill="auto"/>
            <w:vAlign w:val="center"/>
          </w:tcPr>
          <w:p w14:paraId="6D07110B" w14:textId="77777777" w:rsidR="00FF7D4E" w:rsidRPr="00AB7C1E" w:rsidRDefault="00FF7D4E" w:rsidP="000656E0">
            <w:pPr>
              <w:ind w:right="92"/>
              <w:rPr>
                <w:b/>
                <w:bCs/>
              </w:rPr>
            </w:pPr>
          </w:p>
        </w:tc>
        <w:tc>
          <w:tcPr>
            <w:tcW w:w="7568" w:type="dxa"/>
            <w:shd w:val="clear" w:color="auto" w:fill="auto"/>
            <w:vAlign w:val="center"/>
          </w:tcPr>
          <w:p w14:paraId="4325D645" w14:textId="1DE30BDF" w:rsidR="00FF7D4E" w:rsidRPr="00AB7C1E" w:rsidRDefault="00FF7D4E" w:rsidP="00AC7477">
            <w:pPr>
              <w:pStyle w:val="Tabletext0"/>
              <w:tabs>
                <w:tab w:val="clear" w:pos="284"/>
                <w:tab w:val="left" w:pos="667"/>
              </w:tabs>
              <w:ind w:left="567" w:hanging="567"/>
            </w:pPr>
            <w:r w:rsidRPr="00AB7C1E">
              <w:fldChar w:fldCharType="begin">
                <w:ffData>
                  <w:name w:val="Check1"/>
                  <w:enabled/>
                  <w:calcOnExit w:val="0"/>
                  <w:checkBox>
                    <w:sizeAuto/>
                    <w:default w:val="0"/>
                  </w:checkBox>
                </w:ffData>
              </w:fldChar>
            </w:r>
            <w:r w:rsidRPr="00AB7C1E">
              <w:instrText xml:space="preserve"> FORMCHECKBOX </w:instrText>
            </w:r>
            <w:r w:rsidR="00830421">
              <w:fldChar w:fldCharType="separate"/>
            </w:r>
            <w:r w:rsidRPr="00AB7C1E">
              <w:fldChar w:fldCharType="end"/>
            </w:r>
            <w:r w:rsidRPr="00AB7C1E">
              <w:tab/>
            </w:r>
            <w:r w:rsidRPr="00AB7C1E">
              <w:rPr>
                <w:b/>
                <w:bCs/>
              </w:rPr>
              <w:t xml:space="preserve">No otorga autoridad </w:t>
            </w:r>
            <w:r w:rsidRPr="00AB7C1E">
              <w:t>a la Comisión de Estudio 17 a fin de examinar este texto para aprobación (se adjuntan los motivos en que se fundamenta esta opinión y las modificaciones que podrían permitir el proseguimiento de los trabajos)</w:t>
            </w:r>
          </w:p>
        </w:tc>
      </w:tr>
    </w:tbl>
    <w:p w14:paraId="19DF5FD4" w14:textId="77777777" w:rsidR="0061440B" w:rsidRPr="00AB7C1E" w:rsidRDefault="0061440B" w:rsidP="00AC7477">
      <w:pPr>
        <w:pStyle w:val="Normalaftertitle0"/>
      </w:pPr>
      <w:r w:rsidRPr="00AB7C1E">
        <w:t>Atentamente,</w:t>
      </w:r>
    </w:p>
    <w:p w14:paraId="296C11E6" w14:textId="192EC078" w:rsidR="0061440B" w:rsidRPr="00AB7C1E" w:rsidRDefault="0061440B" w:rsidP="00A87D62">
      <w:pPr>
        <w:spacing w:before="480"/>
      </w:pPr>
      <w:r w:rsidRPr="00AB7C1E">
        <w:rPr>
          <w:highlight w:val="green"/>
        </w:rPr>
        <w:t>[Nombre]</w:t>
      </w:r>
      <w:r w:rsidRPr="00AB7C1E">
        <w:rPr>
          <w:highlight w:val="green"/>
        </w:rPr>
        <w:br/>
        <w:t>[Cargo oficial/Título]</w:t>
      </w:r>
      <w:r w:rsidRPr="00AB7C1E">
        <w:br/>
        <w:t xml:space="preserve">Administración de </w:t>
      </w:r>
      <w:r w:rsidRPr="00AB7C1E">
        <w:rPr>
          <w:highlight w:val="green"/>
        </w:rPr>
        <w:t>[Estado Miembro]</w:t>
      </w:r>
    </w:p>
    <w:sectPr w:rsidR="0061440B" w:rsidRPr="00AB7C1E"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606C" w14:textId="77777777" w:rsidR="0061440B" w:rsidRDefault="0061440B">
      <w:r>
        <w:separator/>
      </w:r>
    </w:p>
  </w:endnote>
  <w:endnote w:type="continuationSeparator" w:id="0">
    <w:p w14:paraId="10B6888A" w14:textId="77777777" w:rsidR="0061440B" w:rsidRDefault="006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9E87" w14:textId="44508B09"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AC7477">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025" w14:textId="77777777" w:rsidR="0061440B" w:rsidRDefault="0061440B">
      <w:r>
        <w:t>____________________</w:t>
      </w:r>
    </w:p>
  </w:footnote>
  <w:footnote w:type="continuationSeparator" w:id="0">
    <w:p w14:paraId="67B10D9E" w14:textId="77777777" w:rsidR="0061440B" w:rsidRDefault="0061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1BE" w14:textId="25A67DF0" w:rsidR="00A87D62" w:rsidRPr="00303D62" w:rsidRDefault="006969B4" w:rsidP="009A41ED">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901AF">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9A41ED">
      <w:rPr>
        <w:rStyle w:val="PageNumber"/>
        <w:sz w:val="18"/>
        <w:szCs w:val="18"/>
      </w:rPr>
      <w:br/>
    </w:r>
    <w:r w:rsidR="00A87D62">
      <w:rPr>
        <w:rStyle w:val="PageNumber"/>
        <w:sz w:val="18"/>
        <w:szCs w:val="18"/>
      </w:rPr>
      <w:t xml:space="preserve">Circular TSB </w:t>
    </w:r>
    <w:r w:rsidR="00400561">
      <w:rPr>
        <w:rStyle w:val="PageNumber"/>
        <w:sz w:val="18"/>
        <w:szCs w:val="18"/>
      </w:rPr>
      <w:t>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3A97"/>
    <w:multiLevelType w:val="hybridMultilevel"/>
    <w:tmpl w:val="C4E89FB8"/>
    <w:lvl w:ilvl="0" w:tplc="B51EBE60">
      <w:start w:val="3"/>
      <w:numFmt w:val="bullet"/>
      <w:lvlText w:val="-"/>
      <w:lvlJc w:val="left"/>
      <w:pPr>
        <w:ind w:left="644" w:hanging="360"/>
      </w:pPr>
      <w:rPr>
        <w:rFonts w:ascii="Times New Roman" w:eastAsia="Malgun Gothic" w:hAnsi="Times New Roman" w:cs="Times New Roman" w:hint="default"/>
      </w:rPr>
    </w:lvl>
    <w:lvl w:ilvl="1" w:tplc="FB8272E6" w:tentative="1">
      <w:start w:val="1"/>
      <w:numFmt w:val="bullet"/>
      <w:lvlText w:val=""/>
      <w:lvlJc w:val="left"/>
      <w:pPr>
        <w:ind w:left="1084" w:hanging="400"/>
      </w:pPr>
      <w:rPr>
        <w:rFonts w:ascii="Wingdings" w:hAnsi="Wingdings" w:hint="default"/>
      </w:rPr>
    </w:lvl>
    <w:lvl w:ilvl="2" w:tplc="77B6F4E8" w:tentative="1">
      <w:start w:val="1"/>
      <w:numFmt w:val="bullet"/>
      <w:lvlText w:val=""/>
      <w:lvlJc w:val="left"/>
      <w:pPr>
        <w:ind w:left="1484" w:hanging="400"/>
      </w:pPr>
      <w:rPr>
        <w:rFonts w:ascii="Wingdings" w:hAnsi="Wingdings" w:hint="default"/>
      </w:rPr>
    </w:lvl>
    <w:lvl w:ilvl="3" w:tplc="06ECF5C6" w:tentative="1">
      <w:start w:val="1"/>
      <w:numFmt w:val="bullet"/>
      <w:lvlText w:val=""/>
      <w:lvlJc w:val="left"/>
      <w:pPr>
        <w:ind w:left="1884" w:hanging="400"/>
      </w:pPr>
      <w:rPr>
        <w:rFonts w:ascii="Wingdings" w:hAnsi="Wingdings" w:hint="default"/>
      </w:rPr>
    </w:lvl>
    <w:lvl w:ilvl="4" w:tplc="74E4F176" w:tentative="1">
      <w:start w:val="1"/>
      <w:numFmt w:val="bullet"/>
      <w:lvlText w:val=""/>
      <w:lvlJc w:val="left"/>
      <w:pPr>
        <w:ind w:left="2284" w:hanging="400"/>
      </w:pPr>
      <w:rPr>
        <w:rFonts w:ascii="Wingdings" w:hAnsi="Wingdings" w:hint="default"/>
      </w:rPr>
    </w:lvl>
    <w:lvl w:ilvl="5" w:tplc="BBF2D614" w:tentative="1">
      <w:start w:val="1"/>
      <w:numFmt w:val="bullet"/>
      <w:lvlText w:val=""/>
      <w:lvlJc w:val="left"/>
      <w:pPr>
        <w:ind w:left="2684" w:hanging="400"/>
      </w:pPr>
      <w:rPr>
        <w:rFonts w:ascii="Wingdings" w:hAnsi="Wingdings" w:hint="default"/>
      </w:rPr>
    </w:lvl>
    <w:lvl w:ilvl="6" w:tplc="59CEB00A" w:tentative="1">
      <w:start w:val="1"/>
      <w:numFmt w:val="bullet"/>
      <w:lvlText w:val=""/>
      <w:lvlJc w:val="left"/>
      <w:pPr>
        <w:ind w:left="3084" w:hanging="400"/>
      </w:pPr>
      <w:rPr>
        <w:rFonts w:ascii="Wingdings" w:hAnsi="Wingdings" w:hint="default"/>
      </w:rPr>
    </w:lvl>
    <w:lvl w:ilvl="7" w:tplc="EB9A2A52" w:tentative="1">
      <w:start w:val="1"/>
      <w:numFmt w:val="bullet"/>
      <w:lvlText w:val=""/>
      <w:lvlJc w:val="left"/>
      <w:pPr>
        <w:ind w:left="3484" w:hanging="400"/>
      </w:pPr>
      <w:rPr>
        <w:rFonts w:ascii="Wingdings" w:hAnsi="Wingdings" w:hint="default"/>
      </w:rPr>
    </w:lvl>
    <w:lvl w:ilvl="8" w:tplc="FBB4AC98" w:tentative="1">
      <w:start w:val="1"/>
      <w:numFmt w:val="bullet"/>
      <w:lvlText w:val=""/>
      <w:lvlJc w:val="left"/>
      <w:pPr>
        <w:ind w:left="3884" w:hanging="40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6EE01B86">
      <w:start w:val="1"/>
      <w:numFmt w:val="decimal"/>
      <w:lvlText w:val="%1"/>
      <w:lvlJc w:val="left"/>
      <w:pPr>
        <w:ind w:left="360" w:hanging="360"/>
      </w:pPr>
      <w:rPr>
        <w:rFonts w:hint="default"/>
      </w:rPr>
    </w:lvl>
    <w:lvl w:ilvl="1" w:tplc="42F4062C" w:tentative="1">
      <w:start w:val="1"/>
      <w:numFmt w:val="lowerLetter"/>
      <w:lvlText w:val="%2."/>
      <w:lvlJc w:val="left"/>
      <w:pPr>
        <w:ind w:left="1440" w:hanging="360"/>
      </w:pPr>
    </w:lvl>
    <w:lvl w:ilvl="2" w:tplc="1D20AD30" w:tentative="1">
      <w:start w:val="1"/>
      <w:numFmt w:val="lowerRoman"/>
      <w:lvlText w:val="%3."/>
      <w:lvlJc w:val="right"/>
      <w:pPr>
        <w:ind w:left="2160" w:hanging="180"/>
      </w:pPr>
    </w:lvl>
    <w:lvl w:ilvl="3" w:tplc="786A16AC" w:tentative="1">
      <w:start w:val="1"/>
      <w:numFmt w:val="decimal"/>
      <w:lvlText w:val="%4."/>
      <w:lvlJc w:val="left"/>
      <w:pPr>
        <w:ind w:left="2880" w:hanging="360"/>
      </w:pPr>
    </w:lvl>
    <w:lvl w:ilvl="4" w:tplc="20D272D2" w:tentative="1">
      <w:start w:val="1"/>
      <w:numFmt w:val="lowerLetter"/>
      <w:lvlText w:val="%5."/>
      <w:lvlJc w:val="left"/>
      <w:pPr>
        <w:ind w:left="3600" w:hanging="360"/>
      </w:pPr>
    </w:lvl>
    <w:lvl w:ilvl="5" w:tplc="66D08EEC" w:tentative="1">
      <w:start w:val="1"/>
      <w:numFmt w:val="lowerRoman"/>
      <w:lvlText w:val="%6."/>
      <w:lvlJc w:val="right"/>
      <w:pPr>
        <w:ind w:left="4320" w:hanging="180"/>
      </w:pPr>
    </w:lvl>
    <w:lvl w:ilvl="6" w:tplc="92D45EC6" w:tentative="1">
      <w:start w:val="1"/>
      <w:numFmt w:val="decimal"/>
      <w:lvlText w:val="%7."/>
      <w:lvlJc w:val="left"/>
      <w:pPr>
        <w:ind w:left="5040" w:hanging="360"/>
      </w:pPr>
    </w:lvl>
    <w:lvl w:ilvl="7" w:tplc="3D58A37E" w:tentative="1">
      <w:start w:val="1"/>
      <w:numFmt w:val="lowerLetter"/>
      <w:lvlText w:val="%8."/>
      <w:lvlJc w:val="left"/>
      <w:pPr>
        <w:ind w:left="5760" w:hanging="360"/>
      </w:pPr>
    </w:lvl>
    <w:lvl w:ilvl="8" w:tplc="BEFA2340"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39388825">
    <w:abstractNumId w:val="1"/>
  </w:num>
  <w:num w:numId="2" w16cid:durableId="1679503251">
    <w:abstractNumId w:val="5"/>
  </w:num>
  <w:num w:numId="3" w16cid:durableId="195625129">
    <w:abstractNumId w:val="3"/>
  </w:num>
  <w:num w:numId="4" w16cid:durableId="408696271">
    <w:abstractNumId w:val="2"/>
  </w:num>
  <w:num w:numId="5" w16cid:durableId="306206541">
    <w:abstractNumId w:val="4"/>
  </w:num>
  <w:num w:numId="6" w16cid:durableId="17443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0B"/>
    <w:rsid w:val="00002529"/>
    <w:rsid w:val="00010EC1"/>
    <w:rsid w:val="00073E3E"/>
    <w:rsid w:val="00085662"/>
    <w:rsid w:val="000A4629"/>
    <w:rsid w:val="000C382F"/>
    <w:rsid w:val="000D23FC"/>
    <w:rsid w:val="000D538C"/>
    <w:rsid w:val="000E1839"/>
    <w:rsid w:val="001055B8"/>
    <w:rsid w:val="00110FED"/>
    <w:rsid w:val="001173CC"/>
    <w:rsid w:val="00120570"/>
    <w:rsid w:val="001252CF"/>
    <w:rsid w:val="00135302"/>
    <w:rsid w:val="0014464D"/>
    <w:rsid w:val="00191DED"/>
    <w:rsid w:val="001A54CC"/>
    <w:rsid w:val="001B0B79"/>
    <w:rsid w:val="001F483D"/>
    <w:rsid w:val="00257FB4"/>
    <w:rsid w:val="0027084B"/>
    <w:rsid w:val="002901AF"/>
    <w:rsid w:val="002A0D4E"/>
    <w:rsid w:val="002E496E"/>
    <w:rsid w:val="00302B3A"/>
    <w:rsid w:val="00303D62"/>
    <w:rsid w:val="00306263"/>
    <w:rsid w:val="00335367"/>
    <w:rsid w:val="00337871"/>
    <w:rsid w:val="00370469"/>
    <w:rsid w:val="00370C2D"/>
    <w:rsid w:val="00385EE1"/>
    <w:rsid w:val="00397C85"/>
    <w:rsid w:val="003A353B"/>
    <w:rsid w:val="003D1A70"/>
    <w:rsid w:val="003D1E8D"/>
    <w:rsid w:val="003D673B"/>
    <w:rsid w:val="003E22F2"/>
    <w:rsid w:val="003F2855"/>
    <w:rsid w:val="00400561"/>
    <w:rsid w:val="00401C20"/>
    <w:rsid w:val="00412816"/>
    <w:rsid w:val="004A7957"/>
    <w:rsid w:val="004C1012"/>
    <w:rsid w:val="004C4144"/>
    <w:rsid w:val="004C72B2"/>
    <w:rsid w:val="004E3BE5"/>
    <w:rsid w:val="004E3E9B"/>
    <w:rsid w:val="0050400E"/>
    <w:rsid w:val="0052698F"/>
    <w:rsid w:val="0055719E"/>
    <w:rsid w:val="00576BA6"/>
    <w:rsid w:val="00596152"/>
    <w:rsid w:val="005B3C33"/>
    <w:rsid w:val="005B6A2D"/>
    <w:rsid w:val="005D18C9"/>
    <w:rsid w:val="005F5A58"/>
    <w:rsid w:val="006012DF"/>
    <w:rsid w:val="0061440B"/>
    <w:rsid w:val="00642C4B"/>
    <w:rsid w:val="006920D8"/>
    <w:rsid w:val="00694C97"/>
    <w:rsid w:val="0069693C"/>
    <w:rsid w:val="006969B4"/>
    <w:rsid w:val="006E4F7B"/>
    <w:rsid w:val="006E5785"/>
    <w:rsid w:val="007032F9"/>
    <w:rsid w:val="0071152D"/>
    <w:rsid w:val="0073060E"/>
    <w:rsid w:val="00736785"/>
    <w:rsid w:val="007429BF"/>
    <w:rsid w:val="007565DB"/>
    <w:rsid w:val="00781E2A"/>
    <w:rsid w:val="007933A2"/>
    <w:rsid w:val="007B6316"/>
    <w:rsid w:val="00812B31"/>
    <w:rsid w:val="00814503"/>
    <w:rsid w:val="008258C2"/>
    <w:rsid w:val="00830421"/>
    <w:rsid w:val="008505BD"/>
    <w:rsid w:val="00850C78"/>
    <w:rsid w:val="008577DB"/>
    <w:rsid w:val="00863855"/>
    <w:rsid w:val="00864406"/>
    <w:rsid w:val="00876165"/>
    <w:rsid w:val="00884D12"/>
    <w:rsid w:val="00896CCA"/>
    <w:rsid w:val="008C17AD"/>
    <w:rsid w:val="008D02CD"/>
    <w:rsid w:val="008F33C3"/>
    <w:rsid w:val="0091370C"/>
    <w:rsid w:val="0095172A"/>
    <w:rsid w:val="00961B5B"/>
    <w:rsid w:val="009A0BA0"/>
    <w:rsid w:val="009A41ED"/>
    <w:rsid w:val="009A6E45"/>
    <w:rsid w:val="009D526C"/>
    <w:rsid w:val="009D6F27"/>
    <w:rsid w:val="009F3653"/>
    <w:rsid w:val="00A43844"/>
    <w:rsid w:val="00A523F3"/>
    <w:rsid w:val="00A54E47"/>
    <w:rsid w:val="00A64C3D"/>
    <w:rsid w:val="00A86F2D"/>
    <w:rsid w:val="00A87D62"/>
    <w:rsid w:val="00A941B3"/>
    <w:rsid w:val="00AA5922"/>
    <w:rsid w:val="00AB1984"/>
    <w:rsid w:val="00AB6E3A"/>
    <w:rsid w:val="00AB7C1E"/>
    <w:rsid w:val="00AC07CF"/>
    <w:rsid w:val="00AC7477"/>
    <w:rsid w:val="00AD75E0"/>
    <w:rsid w:val="00AE2318"/>
    <w:rsid w:val="00AE7093"/>
    <w:rsid w:val="00AF4268"/>
    <w:rsid w:val="00B007BC"/>
    <w:rsid w:val="00B01315"/>
    <w:rsid w:val="00B0647E"/>
    <w:rsid w:val="00B422BC"/>
    <w:rsid w:val="00B43F77"/>
    <w:rsid w:val="00B55A3E"/>
    <w:rsid w:val="00B56110"/>
    <w:rsid w:val="00B87E9E"/>
    <w:rsid w:val="00B95F0A"/>
    <w:rsid w:val="00B96180"/>
    <w:rsid w:val="00BC55F6"/>
    <w:rsid w:val="00BD760C"/>
    <w:rsid w:val="00BE1380"/>
    <w:rsid w:val="00BE37E3"/>
    <w:rsid w:val="00BE5A29"/>
    <w:rsid w:val="00BF0F7B"/>
    <w:rsid w:val="00C116FE"/>
    <w:rsid w:val="00C1299D"/>
    <w:rsid w:val="00C17AC0"/>
    <w:rsid w:val="00C30BF5"/>
    <w:rsid w:val="00C34772"/>
    <w:rsid w:val="00C5465A"/>
    <w:rsid w:val="00C552D3"/>
    <w:rsid w:val="00C678B6"/>
    <w:rsid w:val="00CA5F95"/>
    <w:rsid w:val="00CD6078"/>
    <w:rsid w:val="00CD6BF1"/>
    <w:rsid w:val="00D34E94"/>
    <w:rsid w:val="00D54642"/>
    <w:rsid w:val="00D63828"/>
    <w:rsid w:val="00D834E7"/>
    <w:rsid w:val="00DA094A"/>
    <w:rsid w:val="00DA100E"/>
    <w:rsid w:val="00DD77C9"/>
    <w:rsid w:val="00DF3538"/>
    <w:rsid w:val="00E0215A"/>
    <w:rsid w:val="00E77E66"/>
    <w:rsid w:val="00E839B0"/>
    <w:rsid w:val="00E92C09"/>
    <w:rsid w:val="00EB77B4"/>
    <w:rsid w:val="00EC3DE5"/>
    <w:rsid w:val="00EE4117"/>
    <w:rsid w:val="00F14380"/>
    <w:rsid w:val="00F53AC6"/>
    <w:rsid w:val="00F57963"/>
    <w:rsid w:val="00F6461F"/>
    <w:rsid w:val="00FA6382"/>
    <w:rsid w:val="00FC30C9"/>
    <w:rsid w:val="00FC416A"/>
    <w:rsid w:val="00FC44BB"/>
    <w:rsid w:val="00FD2B2D"/>
    <w:rsid w:val="00FE196C"/>
    <w:rsid w:val="00FF2FA1"/>
    <w:rsid w:val="00FF7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537FC"/>
  <w15:docId w15:val="{1969FEA8-4213-4339-B9DE-E8CEF8E8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61440B"/>
    <w:rPr>
      <w:color w:val="605E5C"/>
      <w:shd w:val="clear" w:color="auto" w:fill="E1DFDD"/>
    </w:rPr>
  </w:style>
  <w:style w:type="paragraph" w:customStyle="1" w:styleId="Reasons">
    <w:name w:val="Reasons"/>
    <w:basedOn w:val="Normal"/>
    <w:qFormat/>
    <w:rsid w:val="0052698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00561"/>
    <w:rPr>
      <w:color w:val="605E5C"/>
      <w:shd w:val="clear" w:color="auto" w:fill="E1DFDD"/>
    </w:rPr>
  </w:style>
  <w:style w:type="paragraph" w:styleId="Revision">
    <w:name w:val="Revision"/>
    <w:hidden/>
    <w:uiPriority w:val="99"/>
    <w:semiHidden/>
    <w:rsid w:val="006920D8"/>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50/es" TargetMode="External"/><Relationship Id="rId18" Type="http://schemas.openxmlformats.org/officeDocument/2006/relationships/hyperlink" Target="https://www.itu.int/md/T22-SG17-R-0049/es" TargetMode="External"/><Relationship Id="rId3" Type="http://schemas.openxmlformats.org/officeDocument/2006/relationships/styles" Target="styles.xml"/><Relationship Id="rId21" Type="http://schemas.openxmlformats.org/officeDocument/2006/relationships/hyperlink" Target="mailto:tsbdir@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52/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22-SG17-R-0051/es" TargetMode="External"/><Relationship Id="rId20" Type="http://schemas.openxmlformats.org/officeDocument/2006/relationships/hyperlink" Target="https://www.itu.int/md/T22-SG17-R-004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p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22-SG17-R-0048/es" TargetMode="External"/><Relationship Id="rId23" Type="http://schemas.openxmlformats.org/officeDocument/2006/relationships/footer" Target="footer1.xml"/><Relationship Id="rId10" Type="http://schemas.openxmlformats.org/officeDocument/2006/relationships/hyperlink" Target="https://www.itu.int/md/T22-SG17-COL-0006/en" TargetMode="External"/><Relationship Id="rId19" Type="http://schemas.openxmlformats.org/officeDocument/2006/relationships/hyperlink" Target="https://www.itu.int/md/T22-SG17-R-0053/es"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47/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5B07-9CA0-4E3A-9C5A-D0D42FDA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135</TotalTime>
  <Pages>9</Pages>
  <Words>2794</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19070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12</cp:revision>
  <cp:lastPrinted>2023-11-15T14:28:00Z</cp:lastPrinted>
  <dcterms:created xsi:type="dcterms:W3CDTF">2023-10-16T14:55:00Z</dcterms:created>
  <dcterms:modified xsi:type="dcterms:W3CDTF">2023-11-15T14:29:00Z</dcterms:modified>
</cp:coreProperties>
</file>