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D9D023B" w14:textId="77777777" w:rsidTr="00D517B2">
        <w:trPr>
          <w:cantSplit/>
          <w:trHeight w:val="1134"/>
        </w:trPr>
        <w:tc>
          <w:tcPr>
            <w:tcW w:w="798" w:type="pct"/>
          </w:tcPr>
          <w:p w14:paraId="522DCDCC" w14:textId="77777777" w:rsidR="00D517B2" w:rsidRPr="00D517B2" w:rsidRDefault="00D517B2" w:rsidP="00D517B2">
            <w:pPr>
              <w:spacing w:before="0" w:line="240" w:lineRule="auto"/>
              <w:rPr>
                <w:b/>
                <w:bCs/>
                <w:rtl/>
                <w:lang w:bidi="ar-EG"/>
              </w:rPr>
            </w:pPr>
            <w:r w:rsidRPr="00D517B2">
              <w:rPr>
                <w:noProof/>
              </w:rPr>
              <w:drawing>
                <wp:inline distT="0" distB="0" distL="0" distR="0" wp14:anchorId="5BC09767" wp14:editId="067D3FF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23CFC8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8B1873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69244A2" w14:textId="77777777" w:rsidTr="00873469">
        <w:trPr>
          <w:cantSplit/>
          <w:trHeight w:val="142"/>
          <w:jc w:val="center"/>
        </w:trPr>
        <w:tc>
          <w:tcPr>
            <w:tcW w:w="796" w:type="pct"/>
          </w:tcPr>
          <w:p w14:paraId="5B6B3C37" w14:textId="77777777" w:rsidR="00D517B2" w:rsidRPr="00D517B2" w:rsidRDefault="00D517B2" w:rsidP="00BB0F08">
            <w:pPr>
              <w:spacing w:line="300" w:lineRule="exact"/>
              <w:jc w:val="left"/>
              <w:rPr>
                <w:position w:val="2"/>
              </w:rPr>
            </w:pPr>
          </w:p>
        </w:tc>
        <w:tc>
          <w:tcPr>
            <w:tcW w:w="1998" w:type="pct"/>
          </w:tcPr>
          <w:p w14:paraId="3BF1FF52" w14:textId="77777777" w:rsidR="00D517B2" w:rsidRPr="00D517B2" w:rsidRDefault="00D517B2" w:rsidP="00BB0F08">
            <w:pPr>
              <w:spacing w:line="300" w:lineRule="exact"/>
              <w:jc w:val="left"/>
              <w:rPr>
                <w:position w:val="2"/>
              </w:rPr>
            </w:pPr>
          </w:p>
        </w:tc>
        <w:tc>
          <w:tcPr>
            <w:tcW w:w="2206" w:type="pct"/>
          </w:tcPr>
          <w:p w14:paraId="4DDCB17F" w14:textId="77777777" w:rsidR="00D517B2" w:rsidRPr="00873469" w:rsidRDefault="00D517B2" w:rsidP="00BB0F08">
            <w:pPr>
              <w:spacing w:line="300" w:lineRule="exact"/>
              <w:jc w:val="left"/>
              <w:rPr>
                <w:position w:val="2"/>
                <w:lang w:bidi="ar-EG"/>
              </w:rPr>
            </w:pPr>
          </w:p>
        </w:tc>
      </w:tr>
      <w:tr w:rsidR="00D517B2" w:rsidRPr="00D517B2" w14:paraId="36666084" w14:textId="77777777" w:rsidTr="00D517B2">
        <w:trPr>
          <w:cantSplit/>
          <w:trHeight w:val="148"/>
          <w:jc w:val="center"/>
        </w:trPr>
        <w:tc>
          <w:tcPr>
            <w:tcW w:w="796" w:type="pct"/>
          </w:tcPr>
          <w:p w14:paraId="545FB91E" w14:textId="77777777" w:rsidR="00D517B2" w:rsidRPr="00D517B2" w:rsidRDefault="00D517B2" w:rsidP="00D517B2">
            <w:pPr>
              <w:spacing w:before="80" w:after="60" w:line="300" w:lineRule="exact"/>
              <w:jc w:val="left"/>
              <w:rPr>
                <w:position w:val="2"/>
              </w:rPr>
            </w:pPr>
          </w:p>
        </w:tc>
        <w:tc>
          <w:tcPr>
            <w:tcW w:w="1998" w:type="pct"/>
          </w:tcPr>
          <w:p w14:paraId="774D8B90" w14:textId="77777777" w:rsidR="00D517B2" w:rsidRPr="00D517B2" w:rsidRDefault="00D517B2" w:rsidP="00D517B2">
            <w:pPr>
              <w:spacing w:before="80" w:after="60" w:line="300" w:lineRule="exact"/>
              <w:jc w:val="left"/>
              <w:rPr>
                <w:position w:val="2"/>
                <w:lang w:bidi="ar-EG"/>
              </w:rPr>
            </w:pPr>
          </w:p>
        </w:tc>
        <w:tc>
          <w:tcPr>
            <w:tcW w:w="2206" w:type="pct"/>
          </w:tcPr>
          <w:p w14:paraId="74F00114" w14:textId="43AE9E2A" w:rsidR="00D517B2" w:rsidRPr="00D517B2" w:rsidRDefault="00CA0C77" w:rsidP="00D517B2">
            <w:pPr>
              <w:spacing w:before="80" w:after="60" w:line="300" w:lineRule="exact"/>
              <w:jc w:val="left"/>
              <w:rPr>
                <w:position w:val="2"/>
                <w:rtl/>
                <w:lang w:bidi="ar-EG"/>
              </w:rPr>
            </w:pPr>
            <w:r w:rsidRPr="00CA0C77">
              <w:rPr>
                <w:position w:val="2"/>
                <w:rtl/>
              </w:rPr>
              <w:t>جنيف، 1 نوفمبر 2023</w:t>
            </w:r>
          </w:p>
        </w:tc>
      </w:tr>
      <w:tr w:rsidR="00421C43" w:rsidRPr="00D517B2" w14:paraId="1ED051E7" w14:textId="77777777" w:rsidTr="00E84438">
        <w:trPr>
          <w:cantSplit/>
          <w:trHeight w:val="831"/>
          <w:jc w:val="center"/>
        </w:trPr>
        <w:tc>
          <w:tcPr>
            <w:tcW w:w="796" w:type="pct"/>
          </w:tcPr>
          <w:p w14:paraId="1091725C" w14:textId="77777777" w:rsidR="00421C43" w:rsidRPr="00A9156F" w:rsidRDefault="00421C43" w:rsidP="00D517B2">
            <w:pPr>
              <w:spacing w:before="80" w:after="60" w:line="300" w:lineRule="exact"/>
              <w:jc w:val="left"/>
              <w:rPr>
                <w:b/>
                <w:bCs/>
                <w:position w:val="2"/>
              </w:rPr>
            </w:pPr>
            <w:r w:rsidRPr="00A9156F">
              <w:rPr>
                <w:rFonts w:hint="cs"/>
                <w:b/>
                <w:bCs/>
                <w:position w:val="2"/>
                <w:rtl/>
              </w:rPr>
              <w:t>المرجع:</w:t>
            </w:r>
          </w:p>
        </w:tc>
        <w:tc>
          <w:tcPr>
            <w:tcW w:w="1998" w:type="pct"/>
          </w:tcPr>
          <w:p w14:paraId="36DCF50F" w14:textId="40269090" w:rsidR="00421C43" w:rsidRPr="009226B7" w:rsidRDefault="009226B7" w:rsidP="009226B7">
            <w:pPr>
              <w:pStyle w:val="TSBCircNo"/>
              <w:framePr w:hSpace="0" w:wrap="auto" w:vAnchor="margin" w:hAnchor="text" w:xAlign="left" w:yAlign="inline"/>
              <w:bidi/>
              <w:rPr>
                <w:rFonts w:hint="default"/>
              </w:rPr>
            </w:pPr>
            <w:r w:rsidRPr="009226B7">
              <w:rPr>
                <w:rFonts w:ascii="Dubai" w:hAnsi="Dubai" w:cs="Dubai"/>
                <w:szCs w:val="22"/>
              </w:rPr>
              <w:t>TSB Circular 147</w:t>
            </w:r>
            <w:r w:rsidR="00421C43">
              <w:rPr>
                <w:rFonts w:cs="Dubai" w:hint="default"/>
                <w:szCs w:val="22"/>
                <w:lang w:val="ar-SA" w:eastAsia="zh-TW" w:bidi="en-GB"/>
              </w:rPr>
              <w:br/>
            </w:r>
            <w:r w:rsidR="00421C43" w:rsidRPr="00CA0C77">
              <w:rPr>
                <w:rFonts w:cs="Dubai"/>
                <w:b w:val="0"/>
                <w:bCs w:val="0"/>
                <w:sz w:val="20"/>
                <w:szCs w:val="22"/>
                <w:rtl/>
              </w:rPr>
              <w:t>SG12/MA</w:t>
            </w:r>
          </w:p>
        </w:tc>
        <w:tc>
          <w:tcPr>
            <w:tcW w:w="2206" w:type="pct"/>
            <w:vMerge w:val="restart"/>
          </w:tcPr>
          <w:p w14:paraId="55B21EC8" w14:textId="77777777" w:rsidR="00421C43" w:rsidRPr="00421C43" w:rsidRDefault="00421C43" w:rsidP="00D517B2">
            <w:pPr>
              <w:tabs>
                <w:tab w:val="clear" w:pos="794"/>
                <w:tab w:val="left" w:pos="284"/>
              </w:tabs>
              <w:spacing w:before="80" w:after="60" w:line="300" w:lineRule="exact"/>
              <w:ind w:left="284" w:hanging="284"/>
              <w:jc w:val="left"/>
              <w:rPr>
                <w:b/>
                <w:bCs/>
                <w:position w:val="2"/>
                <w:rtl/>
                <w:lang w:bidi="ar-EG"/>
              </w:rPr>
            </w:pPr>
            <w:r w:rsidRPr="00421C43">
              <w:rPr>
                <w:rFonts w:hint="cs"/>
                <w:b/>
                <w:bCs/>
                <w:position w:val="2"/>
                <w:rtl/>
              </w:rPr>
              <w:t>إلى:</w:t>
            </w:r>
          </w:p>
          <w:p w14:paraId="3FF09199" w14:textId="77777777" w:rsidR="00421C43" w:rsidRPr="00421C43" w:rsidRDefault="00421C43" w:rsidP="00CA0C77">
            <w:pPr>
              <w:tabs>
                <w:tab w:val="clear" w:pos="794"/>
                <w:tab w:val="left" w:pos="284"/>
              </w:tabs>
              <w:spacing w:before="80" w:after="60" w:line="300" w:lineRule="exact"/>
              <w:ind w:left="284" w:hanging="284"/>
              <w:jc w:val="left"/>
              <w:rPr>
                <w:position w:val="2"/>
                <w:rtl/>
              </w:rPr>
            </w:pPr>
            <w:r w:rsidRPr="00421C43">
              <w:rPr>
                <w:rFonts w:hint="cs"/>
                <w:position w:val="2"/>
                <w:rtl/>
              </w:rPr>
              <w:t>-</w:t>
            </w:r>
            <w:r w:rsidRPr="00421C43">
              <w:rPr>
                <w:position w:val="2"/>
                <w:rtl/>
              </w:rPr>
              <w:tab/>
            </w:r>
            <w:r w:rsidRPr="00421C43">
              <w:rPr>
                <w:rFonts w:hint="cs"/>
                <w:position w:val="2"/>
                <w:rtl/>
              </w:rPr>
              <w:t>إدارات الدول الأعضاء في الاتحاد</w:t>
            </w:r>
          </w:p>
          <w:p w14:paraId="0B0E6A9C" w14:textId="77777777" w:rsidR="00421C43" w:rsidRPr="00421C43" w:rsidRDefault="00421C43" w:rsidP="00CE1C08">
            <w:pPr>
              <w:tabs>
                <w:tab w:val="clear" w:pos="794"/>
                <w:tab w:val="left" w:pos="284"/>
              </w:tabs>
              <w:spacing w:before="80" w:after="60" w:line="300" w:lineRule="exact"/>
              <w:ind w:left="284" w:hanging="284"/>
              <w:jc w:val="left"/>
              <w:rPr>
                <w:b/>
                <w:bCs/>
                <w:position w:val="2"/>
                <w:rtl/>
              </w:rPr>
            </w:pPr>
            <w:r w:rsidRPr="00421C43">
              <w:rPr>
                <w:rFonts w:hint="cs"/>
                <w:b/>
                <w:bCs/>
                <w:position w:val="2"/>
                <w:rtl/>
              </w:rPr>
              <w:t>نسخة إلى:</w:t>
            </w:r>
          </w:p>
          <w:p w14:paraId="431C95D9" w14:textId="77777777" w:rsidR="00421C43" w:rsidRPr="00421C43" w:rsidRDefault="00421C43" w:rsidP="00CA0C77">
            <w:pPr>
              <w:tabs>
                <w:tab w:val="left" w:pos="284"/>
                <w:tab w:val="left" w:pos="4111"/>
              </w:tabs>
              <w:spacing w:before="0" w:line="340" w:lineRule="exact"/>
              <w:ind w:left="284" w:hanging="284"/>
              <w:rPr>
                <w:rFonts w:eastAsia="Times New Roman"/>
                <w:position w:val="2"/>
                <w:rtl/>
                <w:lang w:eastAsia="en-US"/>
              </w:rPr>
            </w:pPr>
            <w:r w:rsidRPr="00421C43">
              <w:rPr>
                <w:rFonts w:hint="cs"/>
                <w:position w:val="2"/>
                <w:rtl/>
              </w:rPr>
              <w:t>-</w:t>
            </w:r>
            <w:r w:rsidRPr="00421C43">
              <w:rPr>
                <w:position w:val="2"/>
                <w:rtl/>
              </w:rPr>
              <w:tab/>
            </w:r>
            <w:r w:rsidRPr="00421C43">
              <w:rPr>
                <w:rtl/>
              </w:rPr>
              <w:t>أعضاء قطاع تقييس الاتصالات</w:t>
            </w:r>
            <w:r w:rsidRPr="00421C43">
              <w:rPr>
                <w:rFonts w:eastAsia="Times New Roman" w:hint="cs"/>
                <w:position w:val="2"/>
                <w:rtl/>
                <w:lang w:eastAsia="en-US"/>
              </w:rPr>
              <w:t>؛</w:t>
            </w:r>
          </w:p>
          <w:p w14:paraId="3AAD81FF" w14:textId="77777777" w:rsidR="00421C43" w:rsidRPr="00421C43" w:rsidRDefault="00421C43" w:rsidP="00CA0C77">
            <w:pPr>
              <w:tabs>
                <w:tab w:val="left" w:pos="284"/>
                <w:tab w:val="left" w:pos="4111"/>
              </w:tabs>
              <w:spacing w:before="0" w:line="340" w:lineRule="exact"/>
              <w:ind w:left="284" w:hanging="284"/>
              <w:rPr>
                <w:rFonts w:eastAsia="Times New Roman"/>
                <w:position w:val="2"/>
                <w:rtl/>
                <w:lang w:eastAsia="en-US"/>
              </w:rPr>
            </w:pPr>
            <w:r w:rsidRPr="00421C43">
              <w:rPr>
                <w:rFonts w:hint="cs"/>
                <w:position w:val="2"/>
                <w:rtl/>
              </w:rPr>
              <w:t>-</w:t>
            </w:r>
            <w:r w:rsidRPr="00421C43">
              <w:rPr>
                <w:position w:val="2"/>
                <w:rtl/>
              </w:rPr>
              <w:tab/>
            </w:r>
            <w:r w:rsidRPr="00421C43">
              <w:rPr>
                <w:rtl/>
              </w:rPr>
              <w:t>المنتسبين إلى لجنة الدراسات 12 لقطاع تقييس الاتصالات</w:t>
            </w:r>
            <w:r w:rsidRPr="00421C43">
              <w:rPr>
                <w:rFonts w:eastAsia="Times New Roman" w:hint="cs"/>
                <w:position w:val="2"/>
                <w:rtl/>
                <w:lang w:eastAsia="en-US"/>
              </w:rPr>
              <w:t>؛</w:t>
            </w:r>
          </w:p>
          <w:p w14:paraId="2D60D726" w14:textId="77777777" w:rsidR="00421C43" w:rsidRPr="00421C43" w:rsidRDefault="00421C43" w:rsidP="00CA0C77">
            <w:pPr>
              <w:tabs>
                <w:tab w:val="left" w:pos="284"/>
                <w:tab w:val="left" w:pos="4111"/>
              </w:tabs>
              <w:spacing w:before="0" w:line="340" w:lineRule="exact"/>
              <w:ind w:left="284" w:hanging="284"/>
              <w:rPr>
                <w:rFonts w:eastAsia="Times New Roman"/>
                <w:position w:val="2"/>
                <w:rtl/>
                <w:lang w:eastAsia="en-US"/>
              </w:rPr>
            </w:pPr>
            <w:r w:rsidRPr="00421C43">
              <w:rPr>
                <w:rFonts w:hint="cs"/>
                <w:position w:val="2"/>
                <w:rtl/>
              </w:rPr>
              <w:t>-</w:t>
            </w:r>
            <w:r w:rsidRPr="00421C43">
              <w:rPr>
                <w:position w:val="2"/>
                <w:rtl/>
              </w:rPr>
              <w:tab/>
            </w:r>
            <w:r w:rsidRPr="00421C43">
              <w:rPr>
                <w:rtl/>
              </w:rPr>
              <w:t>الهيئات الأكاديمية المنضمة إلى الاتحاد</w:t>
            </w:r>
            <w:r w:rsidRPr="00421C43">
              <w:rPr>
                <w:rFonts w:eastAsia="Times New Roman" w:hint="cs"/>
                <w:position w:val="2"/>
                <w:rtl/>
                <w:lang w:eastAsia="en-US"/>
              </w:rPr>
              <w:t>؛</w:t>
            </w:r>
          </w:p>
          <w:p w14:paraId="772A9987" w14:textId="77777777" w:rsidR="00421C43" w:rsidRPr="00421C43" w:rsidRDefault="00421C43" w:rsidP="00CA0C77">
            <w:pPr>
              <w:tabs>
                <w:tab w:val="left" w:pos="284"/>
                <w:tab w:val="left" w:pos="4111"/>
              </w:tabs>
              <w:spacing w:before="0" w:line="340" w:lineRule="exact"/>
              <w:ind w:left="284" w:hanging="284"/>
              <w:rPr>
                <w:rFonts w:eastAsia="Times New Roman"/>
                <w:position w:val="2"/>
                <w:rtl/>
                <w:lang w:eastAsia="en-US"/>
              </w:rPr>
            </w:pPr>
            <w:r w:rsidRPr="00421C43">
              <w:rPr>
                <w:rFonts w:hint="cs"/>
                <w:position w:val="2"/>
                <w:rtl/>
              </w:rPr>
              <w:t>-</w:t>
            </w:r>
            <w:r w:rsidRPr="00421C43">
              <w:rPr>
                <w:position w:val="2"/>
                <w:rtl/>
              </w:rPr>
              <w:tab/>
            </w:r>
            <w:r w:rsidRPr="00421C43">
              <w:rPr>
                <w:rFonts w:eastAsia="Times New Roman"/>
                <w:position w:val="2"/>
                <w:rtl/>
                <w:lang w:eastAsia="en-US"/>
              </w:rPr>
              <w:t>رئيس لجنة الدراسات 12 لقطاع تقييس الاتصالات ونوابه</w:t>
            </w:r>
            <w:r w:rsidRPr="00421C43">
              <w:rPr>
                <w:rFonts w:eastAsia="Times New Roman" w:hint="cs"/>
                <w:position w:val="2"/>
                <w:rtl/>
                <w:lang w:eastAsia="en-US"/>
              </w:rPr>
              <w:t>؛</w:t>
            </w:r>
          </w:p>
          <w:p w14:paraId="3850D03F" w14:textId="77777777" w:rsidR="00421C43" w:rsidRPr="00421C43" w:rsidRDefault="00421C43" w:rsidP="00CA0C77">
            <w:pPr>
              <w:tabs>
                <w:tab w:val="left" w:pos="284"/>
                <w:tab w:val="left" w:pos="4111"/>
              </w:tabs>
              <w:spacing w:before="0" w:line="340" w:lineRule="exact"/>
              <w:rPr>
                <w:rFonts w:eastAsia="Times New Roman"/>
                <w:position w:val="2"/>
                <w:rtl/>
                <w:lang w:eastAsia="en-US"/>
              </w:rPr>
            </w:pPr>
            <w:r w:rsidRPr="00421C43">
              <w:rPr>
                <w:rFonts w:eastAsia="Times New Roman" w:hint="cs"/>
                <w:position w:val="2"/>
                <w:rtl/>
                <w:lang w:eastAsia="en-US"/>
              </w:rPr>
              <w:t>-</w:t>
            </w:r>
            <w:r w:rsidRPr="00421C43">
              <w:rPr>
                <w:rFonts w:eastAsia="Times New Roman"/>
                <w:position w:val="2"/>
                <w:rtl/>
                <w:lang w:eastAsia="en-US"/>
              </w:rPr>
              <w:tab/>
              <w:t>مدير مكتب تنمية الاتصالات</w:t>
            </w:r>
            <w:r w:rsidRPr="00421C43">
              <w:rPr>
                <w:rFonts w:eastAsia="Times New Roman" w:hint="cs"/>
                <w:position w:val="2"/>
                <w:rtl/>
                <w:lang w:eastAsia="en-US"/>
              </w:rPr>
              <w:t>؛</w:t>
            </w:r>
          </w:p>
          <w:p w14:paraId="2B420541" w14:textId="0F51D2A3" w:rsidR="00421C43" w:rsidRPr="00CA0C77" w:rsidRDefault="00421C43" w:rsidP="004B64CB">
            <w:pPr>
              <w:tabs>
                <w:tab w:val="left" w:pos="284"/>
                <w:tab w:val="left" w:pos="4111"/>
              </w:tabs>
              <w:spacing w:before="0" w:line="340" w:lineRule="exact"/>
              <w:ind w:left="284" w:hanging="284"/>
              <w:rPr>
                <w:position w:val="2"/>
                <w:rtl/>
              </w:rPr>
            </w:pPr>
            <w:r w:rsidRPr="00421C43">
              <w:rPr>
                <w:rFonts w:eastAsia="Times New Roman" w:hint="cs"/>
                <w:position w:val="2"/>
                <w:rtl/>
                <w:lang w:eastAsia="en-US"/>
              </w:rPr>
              <w:t>-</w:t>
            </w:r>
            <w:r w:rsidRPr="00421C43">
              <w:rPr>
                <w:rFonts w:eastAsia="Times New Roman"/>
                <w:position w:val="2"/>
                <w:rtl/>
                <w:lang w:eastAsia="en-US"/>
              </w:rPr>
              <w:tab/>
              <w:t>مدير مكتب الاتصالات الراديوية</w:t>
            </w:r>
          </w:p>
        </w:tc>
      </w:tr>
      <w:tr w:rsidR="00421C43" w:rsidRPr="00D517B2" w14:paraId="7FE30768" w14:textId="77777777" w:rsidTr="00D517B2">
        <w:trPr>
          <w:cantSplit/>
          <w:trHeight w:val="340"/>
          <w:jc w:val="center"/>
        </w:trPr>
        <w:tc>
          <w:tcPr>
            <w:tcW w:w="796" w:type="pct"/>
          </w:tcPr>
          <w:p w14:paraId="38E2C2BE" w14:textId="77777777" w:rsidR="00421C43" w:rsidRPr="00A9156F" w:rsidRDefault="00421C43"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E55B2DC" w14:textId="47839FC2" w:rsidR="00421C43" w:rsidRPr="00D517B2" w:rsidRDefault="00421C43" w:rsidP="00D517B2">
            <w:pPr>
              <w:spacing w:before="80" w:after="60" w:line="300" w:lineRule="exact"/>
              <w:jc w:val="left"/>
              <w:rPr>
                <w:b/>
                <w:position w:val="2"/>
              </w:rPr>
            </w:pPr>
            <w:r w:rsidRPr="00D517B2">
              <w:rPr>
                <w:position w:val="2"/>
              </w:rPr>
              <w:t>+41 22 730 </w:t>
            </w:r>
            <w:r>
              <w:rPr>
                <w:szCs w:val="18"/>
              </w:rPr>
              <w:t>6828</w:t>
            </w:r>
          </w:p>
        </w:tc>
        <w:tc>
          <w:tcPr>
            <w:tcW w:w="2206" w:type="pct"/>
            <w:vMerge/>
          </w:tcPr>
          <w:p w14:paraId="68BB98D5" w14:textId="4578A220" w:rsidR="00421C43" w:rsidRPr="00CA0C77" w:rsidRDefault="00421C43" w:rsidP="004B64CB">
            <w:pPr>
              <w:tabs>
                <w:tab w:val="left" w:pos="284"/>
                <w:tab w:val="left" w:pos="4111"/>
              </w:tabs>
              <w:spacing w:before="0" w:line="340" w:lineRule="exact"/>
              <w:ind w:left="284" w:hanging="284"/>
              <w:rPr>
                <w:position w:val="2"/>
                <w:rtl/>
              </w:rPr>
            </w:pPr>
          </w:p>
        </w:tc>
      </w:tr>
      <w:tr w:rsidR="00421C43" w:rsidRPr="00D517B2" w14:paraId="4185CF88" w14:textId="77777777" w:rsidTr="00CE1C08">
        <w:trPr>
          <w:cantSplit/>
          <w:trHeight w:val="737"/>
          <w:jc w:val="center"/>
        </w:trPr>
        <w:tc>
          <w:tcPr>
            <w:tcW w:w="796" w:type="pct"/>
          </w:tcPr>
          <w:p w14:paraId="43A00D6D" w14:textId="77777777" w:rsidR="00421C43" w:rsidRPr="00A9156F" w:rsidRDefault="00421C43"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6E2FF71F" w14:textId="77777777" w:rsidR="00421C43" w:rsidRPr="00D517B2" w:rsidRDefault="00421C43" w:rsidP="00D517B2">
            <w:pPr>
              <w:spacing w:before="80" w:after="60" w:line="300" w:lineRule="exact"/>
              <w:jc w:val="left"/>
              <w:rPr>
                <w:position w:val="2"/>
              </w:rPr>
            </w:pPr>
            <w:r w:rsidRPr="00D517B2">
              <w:rPr>
                <w:position w:val="2"/>
              </w:rPr>
              <w:t>+41 22 730 5853</w:t>
            </w:r>
          </w:p>
        </w:tc>
        <w:tc>
          <w:tcPr>
            <w:tcW w:w="2206" w:type="pct"/>
            <w:vMerge/>
          </w:tcPr>
          <w:p w14:paraId="41284903" w14:textId="453D5F11" w:rsidR="00421C43" w:rsidRPr="00CA0C77" w:rsidRDefault="00421C43" w:rsidP="004B64CB">
            <w:pPr>
              <w:tabs>
                <w:tab w:val="left" w:pos="284"/>
                <w:tab w:val="left" w:pos="4111"/>
              </w:tabs>
              <w:spacing w:before="0" w:line="340" w:lineRule="exact"/>
              <w:ind w:left="284" w:hanging="284"/>
              <w:rPr>
                <w:position w:val="2"/>
                <w:rtl/>
              </w:rPr>
            </w:pPr>
          </w:p>
        </w:tc>
      </w:tr>
      <w:tr w:rsidR="00421C43" w:rsidRPr="00D517B2" w14:paraId="2703A448" w14:textId="77777777" w:rsidTr="00D517B2">
        <w:trPr>
          <w:cantSplit/>
          <w:jc w:val="center"/>
        </w:trPr>
        <w:tc>
          <w:tcPr>
            <w:tcW w:w="796" w:type="pct"/>
          </w:tcPr>
          <w:p w14:paraId="45776D45" w14:textId="77777777" w:rsidR="00421C43" w:rsidRPr="00A9156F" w:rsidRDefault="00421C43"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11A7DA3E" w14:textId="46F75DB9" w:rsidR="00421C43" w:rsidRPr="006E1BAD" w:rsidRDefault="00000000" w:rsidP="00421C43">
            <w:pPr>
              <w:spacing w:before="80" w:after="60" w:line="300" w:lineRule="exact"/>
              <w:jc w:val="left"/>
              <w:rPr>
                <w:position w:val="2"/>
                <w:highlight w:val="magenta"/>
                <w:rtl/>
                <w:lang w:bidi="ar-EG"/>
              </w:rPr>
            </w:pPr>
            <w:hyperlink r:id="rId9" w:history="1">
              <w:r w:rsidR="00421C43" w:rsidRPr="00421C43">
                <w:rPr>
                  <w:rStyle w:val="Hyperlink"/>
                  <w:lang w:val="en-GB"/>
                </w:rPr>
                <w:t>tsbsg12@itu.int</w:t>
              </w:r>
            </w:hyperlink>
          </w:p>
        </w:tc>
        <w:tc>
          <w:tcPr>
            <w:tcW w:w="2206" w:type="pct"/>
            <w:vMerge/>
          </w:tcPr>
          <w:p w14:paraId="2286C36B" w14:textId="5AFFA2CA" w:rsidR="00421C43" w:rsidRPr="00CA0C77" w:rsidRDefault="00421C43" w:rsidP="00CE1C08">
            <w:pPr>
              <w:tabs>
                <w:tab w:val="left" w:pos="284"/>
                <w:tab w:val="left" w:pos="4111"/>
              </w:tabs>
              <w:spacing w:before="0" w:line="340" w:lineRule="exact"/>
              <w:ind w:left="284" w:hanging="284"/>
              <w:rPr>
                <w:position w:val="2"/>
                <w:rtl/>
              </w:rPr>
            </w:pPr>
          </w:p>
        </w:tc>
      </w:tr>
      <w:tr w:rsidR="00CE1C08" w:rsidRPr="00D517B2" w14:paraId="4750CD38" w14:textId="77777777" w:rsidTr="00D517B2">
        <w:trPr>
          <w:cantSplit/>
          <w:jc w:val="center"/>
        </w:trPr>
        <w:tc>
          <w:tcPr>
            <w:tcW w:w="796" w:type="pct"/>
          </w:tcPr>
          <w:p w14:paraId="45A5CB54"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4763EB8" w14:textId="155290B6" w:rsidR="00CE1C08" w:rsidRPr="00D517B2" w:rsidRDefault="00CA0C77" w:rsidP="00421C43">
            <w:pPr>
              <w:spacing w:before="80" w:after="60" w:line="300" w:lineRule="exact"/>
              <w:rPr>
                <w:position w:val="2"/>
                <w:rtl/>
              </w:rPr>
            </w:pPr>
            <w:r w:rsidRPr="00CA0C77">
              <w:rPr>
                <w:b/>
                <w:bCs/>
                <w:position w:val="2"/>
                <w:rtl/>
              </w:rPr>
              <w:t xml:space="preserve">اقتراح بإلغاء التوصيتين </w:t>
            </w:r>
            <w:r w:rsidRPr="00CA0C77">
              <w:rPr>
                <w:b/>
                <w:bCs/>
                <w:position w:val="2"/>
              </w:rPr>
              <w:t>ITU-T P.911</w:t>
            </w:r>
            <w:r w:rsidRPr="00CA0C77">
              <w:rPr>
                <w:b/>
                <w:bCs/>
                <w:position w:val="2"/>
                <w:rtl/>
              </w:rPr>
              <w:t xml:space="preserve"> و</w:t>
            </w:r>
            <w:r w:rsidRPr="00CA0C77">
              <w:rPr>
                <w:b/>
                <w:bCs/>
                <w:position w:val="2"/>
              </w:rPr>
              <w:t>ITU-T P.913</w:t>
            </w:r>
            <w:r w:rsidRPr="00CA0C77">
              <w:rPr>
                <w:b/>
                <w:bCs/>
                <w:position w:val="2"/>
                <w:rtl/>
              </w:rPr>
              <w:t xml:space="preserve"> وافقت عليه لجنة الدراسات 12 لقطاع تقييس الاتصالات في اجتماعها الذي عُقد في مكسيكو </w:t>
            </w:r>
            <w:r w:rsidR="00421C43">
              <w:rPr>
                <w:rFonts w:hint="cs"/>
                <w:b/>
                <w:bCs/>
                <w:position w:val="2"/>
                <w:rtl/>
                <w:lang w:bidi="ar-EG"/>
              </w:rPr>
              <w:t xml:space="preserve">سيتي </w:t>
            </w:r>
            <w:r w:rsidRPr="00CA0C77">
              <w:rPr>
                <w:b/>
                <w:bCs/>
                <w:position w:val="2"/>
                <w:rtl/>
              </w:rPr>
              <w:t>في الفترة من 19 إلى 28 سبتمبر 2023</w:t>
            </w:r>
          </w:p>
        </w:tc>
      </w:tr>
    </w:tbl>
    <w:p w14:paraId="01DDB5EA" w14:textId="77777777" w:rsidR="00D517B2" w:rsidRPr="00D517B2" w:rsidRDefault="00D517B2" w:rsidP="006635B2">
      <w:pPr>
        <w:spacing w:before="600"/>
        <w:rPr>
          <w:lang w:bidi="ar-SY"/>
        </w:rPr>
      </w:pPr>
      <w:r w:rsidRPr="00D517B2">
        <w:rPr>
          <w:rFonts w:hint="cs"/>
          <w:rtl/>
          <w:lang w:bidi="ar-SY"/>
        </w:rPr>
        <w:t>حضرات السادة والسيدات،</w:t>
      </w:r>
    </w:p>
    <w:p w14:paraId="319879F2" w14:textId="77777777" w:rsidR="00D517B2" w:rsidRPr="00D517B2" w:rsidRDefault="00D517B2" w:rsidP="00D517B2">
      <w:pPr>
        <w:rPr>
          <w:rtl/>
          <w:lang w:bidi="ar-EG"/>
        </w:rPr>
      </w:pPr>
      <w:r w:rsidRPr="00D517B2">
        <w:rPr>
          <w:rFonts w:hint="cs"/>
          <w:rtl/>
        </w:rPr>
        <w:t>تحية طيبة وبعد،</w:t>
      </w:r>
    </w:p>
    <w:p w14:paraId="08D3C04E" w14:textId="5A9059A8" w:rsidR="00CA0C77" w:rsidRPr="00421C43" w:rsidRDefault="00CA0C77" w:rsidP="00CA0C77">
      <w:pPr>
        <w:textDirection w:val="tbRlV"/>
        <w:rPr>
          <w:lang w:val="ar-SA" w:eastAsia="zh-TW" w:bidi="en-GB"/>
        </w:rPr>
      </w:pPr>
      <w:r w:rsidRPr="00421C43">
        <w:rPr>
          <w:rtl/>
          <w:lang w:bidi="ar-AE"/>
        </w:rPr>
        <w:t>1</w:t>
      </w:r>
      <w:r w:rsidRPr="00421C43">
        <w:rPr>
          <w:rtl/>
          <w:lang w:bidi="ar-AE"/>
        </w:rPr>
        <w:tab/>
      </w:r>
      <w:r w:rsidRPr="00421C43">
        <w:rPr>
          <w:rtl/>
        </w:rPr>
        <w:t>بناء على طلب رئيس لجنة الدراسات 12 (الأداء، وجودة الخدمة (</w:t>
      </w:r>
      <w:r w:rsidRPr="00421C43">
        <w:t>QoS</w:t>
      </w:r>
      <w:r w:rsidRPr="00421C43">
        <w:rPr>
          <w:rtl/>
        </w:rPr>
        <w:t>) وجودة التجربة (</w:t>
      </w:r>
      <w:r w:rsidRPr="00421C43">
        <w:t>QoE</w:t>
      </w:r>
      <w:r w:rsidRPr="00421C43">
        <w:rPr>
          <w:rtl/>
        </w:rPr>
        <w:t>))، أتشرف بأن أحيطكم علماً بأن لجنة الدراسات هذه وافقت في اجتماعها المنعقد في مكسيكو</w:t>
      </w:r>
      <w:r w:rsidR="00421C43" w:rsidRPr="00421C43">
        <w:rPr>
          <w:rFonts w:hint="cs"/>
          <w:rtl/>
        </w:rPr>
        <w:t xml:space="preserve"> سيتي</w:t>
      </w:r>
      <w:r w:rsidRPr="00421C43">
        <w:rPr>
          <w:rtl/>
        </w:rPr>
        <w:t>، في الفترة 19-28 سبتمبر 2023، على الشروع في إلغاء توصيتي قطاع تقييس الاتصالات المذكورتين أعلاه، وفقاً لأحكام الفقرة 1.2.8.9 من القرار 1 للجمعية العالمية لتقييس الاتصالات (المراج</w:t>
      </w:r>
      <w:r w:rsidR="00421C43">
        <w:rPr>
          <w:rFonts w:hint="cs"/>
          <w:rtl/>
        </w:rPr>
        <w:t>َ</w:t>
      </w:r>
      <w:r w:rsidRPr="00421C43">
        <w:rPr>
          <w:rtl/>
        </w:rPr>
        <w:t>ع في جنيف، 2022). وقد تم التوصل إلى هذا الاتفاق دون معارضة من الدول الأعضاء أو أعضاء القطاع الذين يتصرفون نيابة عن الدول الأعضاء بموجب الرقم 239 من اتفاقية الاتحاد الحاضرين في الاجتماع.</w:t>
      </w:r>
    </w:p>
    <w:p w14:paraId="3E852AA1" w14:textId="77777777" w:rsidR="00CA0C77" w:rsidRPr="00421C43" w:rsidRDefault="00CA0C77" w:rsidP="00CA0C77">
      <w:pPr>
        <w:textDirection w:val="tbRlV"/>
        <w:rPr>
          <w:lang w:val="ar-SA" w:eastAsia="zh-TW" w:bidi="en-GB"/>
        </w:rPr>
      </w:pPr>
      <w:r w:rsidRPr="00421C43">
        <w:rPr>
          <w:rtl/>
        </w:rPr>
        <w:t>2</w:t>
      </w:r>
      <w:r w:rsidRPr="00421C43">
        <w:rPr>
          <w:rtl/>
        </w:rPr>
        <w:tab/>
        <w:t xml:space="preserve">وترد في </w:t>
      </w:r>
      <w:r w:rsidRPr="00421C43">
        <w:rPr>
          <w:b/>
          <w:bCs/>
          <w:rtl/>
        </w:rPr>
        <w:t>الملحق 1</w:t>
      </w:r>
      <w:r w:rsidRPr="00421C43">
        <w:rPr>
          <w:rtl/>
        </w:rPr>
        <w:t xml:space="preserve"> معلومات عن هذا الاتفاق بما في ذلك ملخص لتفسير أسباب الإلغاء.</w:t>
      </w:r>
    </w:p>
    <w:p w14:paraId="15C14878" w14:textId="77777777" w:rsidR="00CA0C77" w:rsidRPr="00421C43" w:rsidRDefault="00CA0C77" w:rsidP="00CA0C77">
      <w:pPr>
        <w:textDirection w:val="tbRlV"/>
        <w:rPr>
          <w:lang w:val="ar-SA" w:eastAsia="zh-TW" w:bidi="ar-EG"/>
        </w:rPr>
      </w:pPr>
      <w:r w:rsidRPr="00421C43">
        <w:rPr>
          <w:rtl/>
        </w:rPr>
        <w:t>3</w:t>
      </w:r>
      <w:r w:rsidRPr="00421C43">
        <w:rPr>
          <w:rtl/>
        </w:rPr>
        <w:tab/>
        <w:t xml:space="preserve">ووفقاً للقسم 1.2.8.9 من القرار 1، سيدخل الإلغاء حيز النفاذ إذا لم يتم تلقي أي اعتراض على الإلغاء بحلول الساعة </w:t>
      </w:r>
      <w:r w:rsidRPr="00421C43">
        <w:t>23:59</w:t>
      </w:r>
      <w:r w:rsidRPr="00421C43">
        <w:rPr>
          <w:rtl/>
        </w:rPr>
        <w:t xml:space="preserve"> بالتوقيت العالمي المنسق في </w:t>
      </w:r>
      <w:r w:rsidRPr="00421C43">
        <w:rPr>
          <w:b/>
          <w:bCs/>
          <w:rtl/>
        </w:rPr>
        <w:t>1 فبراير 2024</w:t>
      </w:r>
      <w:r w:rsidRPr="00421C43">
        <w:rPr>
          <w:rtl/>
        </w:rPr>
        <w:t>.</w:t>
      </w:r>
    </w:p>
    <w:p w14:paraId="3305DF3D" w14:textId="77777777" w:rsidR="00CA0C77" w:rsidRPr="00421C43" w:rsidRDefault="00CA0C77" w:rsidP="00CA0C77">
      <w:pPr>
        <w:textDirection w:val="tbRlV"/>
        <w:rPr>
          <w:lang w:val="ar-SA" w:eastAsia="zh-TW" w:bidi="en-GB"/>
        </w:rPr>
      </w:pPr>
      <w:r w:rsidRPr="00421C43">
        <w:rPr>
          <w:rtl/>
        </w:rPr>
        <w:tab/>
        <w:t>إذا رأت أي من الدول الأعضاء أو أعضاء القطاع الذين يتصرفون نيابة عن الدول الأعضاء بموجب الرقم 239 من اتفاقية الاتحاد ما يمنع الموافقة على الإلغاء، فينبغي لهم أن يذكروا أسباب عدم الموافقة وسيُحال الأمر مرة أخرى إلى لجنة الدراسات.</w:t>
      </w:r>
    </w:p>
    <w:p w14:paraId="0351F11E" w14:textId="77777777" w:rsidR="00CA0C77" w:rsidRPr="00421C43" w:rsidRDefault="00CA0C77" w:rsidP="00421C43">
      <w:pPr>
        <w:keepNext/>
        <w:tabs>
          <w:tab w:val="left" w:pos="1296"/>
          <w:tab w:val="left" w:pos="2160"/>
          <w:tab w:val="left" w:pos="3024"/>
          <w:tab w:val="left" w:pos="7056"/>
          <w:tab w:val="left" w:pos="8496"/>
        </w:tabs>
        <w:textDirection w:val="tbRlV"/>
        <w:rPr>
          <w:lang w:val="ar-SA" w:eastAsia="zh-TW" w:bidi="en-GB"/>
        </w:rPr>
      </w:pPr>
      <w:r w:rsidRPr="00421C43">
        <w:rPr>
          <w:rtl/>
        </w:rPr>
        <w:lastRenderedPageBreak/>
        <w:t>4</w:t>
      </w:r>
      <w:r w:rsidRPr="00421C43">
        <w:rPr>
          <w:rtl/>
        </w:rPr>
        <w:tab/>
        <w:t>وستعلن نتيجة هذه المشاورة بعد وقت قصير من الموعد النهائي من خلال رسالة معممة لمكتب تقييس الاتصالات وستنشر في النشرة التشغيلية للاتحاد.</w:t>
      </w:r>
    </w:p>
    <w:p w14:paraId="0E4A4B14" w14:textId="77777777" w:rsidR="00E84438" w:rsidRPr="00421C43" w:rsidRDefault="00E84438" w:rsidP="00421C43">
      <w:pPr>
        <w:keepNext/>
        <w:spacing w:before="240"/>
        <w:ind w:left="-57"/>
        <w:jc w:val="left"/>
        <w:rPr>
          <w:rtl/>
          <w:lang w:bidi="ar-EG"/>
        </w:rPr>
      </w:pPr>
      <w:r w:rsidRPr="00421C43">
        <w:rPr>
          <w:rFonts w:hint="cs"/>
          <w:rtl/>
          <w:lang w:bidi="ar-EG"/>
        </w:rPr>
        <w:t>وتفضلوا بقبول فائق التقدير والاحترام.</w:t>
      </w:r>
    </w:p>
    <w:p w14:paraId="532EF018" w14:textId="35A0E268" w:rsidR="00E84438" w:rsidRPr="00421C43" w:rsidRDefault="00E84438" w:rsidP="00421C43">
      <w:pPr>
        <w:keepNext/>
        <w:tabs>
          <w:tab w:val="clear" w:pos="794"/>
          <w:tab w:val="left" w:pos="6275"/>
        </w:tabs>
        <w:spacing w:before="600" w:after="600"/>
        <w:jc w:val="left"/>
        <w:rPr>
          <w:i/>
          <w:iCs/>
          <w:rtl/>
          <w:lang w:bidi="ar-SY"/>
        </w:rPr>
      </w:pPr>
      <w:r w:rsidRPr="00421C43">
        <w:rPr>
          <w:rFonts w:hint="cs"/>
          <w:i/>
          <w:iCs/>
          <w:rtl/>
          <w:lang w:bidi="ar-SY"/>
        </w:rPr>
        <w:t>(توقيع)</w:t>
      </w:r>
    </w:p>
    <w:p w14:paraId="4ABD9A8A" w14:textId="589BBB42" w:rsidR="00E84438" w:rsidRPr="00421C43" w:rsidRDefault="00807031" w:rsidP="00421C43">
      <w:pPr>
        <w:keepNext/>
        <w:jc w:val="left"/>
        <w:rPr>
          <w:lang w:bidi="ar-SY"/>
        </w:rPr>
      </w:pPr>
      <w:proofErr w:type="spellStart"/>
      <w:r w:rsidRPr="00421C43">
        <w:rPr>
          <w:rFonts w:hint="cs"/>
          <w:rtl/>
          <w:lang w:bidi="ar-SY"/>
        </w:rPr>
        <w:t>سيزو</w:t>
      </w:r>
      <w:proofErr w:type="spellEnd"/>
      <w:r w:rsidRPr="00421C43">
        <w:rPr>
          <w:rFonts w:hint="cs"/>
          <w:rtl/>
          <w:lang w:bidi="ar-SY"/>
        </w:rPr>
        <w:t xml:space="preserve"> </w:t>
      </w:r>
      <w:proofErr w:type="spellStart"/>
      <w:r w:rsidRPr="00421C43">
        <w:rPr>
          <w:rFonts w:hint="cs"/>
          <w:rtl/>
          <w:lang w:bidi="ar-SY"/>
        </w:rPr>
        <w:t>أونوي</w:t>
      </w:r>
      <w:proofErr w:type="spellEnd"/>
      <w:r w:rsidR="00E84438" w:rsidRPr="00421C43">
        <w:rPr>
          <w:rtl/>
          <w:lang w:bidi="ar-SY"/>
        </w:rPr>
        <w:br/>
      </w:r>
      <w:r w:rsidR="00E84438" w:rsidRPr="00421C43">
        <w:rPr>
          <w:rFonts w:hint="cs"/>
          <w:rtl/>
          <w:lang w:bidi="ar-SY"/>
        </w:rPr>
        <w:t>مدير</w:t>
      </w:r>
      <w:r w:rsidR="00E84438" w:rsidRPr="00421C43">
        <w:rPr>
          <w:rtl/>
          <w:lang w:bidi="ar-SY"/>
        </w:rPr>
        <w:t xml:space="preserve"> </w:t>
      </w:r>
      <w:r w:rsidR="00E84438" w:rsidRPr="00421C43">
        <w:rPr>
          <w:rFonts w:hint="cs"/>
          <w:rtl/>
          <w:lang w:bidi="ar-SY"/>
        </w:rPr>
        <w:t>مكتب</w:t>
      </w:r>
      <w:r w:rsidR="00E84438" w:rsidRPr="00421C43">
        <w:rPr>
          <w:rtl/>
          <w:lang w:bidi="ar-SY"/>
        </w:rPr>
        <w:t xml:space="preserve"> </w:t>
      </w:r>
      <w:r w:rsidR="00E84438" w:rsidRPr="00421C43">
        <w:rPr>
          <w:rFonts w:hint="cs"/>
          <w:rtl/>
          <w:lang w:bidi="ar-SY"/>
        </w:rPr>
        <w:t>تقييس</w:t>
      </w:r>
      <w:r w:rsidR="00E84438" w:rsidRPr="00421C43">
        <w:rPr>
          <w:rtl/>
          <w:lang w:bidi="ar-SY"/>
        </w:rPr>
        <w:t xml:space="preserve"> </w:t>
      </w:r>
      <w:r w:rsidR="00E84438" w:rsidRPr="00421C43">
        <w:rPr>
          <w:rFonts w:hint="cs"/>
          <w:rtl/>
          <w:lang w:bidi="ar-SY"/>
        </w:rPr>
        <w:t>الاتصالات</w:t>
      </w:r>
    </w:p>
    <w:p w14:paraId="696BC47E" w14:textId="7F11DFB4" w:rsidR="00CA0C77" w:rsidRPr="00421C43" w:rsidRDefault="00CA0C77" w:rsidP="00CA0C77">
      <w:pPr>
        <w:spacing w:before="360"/>
        <w:textDirection w:val="tbRlV"/>
        <w:rPr>
          <w:rtl/>
        </w:rPr>
      </w:pPr>
      <w:r w:rsidRPr="00421C43">
        <w:rPr>
          <w:bCs/>
          <w:rtl/>
        </w:rPr>
        <w:t>الملحقات</w:t>
      </w:r>
      <w:r w:rsidRPr="00421C43">
        <w:rPr>
          <w:bCs/>
        </w:rPr>
        <w:t>:</w:t>
      </w:r>
      <w:r w:rsidRPr="00421C43">
        <w:rPr>
          <w:bCs/>
          <w:rtl/>
        </w:rPr>
        <w:t xml:space="preserve"> 1</w:t>
      </w:r>
    </w:p>
    <w:p w14:paraId="66DE8775" w14:textId="77777777" w:rsidR="00596808" w:rsidRDefault="00596808" w:rsidP="00E84438">
      <w:pPr>
        <w:rPr>
          <w:rtl/>
          <w:lang w:bidi="ar-EG"/>
        </w:rPr>
      </w:pPr>
      <w:r>
        <w:rPr>
          <w:rtl/>
          <w:lang w:bidi="ar-EG"/>
        </w:rPr>
        <w:br w:type="page"/>
      </w:r>
    </w:p>
    <w:p w14:paraId="61618148" w14:textId="77777777" w:rsidR="00CA0C77" w:rsidRPr="00421C43" w:rsidRDefault="00CA0C77" w:rsidP="00421C43">
      <w:pPr>
        <w:pStyle w:val="AnnexNo"/>
        <w:rPr>
          <w:rtl/>
        </w:rPr>
      </w:pPr>
      <w:r w:rsidRPr="00421C43">
        <w:rPr>
          <w:rtl/>
        </w:rPr>
        <w:lastRenderedPageBreak/>
        <w:t>الملحق 1</w:t>
      </w:r>
    </w:p>
    <w:p w14:paraId="74A98C4E" w14:textId="77777777" w:rsidR="00CA0C77" w:rsidRPr="00C87686" w:rsidRDefault="00CA0C77" w:rsidP="00421C43">
      <w:pPr>
        <w:pStyle w:val="Annextitle"/>
        <w:rPr>
          <w:lang w:val="ar-SA" w:eastAsia="zh-TW" w:bidi="en-GB"/>
        </w:rPr>
      </w:pPr>
      <w:r>
        <w:rPr>
          <w:rtl/>
        </w:rPr>
        <w:t>التوصيتان</w:t>
      </w:r>
      <w:r w:rsidRPr="00C87686">
        <w:rPr>
          <w:rtl/>
        </w:rPr>
        <w:t xml:space="preserve"> المقترح إلغاؤه</w:t>
      </w:r>
      <w:r>
        <w:rPr>
          <w:rtl/>
        </w:rPr>
        <w:t>م</w:t>
      </w:r>
      <w:r w:rsidRPr="00C87686">
        <w:rPr>
          <w:rtl/>
        </w:rPr>
        <w:t>ا</w:t>
      </w:r>
      <w:r w:rsidRPr="00C87686">
        <w:rPr>
          <w:rFonts w:ascii="Simplified Arabic"/>
        </w:rPr>
        <w:t>:</w:t>
      </w:r>
      <w:r w:rsidRPr="00C87686">
        <w:rPr>
          <w:rtl/>
        </w:rPr>
        <w:t xml:space="preserve"> </w:t>
      </w:r>
      <w:r w:rsidRPr="00C87686">
        <w:rPr>
          <w:sz w:val="20"/>
          <w:rtl/>
        </w:rPr>
        <w:t>ITU-T P.911</w:t>
      </w:r>
      <w:r w:rsidRPr="00C87686">
        <w:rPr>
          <w:rtl/>
        </w:rPr>
        <w:t xml:space="preserve"> ،</w:t>
      </w:r>
      <w:r w:rsidRPr="00C87686">
        <w:rPr>
          <w:sz w:val="20"/>
          <w:rtl/>
        </w:rPr>
        <w:t>ITU-T P.913‎</w:t>
      </w:r>
    </w:p>
    <w:tbl>
      <w:tblPr>
        <w:tblStyle w:val="TableGrid"/>
        <w:bidiVisual/>
        <w:tblW w:w="9719" w:type="dxa"/>
        <w:tblLayout w:type="fixed"/>
        <w:tblLook w:val="04A0" w:firstRow="1" w:lastRow="0" w:firstColumn="1" w:lastColumn="0" w:noHBand="0" w:noVBand="1"/>
      </w:tblPr>
      <w:tblGrid>
        <w:gridCol w:w="9719"/>
      </w:tblGrid>
      <w:tr w:rsidR="00CA0C77" w:rsidRPr="00421C43" w14:paraId="42772712" w14:textId="77777777" w:rsidTr="00421C43">
        <w:tc>
          <w:tcPr>
            <w:tcW w:w="9719" w:type="dxa"/>
          </w:tcPr>
          <w:p w14:paraId="57F08DA7" w14:textId="688830E0" w:rsidR="00CA0C77" w:rsidRPr="00421C43" w:rsidRDefault="00CA0C77" w:rsidP="00C04975">
            <w:pPr>
              <w:spacing w:before="240"/>
              <w:textDirection w:val="tbRlV"/>
              <w:rPr>
                <w:b/>
                <w:bCs/>
                <w:lang w:val="ar-SA" w:eastAsia="zh-TW" w:bidi="en-GB"/>
              </w:rPr>
            </w:pPr>
            <w:r w:rsidRPr="00421C43">
              <w:rPr>
                <w:b/>
                <w:bCs/>
                <w:rtl/>
              </w:rPr>
              <w:t>التوصية ITU-T P.911، طر</w:t>
            </w:r>
            <w:r w:rsidRPr="00421C43">
              <w:rPr>
                <w:b/>
                <w:bCs/>
                <w:i/>
                <w:iCs/>
                <w:rtl/>
              </w:rPr>
              <w:t xml:space="preserve">ائق التقييم الشخصي للجودة السمعية المرئية في تطبيقات الوسائط المتعددة </w:t>
            </w:r>
            <w:r w:rsidRPr="00421C43">
              <w:rPr>
                <w:b/>
                <w:bCs/>
                <w:rtl/>
              </w:rPr>
              <w:t>(12/1998)</w:t>
            </w:r>
          </w:p>
        </w:tc>
      </w:tr>
      <w:tr w:rsidR="00CA0C77" w:rsidRPr="00421C43" w14:paraId="7CF36C27" w14:textId="77777777" w:rsidTr="00421C43">
        <w:tc>
          <w:tcPr>
            <w:tcW w:w="9719" w:type="dxa"/>
          </w:tcPr>
          <w:p w14:paraId="7022AA7D" w14:textId="77777777" w:rsidR="00CA0C77" w:rsidRPr="00421C43" w:rsidRDefault="00CA0C77" w:rsidP="00C04975">
            <w:pPr>
              <w:textDirection w:val="tbRlV"/>
              <w:rPr>
                <w:i/>
                <w:iCs/>
                <w:lang w:val="ar-SA" w:eastAsia="zh-TW" w:bidi="en-GB"/>
              </w:rPr>
            </w:pPr>
            <w:r w:rsidRPr="00421C43">
              <w:rPr>
                <w:i/>
                <w:iCs/>
                <w:rtl/>
              </w:rPr>
              <w:t>ملخص:</w:t>
            </w:r>
          </w:p>
        </w:tc>
      </w:tr>
      <w:tr w:rsidR="00CA0C77" w:rsidRPr="00421C43" w14:paraId="1FD17570" w14:textId="77777777" w:rsidTr="00421C43">
        <w:tc>
          <w:tcPr>
            <w:tcW w:w="9719" w:type="dxa"/>
          </w:tcPr>
          <w:p w14:paraId="2188FFFE" w14:textId="77777777" w:rsidR="00CA0C77" w:rsidRPr="00421C43" w:rsidRDefault="00CA0C77" w:rsidP="00C04975">
            <w:pPr>
              <w:textDirection w:val="tbRlV"/>
              <w:rPr>
                <w:lang w:val="ar-SA" w:eastAsia="zh-TW" w:bidi="en-GB"/>
              </w:rPr>
            </w:pPr>
            <w:r w:rsidRPr="00421C43">
              <w:rPr>
                <w:rtl/>
              </w:rPr>
              <w:t xml:space="preserve">تصف هذه التوصية طرائق تقييم شخصية غير تفاعلية من أجل تقييم الجودة السمعية المرئية الكلية في اتجاه واحد بالنسبة لتطبيقات الوسائط المتعددة مثل المؤتمرات </w:t>
            </w:r>
            <w:proofErr w:type="spellStart"/>
            <w:r w:rsidRPr="00421C43">
              <w:rPr>
                <w:rtl/>
              </w:rPr>
              <w:t>الفيديوية</w:t>
            </w:r>
            <w:proofErr w:type="spellEnd"/>
            <w:r w:rsidRPr="00421C43">
              <w:rPr>
                <w:rtl/>
              </w:rPr>
              <w:t xml:space="preserve"> وتطبيقات التخزين والاستعادة وغيرها. ويمكن استعمال هذه الطرائق لأغراض عديدة مختلفة، منها على سبيل الذكر وليس الحصر، اختبار الخوارزميات وتقييم أداء الأنظمة السمعية المرئية وتقييم مستوى الجودة أثناء توصيل سمعي مرئي. وعند تقييم الجوانب التفاعلية، ينبغي استعمال طرائق اختبار المحادثة الموصوفة في التوصية P.920. وتحدد هذه التوصية كذلك خصائص </w:t>
            </w:r>
            <w:proofErr w:type="spellStart"/>
            <w:r w:rsidRPr="00421C43">
              <w:rPr>
                <w:rtl/>
              </w:rPr>
              <w:t>تتابعات</w:t>
            </w:r>
            <w:proofErr w:type="spellEnd"/>
            <w:r w:rsidRPr="00421C43">
              <w:rPr>
                <w:rtl/>
              </w:rPr>
              <w:t xml:space="preserve"> المصدر التي يتعين استعمالها، مثل المدة ونوع المحتوى وعدد </w:t>
            </w:r>
            <w:proofErr w:type="spellStart"/>
            <w:r w:rsidRPr="00421C43">
              <w:rPr>
                <w:rtl/>
              </w:rPr>
              <w:t>التتابعات</w:t>
            </w:r>
            <w:proofErr w:type="spellEnd"/>
            <w:r w:rsidRPr="00421C43">
              <w:rPr>
                <w:rtl/>
              </w:rPr>
              <w:t xml:space="preserve"> وما إلى ذلك.  وأخيراً، تقدم مؤشرات عن العلاقة بين الجودة السمعية والجودة السمعية المرئية، حيث إنها استمدت من نتائج الاختبارات التي أجريت بشكل مستقل في مختبرات مختلفة.‎</w:t>
            </w:r>
          </w:p>
        </w:tc>
      </w:tr>
      <w:tr w:rsidR="00CA0C77" w:rsidRPr="00421C43" w14:paraId="41430C32" w14:textId="77777777" w:rsidTr="00421C43">
        <w:tc>
          <w:tcPr>
            <w:tcW w:w="9719" w:type="dxa"/>
          </w:tcPr>
          <w:p w14:paraId="41930C13" w14:textId="77777777" w:rsidR="00CA0C77" w:rsidRPr="00421C43" w:rsidRDefault="00CA0C77" w:rsidP="00C04975">
            <w:pPr>
              <w:textDirection w:val="tbRlV"/>
              <w:rPr>
                <w:i/>
                <w:iCs/>
                <w:lang w:val="ar-SA" w:eastAsia="zh-TW" w:bidi="en-GB"/>
              </w:rPr>
            </w:pPr>
            <w:r w:rsidRPr="00421C43">
              <w:rPr>
                <w:i/>
                <w:iCs/>
                <w:rtl/>
              </w:rPr>
              <w:t>أسباب إلغاء التوصية المذكورة أعلاه:</w:t>
            </w:r>
          </w:p>
        </w:tc>
      </w:tr>
      <w:tr w:rsidR="00CA0C77" w:rsidRPr="00421C43" w14:paraId="1E784E6B" w14:textId="77777777" w:rsidTr="00421C43">
        <w:tc>
          <w:tcPr>
            <w:tcW w:w="9719" w:type="dxa"/>
          </w:tcPr>
          <w:p w14:paraId="4437A518" w14:textId="4CE42C66" w:rsidR="00CA0C77" w:rsidRPr="00421C43" w:rsidRDefault="00CA0C77" w:rsidP="00421C43">
            <w:pPr>
              <w:rPr>
                <w:b/>
                <w:lang w:val="ar-SA" w:eastAsia="zh-TW" w:bidi="en-GB"/>
              </w:rPr>
            </w:pPr>
            <w:r w:rsidRPr="00421C43">
              <w:rPr>
                <w:rtl/>
              </w:rPr>
              <w:t>روجعت التوصية ITU-T P.910 "</w:t>
            </w:r>
            <w:r w:rsidRPr="00421C43">
              <w:rPr>
                <w:i/>
                <w:iCs/>
                <w:rtl/>
              </w:rPr>
              <w:t>طرائق التقييم الشخصي لجودة الفيديو للتطبيقات متعددة الوسائط"</w:t>
            </w:r>
            <w:r w:rsidRPr="00421C43">
              <w:rPr>
                <w:rtl/>
              </w:rPr>
              <w:t xml:space="preserve"> مع تضمين محتويات التوصية ITU-T P.911</w:t>
            </w:r>
            <w:r w:rsidRPr="00421C43">
              <w:rPr>
                <w:i/>
                <w:iCs/>
                <w:rtl/>
              </w:rPr>
              <w:t xml:space="preserve"> "طرائق التقييم الشخصي للجودة السمعية المرئية لتطبيقات الوسائط المتعددة"</w:t>
            </w:r>
            <w:r w:rsidRPr="00421C43">
              <w:rPr>
                <w:rtl/>
              </w:rPr>
              <w:t xml:space="preserve"> والتوصية </w:t>
            </w:r>
            <w:r w:rsidR="00421C43" w:rsidRPr="00421C43">
              <w:t>ITU</w:t>
            </w:r>
            <w:r w:rsidR="00421C43" w:rsidRPr="00421C43">
              <w:noBreakHyphen/>
              <w:t>T P.913</w:t>
            </w:r>
            <w:r w:rsidR="00421C43">
              <w:rPr>
                <w:rFonts w:hint="cs"/>
                <w:i/>
                <w:iCs/>
                <w:rtl/>
              </w:rPr>
              <w:t xml:space="preserve"> </w:t>
            </w:r>
            <w:r w:rsidRPr="00421C43">
              <w:rPr>
                <w:i/>
                <w:iCs/>
                <w:rtl/>
              </w:rPr>
              <w:t xml:space="preserve">"طرائق التقييم الشخصي للجودة </w:t>
            </w:r>
            <w:proofErr w:type="spellStart"/>
            <w:r w:rsidRPr="00421C43">
              <w:rPr>
                <w:i/>
                <w:iCs/>
                <w:rtl/>
              </w:rPr>
              <w:t>الفيديوية</w:t>
            </w:r>
            <w:proofErr w:type="spellEnd"/>
            <w:r w:rsidRPr="00421C43">
              <w:rPr>
                <w:i/>
                <w:iCs/>
                <w:rtl/>
              </w:rPr>
              <w:t xml:space="preserve"> والجودة السمعية والجودة السمعية المرئية لفيديو الإنترنت وجودة توزيع التلفزيون في أي بيئة</w:t>
            </w:r>
            <w:r w:rsidRPr="00421C43">
              <w:rPr>
                <w:rtl/>
              </w:rPr>
              <w:t>".</w:t>
            </w:r>
          </w:p>
          <w:p w14:paraId="25C555C6" w14:textId="3E779489" w:rsidR="00CA0C77" w:rsidRPr="00421C43" w:rsidRDefault="00CA0C77" w:rsidP="00421C43">
            <w:pPr>
              <w:rPr>
                <w:lang w:val="ar-SA" w:eastAsia="zh-TW" w:bidi="ar-AE"/>
              </w:rPr>
            </w:pPr>
            <w:r w:rsidRPr="00421C43">
              <w:rPr>
                <w:rtl/>
              </w:rPr>
              <w:t xml:space="preserve">وبعد الموافقة على التوصية المراجعة ITU-T P.910 (أكتوبر 2023)، يقترح إلغاء التوصيتين ITU-T P.911 </w:t>
            </w:r>
            <w:proofErr w:type="spellStart"/>
            <w:r w:rsidRPr="00421C43">
              <w:rPr>
                <w:rtl/>
              </w:rPr>
              <w:t>وITU</w:t>
            </w:r>
            <w:proofErr w:type="spellEnd"/>
            <w:r w:rsidRPr="00421C43">
              <w:rPr>
                <w:rtl/>
              </w:rPr>
              <w:t>-T P.913.</w:t>
            </w:r>
          </w:p>
        </w:tc>
      </w:tr>
    </w:tbl>
    <w:p w14:paraId="08652F46" w14:textId="77777777" w:rsidR="00CA0C77" w:rsidRPr="00421C43" w:rsidRDefault="00CA0C77" w:rsidP="00CA0C77">
      <w:pPr>
        <w:rPr>
          <w:lang w:eastAsia="ja-JP"/>
        </w:rPr>
      </w:pPr>
    </w:p>
    <w:tbl>
      <w:tblPr>
        <w:tblStyle w:val="TableGrid"/>
        <w:bidiVisual/>
        <w:tblW w:w="9719" w:type="dxa"/>
        <w:tblLayout w:type="fixed"/>
        <w:tblLook w:val="04A0" w:firstRow="1" w:lastRow="0" w:firstColumn="1" w:lastColumn="0" w:noHBand="0" w:noVBand="1"/>
      </w:tblPr>
      <w:tblGrid>
        <w:gridCol w:w="9719"/>
      </w:tblGrid>
      <w:tr w:rsidR="00CA0C77" w:rsidRPr="00421C43" w14:paraId="3F4E538D" w14:textId="77777777" w:rsidTr="00421C43">
        <w:tc>
          <w:tcPr>
            <w:tcW w:w="9719" w:type="dxa"/>
          </w:tcPr>
          <w:p w14:paraId="2CD34016" w14:textId="77777777" w:rsidR="00CA0C77" w:rsidRPr="00421C43" w:rsidRDefault="00CA0C77" w:rsidP="00C04975">
            <w:pPr>
              <w:spacing w:before="240"/>
              <w:textDirection w:val="tbRlV"/>
              <w:rPr>
                <w:b/>
                <w:bCs/>
                <w:lang w:val="ar-SA" w:eastAsia="zh-TW" w:bidi="en-GB"/>
              </w:rPr>
            </w:pPr>
            <w:r w:rsidRPr="00421C43">
              <w:rPr>
                <w:b/>
                <w:bCs/>
                <w:rtl/>
              </w:rPr>
              <w:t xml:space="preserve">التوصية ITU-T P.913 (2016)، </w:t>
            </w:r>
            <w:r w:rsidRPr="00421C43">
              <w:rPr>
                <w:b/>
                <w:bCs/>
                <w:i/>
                <w:iCs/>
                <w:rtl/>
              </w:rPr>
              <w:t xml:space="preserve">طرائق التقييم الشخصي للجودة </w:t>
            </w:r>
            <w:proofErr w:type="spellStart"/>
            <w:r w:rsidRPr="00421C43">
              <w:rPr>
                <w:b/>
                <w:bCs/>
                <w:i/>
                <w:iCs/>
                <w:rtl/>
              </w:rPr>
              <w:t>الفيديوية</w:t>
            </w:r>
            <w:proofErr w:type="spellEnd"/>
            <w:r w:rsidRPr="00421C43">
              <w:rPr>
                <w:b/>
                <w:bCs/>
                <w:i/>
                <w:iCs/>
                <w:rtl/>
              </w:rPr>
              <w:t xml:space="preserve"> والجودة السمعية والجودة السمعية المرئية لفيديو الإنترنت وجودة توزيع التلفزيون في أي بيئة</w:t>
            </w:r>
            <w:r w:rsidRPr="00421C43">
              <w:rPr>
                <w:b/>
                <w:bCs/>
                <w:rtl/>
              </w:rPr>
              <w:t xml:space="preserve"> (06/2021)</w:t>
            </w:r>
          </w:p>
        </w:tc>
      </w:tr>
      <w:tr w:rsidR="00CA0C77" w:rsidRPr="00421C43" w14:paraId="735ED4CA" w14:textId="77777777" w:rsidTr="00421C43">
        <w:tc>
          <w:tcPr>
            <w:tcW w:w="9719" w:type="dxa"/>
          </w:tcPr>
          <w:p w14:paraId="3AE80D9B" w14:textId="77777777" w:rsidR="00CA0C77" w:rsidRPr="00421C43" w:rsidRDefault="00CA0C77" w:rsidP="00C04975">
            <w:pPr>
              <w:textDirection w:val="tbRlV"/>
              <w:rPr>
                <w:i/>
                <w:iCs/>
                <w:lang w:val="ar-SA" w:eastAsia="zh-TW" w:bidi="en-GB"/>
              </w:rPr>
            </w:pPr>
            <w:r w:rsidRPr="00421C43">
              <w:rPr>
                <w:i/>
                <w:iCs/>
                <w:rtl/>
              </w:rPr>
              <w:t>ملخص:</w:t>
            </w:r>
          </w:p>
        </w:tc>
      </w:tr>
      <w:tr w:rsidR="00CA0C77" w:rsidRPr="00421C43" w14:paraId="2620DE8F" w14:textId="77777777" w:rsidTr="00421C43">
        <w:tc>
          <w:tcPr>
            <w:tcW w:w="9719" w:type="dxa"/>
          </w:tcPr>
          <w:p w14:paraId="18162F4A" w14:textId="77777777" w:rsidR="00CA0C77" w:rsidRPr="00421C43" w:rsidRDefault="00CA0C77" w:rsidP="00C04975">
            <w:pPr>
              <w:textDirection w:val="tbRlV"/>
              <w:rPr>
                <w:lang w:val="ar-SA" w:eastAsia="zh-TW" w:bidi="en-GB"/>
              </w:rPr>
            </w:pPr>
            <w:r w:rsidRPr="00421C43">
              <w:rPr>
                <w:rtl/>
              </w:rPr>
              <w:t>تصف التوصية ITU-T P.913 طرائق التقييم الذاتي غير التفاعلية لتقييم جودة الفيديو الشاملة في اتجاه واحد والجودة السمعية والجودة المرئية السمعية لتطبيقات مثل فيديو الإنترنت وتوزيع فيديو يتسم بالجودة. ويمكن استعمال هذه الطرائق للعديد من الأغراض المختلفة بما في ذلك على سبيل المثال لا الحصر، مقارنة جودة أجهزة متعددة ومقارنة أداء جهاز في بيئات متعددة والتقييم الذاتي في الحالات التي تتداخل فيها آثار جودة الأجهزة مع آثار جودة المواد المرئية المسموعة.</w:t>
            </w:r>
          </w:p>
        </w:tc>
      </w:tr>
      <w:tr w:rsidR="00CA0C77" w:rsidRPr="00421C43" w14:paraId="6119E45B" w14:textId="77777777" w:rsidTr="00421C43">
        <w:tc>
          <w:tcPr>
            <w:tcW w:w="9719" w:type="dxa"/>
          </w:tcPr>
          <w:p w14:paraId="5606E206" w14:textId="77777777" w:rsidR="00CA0C77" w:rsidRPr="00421C43" w:rsidRDefault="00CA0C77" w:rsidP="00C04975">
            <w:pPr>
              <w:textDirection w:val="tbRlV"/>
              <w:rPr>
                <w:i/>
                <w:iCs/>
                <w:lang w:val="ar-SA" w:eastAsia="zh-TW" w:bidi="en-GB"/>
              </w:rPr>
            </w:pPr>
            <w:r w:rsidRPr="00421C43">
              <w:rPr>
                <w:i/>
                <w:iCs/>
                <w:rtl/>
              </w:rPr>
              <w:t>أسباب إلغاء التوصية المذكورة أعلاه:</w:t>
            </w:r>
          </w:p>
        </w:tc>
      </w:tr>
      <w:tr w:rsidR="00CA0C77" w:rsidRPr="00421C43" w14:paraId="5DC680B6" w14:textId="77777777" w:rsidTr="00421C43">
        <w:tc>
          <w:tcPr>
            <w:tcW w:w="9719" w:type="dxa"/>
          </w:tcPr>
          <w:p w14:paraId="395A71A4" w14:textId="77777777" w:rsidR="00CA0C77" w:rsidRPr="00421C43" w:rsidRDefault="00CA0C77" w:rsidP="00C04975">
            <w:pPr>
              <w:textDirection w:val="tbRlV"/>
              <w:rPr>
                <w:i/>
                <w:iCs/>
                <w:lang w:val="ar-SA" w:eastAsia="zh-TW" w:bidi="en-GB"/>
              </w:rPr>
            </w:pPr>
            <w:r w:rsidRPr="00421C43">
              <w:rPr>
                <w:rtl/>
              </w:rPr>
              <w:t xml:space="preserve">انظر أسباب إلغاء </w:t>
            </w:r>
            <w:r w:rsidRPr="00421C43">
              <w:rPr>
                <w:b/>
                <w:bCs/>
                <w:rtl/>
              </w:rPr>
              <w:t>التوصية ITU-T P.911</w:t>
            </w:r>
            <w:r w:rsidRPr="00421C43">
              <w:rPr>
                <w:rtl/>
              </w:rPr>
              <w:t xml:space="preserve">، </w:t>
            </w:r>
            <w:r w:rsidRPr="00421C43">
              <w:rPr>
                <w:b/>
                <w:bCs/>
                <w:i/>
                <w:iCs/>
                <w:rtl/>
              </w:rPr>
              <w:t xml:space="preserve">الطرائق الشخصية لتقييم الجودة السمعية المرئية للتطبيقات متعددة الوسائط </w:t>
            </w:r>
            <w:r w:rsidRPr="00421C43">
              <w:rPr>
                <w:b/>
                <w:bCs/>
                <w:rtl/>
              </w:rPr>
              <w:t>(12/1998).</w:t>
            </w:r>
          </w:p>
        </w:tc>
      </w:tr>
    </w:tbl>
    <w:p w14:paraId="2344A1AE" w14:textId="36C38EBB" w:rsidR="00CA0C77" w:rsidRPr="005F755F" w:rsidRDefault="00421C43" w:rsidP="00421C43">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A0C77" w:rsidRPr="005F755F"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9DAD" w14:textId="77777777" w:rsidR="003B5E7B" w:rsidRDefault="003B5E7B" w:rsidP="006C3242">
      <w:pPr>
        <w:spacing w:before="0" w:line="240" w:lineRule="auto"/>
      </w:pPr>
      <w:r>
        <w:separator/>
      </w:r>
    </w:p>
  </w:endnote>
  <w:endnote w:type="continuationSeparator" w:id="0">
    <w:p w14:paraId="341FE003" w14:textId="77777777" w:rsidR="003B5E7B" w:rsidRDefault="003B5E7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FDCA" w14:textId="77777777" w:rsidR="009226B7" w:rsidRDefault="0092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CE42" w14:textId="21971D05" w:rsidR="006C3242" w:rsidRPr="00A25B0B" w:rsidRDefault="006C3242" w:rsidP="00A25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1F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0D5C" w14:textId="77777777" w:rsidR="003B5E7B" w:rsidRDefault="003B5E7B" w:rsidP="006C3242">
      <w:pPr>
        <w:spacing w:before="0" w:line="240" w:lineRule="auto"/>
      </w:pPr>
      <w:r>
        <w:separator/>
      </w:r>
    </w:p>
  </w:footnote>
  <w:footnote w:type="continuationSeparator" w:id="0">
    <w:p w14:paraId="6B801352" w14:textId="77777777" w:rsidR="003B5E7B" w:rsidRDefault="003B5E7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77DB" w14:textId="77777777" w:rsidR="009226B7" w:rsidRDefault="00922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7E62" w14:textId="269823C4" w:rsidR="00447F32" w:rsidRPr="00421C43" w:rsidRDefault="00CA0C77" w:rsidP="00421C43">
    <w:pPr>
      <w:spacing w:after="240"/>
      <w:jc w:val="center"/>
      <w:rPr>
        <w:rtl/>
        <w:lang w:bidi="ar-EG"/>
      </w:rPr>
    </w:pPr>
    <w:r w:rsidRPr="008B47B5">
      <w:rPr>
        <w:sz w:val="18"/>
      </w:rPr>
      <w:t xml:space="preserve">- </w:t>
    </w:r>
    <w:r w:rsidRPr="008B47B5">
      <w:rPr>
        <w:sz w:val="18"/>
      </w:rPr>
      <w:fldChar w:fldCharType="begin"/>
    </w:r>
    <w:r w:rsidRPr="008B47B5">
      <w:rPr>
        <w:sz w:val="18"/>
      </w:rPr>
      <w:instrText xml:space="preserve"> PAGE   \* MERGEFORMAT </w:instrText>
    </w:r>
    <w:r w:rsidRPr="008B47B5">
      <w:rPr>
        <w:sz w:val="18"/>
      </w:rPr>
      <w:fldChar w:fldCharType="separate"/>
    </w:r>
    <w:r w:rsidRPr="008B47B5">
      <w:rPr>
        <w:sz w:val="18"/>
      </w:rPr>
      <w:t>2</w:t>
    </w:r>
    <w:r w:rsidRPr="008B47B5">
      <w:rPr>
        <w:noProof/>
        <w:sz w:val="18"/>
      </w:rPr>
      <w:fldChar w:fldCharType="end"/>
    </w:r>
    <w:r w:rsidRPr="008B47B5">
      <w:rPr>
        <w:noProof/>
        <w:sz w:val="18"/>
      </w:rPr>
      <w:t xml:space="preserve"> -</w:t>
    </w:r>
    <w:r w:rsidRPr="008B47B5">
      <w:rPr>
        <w:noProof/>
        <w:sz w:val="18"/>
      </w:rPr>
      <w:br/>
    </w:r>
    <w:r w:rsidR="00421C43" w:rsidRPr="008B47B5">
      <w:rPr>
        <w:sz w:val="18"/>
      </w:rPr>
      <w:t>TSB Circular 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EFC" w14:textId="77777777" w:rsidR="009226B7" w:rsidRDefault="00922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722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8AE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AABD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B07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26BB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F05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1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7E1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6F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A844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B2"/>
    <w:rsid w:val="00002A63"/>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B5E7B"/>
    <w:rsid w:val="003C7EDF"/>
    <w:rsid w:val="003F4B29"/>
    <w:rsid w:val="00400EC6"/>
    <w:rsid w:val="00421C43"/>
    <w:rsid w:val="0042686F"/>
    <w:rsid w:val="004317D8"/>
    <w:rsid w:val="00434183"/>
    <w:rsid w:val="00443869"/>
    <w:rsid w:val="00447F32"/>
    <w:rsid w:val="004E11DC"/>
    <w:rsid w:val="005043B2"/>
    <w:rsid w:val="00525DDD"/>
    <w:rsid w:val="005409AC"/>
    <w:rsid w:val="0055516A"/>
    <w:rsid w:val="005731DD"/>
    <w:rsid w:val="00573A05"/>
    <w:rsid w:val="0058491B"/>
    <w:rsid w:val="00592EA5"/>
    <w:rsid w:val="00595B52"/>
    <w:rsid w:val="00596808"/>
    <w:rsid w:val="005A3170"/>
    <w:rsid w:val="006635B2"/>
    <w:rsid w:val="00677396"/>
    <w:rsid w:val="006804DE"/>
    <w:rsid w:val="0069200F"/>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0539"/>
    <w:rsid w:val="00873469"/>
    <w:rsid w:val="00877F4B"/>
    <w:rsid w:val="008A7F84"/>
    <w:rsid w:val="008B47B5"/>
    <w:rsid w:val="0091702E"/>
    <w:rsid w:val="009226B7"/>
    <w:rsid w:val="00923B0C"/>
    <w:rsid w:val="00926F44"/>
    <w:rsid w:val="0094021C"/>
    <w:rsid w:val="0094432F"/>
    <w:rsid w:val="00952F86"/>
    <w:rsid w:val="00982B28"/>
    <w:rsid w:val="009D313F"/>
    <w:rsid w:val="00A25B0B"/>
    <w:rsid w:val="00A47A5A"/>
    <w:rsid w:val="00A6683B"/>
    <w:rsid w:val="00A77C90"/>
    <w:rsid w:val="00A9156F"/>
    <w:rsid w:val="00A97F94"/>
    <w:rsid w:val="00AA7EA2"/>
    <w:rsid w:val="00AE39E2"/>
    <w:rsid w:val="00AF6B5C"/>
    <w:rsid w:val="00B03099"/>
    <w:rsid w:val="00B05BC8"/>
    <w:rsid w:val="00B64B47"/>
    <w:rsid w:val="00B916A7"/>
    <w:rsid w:val="00BB0F08"/>
    <w:rsid w:val="00C002DE"/>
    <w:rsid w:val="00C53BF8"/>
    <w:rsid w:val="00C66157"/>
    <w:rsid w:val="00C674FE"/>
    <w:rsid w:val="00C67501"/>
    <w:rsid w:val="00C75633"/>
    <w:rsid w:val="00CA0C77"/>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4DDC"/>
  <w15:chartTrackingRefBased/>
  <w15:docId w15:val="{66C6DBAE-9965-4A69-BA89-502158A4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SBCircNo">
    <w:name w:val="TSBCircNo"/>
    <w:basedOn w:val="Normal"/>
    <w:rsid w:val="00CA0C77"/>
    <w:pPr>
      <w:framePr w:hSpace="181" w:wrap="around" w:vAnchor="page" w:hAnchor="margin" w:xAlign="center" w:y="664"/>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b/>
      <w:bCs/>
      <w:szCs w:val="18"/>
      <w:lang w:val="en-GB" w:eastAsia="en-GB"/>
    </w:rPr>
  </w:style>
  <w:style w:type="paragraph" w:customStyle="1" w:styleId="Headingb0">
    <w:name w:val="Heading_b"/>
    <w:basedOn w:val="Normal"/>
    <w:next w:val="Normal"/>
    <w:link w:val="HeadingbChar"/>
    <w:qFormat/>
    <w:rsid w:val="00CA0C77"/>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b/>
      <w:sz w:val="24"/>
      <w:szCs w:val="30"/>
      <w:lang w:val="en-GB" w:eastAsia="en-GB"/>
    </w:rPr>
  </w:style>
  <w:style w:type="character" w:customStyle="1" w:styleId="HeadingbChar">
    <w:name w:val="Heading_b Char"/>
    <w:link w:val="Headingb0"/>
    <w:locked/>
    <w:rsid w:val="00CA0C77"/>
    <w:rPr>
      <w:rFonts w:ascii="Times New Roman" w:eastAsia="Times New Roman" w:hAnsi="CG Times" w:cs="Simplified Arabic"/>
      <w:b/>
      <w:sz w:val="24"/>
      <w:szCs w:val="3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Arabic_AAB</dc:creator>
  <cp:keywords/>
  <dc:description/>
  <cp:lastModifiedBy>Maguire, Mairéad</cp:lastModifiedBy>
  <cp:revision>2</cp:revision>
  <dcterms:created xsi:type="dcterms:W3CDTF">2023-11-22T15:07:00Z</dcterms:created>
  <dcterms:modified xsi:type="dcterms:W3CDTF">2023-11-22T15:07:00Z</dcterms:modified>
</cp:coreProperties>
</file>