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0CD333D8" w14:textId="77777777" w:rsidTr="00720F32">
        <w:trPr>
          <w:cantSplit/>
        </w:trPr>
        <w:tc>
          <w:tcPr>
            <w:tcW w:w="1693" w:type="dxa"/>
            <w:gridSpan w:val="2"/>
          </w:tcPr>
          <w:p w14:paraId="2FB9831F"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5981AC96" wp14:editId="5EC6E9B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7AE80217"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31A537A6"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2A54A88F" w14:textId="77777777" w:rsidR="00720F32" w:rsidRDefault="00720F32" w:rsidP="00720F32">
            <w:pPr>
              <w:tabs>
                <w:tab w:val="clear" w:pos="794"/>
                <w:tab w:val="left" w:pos="559"/>
                <w:tab w:val="left" w:pos="4111"/>
              </w:tabs>
              <w:ind w:left="559" w:hanging="559"/>
              <w:rPr>
                <w:lang w:eastAsia="zh-CN"/>
              </w:rPr>
            </w:pPr>
          </w:p>
        </w:tc>
      </w:tr>
      <w:tr w:rsidR="00720F32" w14:paraId="19F0BEEB" w14:textId="77777777" w:rsidTr="00FB35F9">
        <w:trPr>
          <w:cantSplit/>
        </w:trPr>
        <w:tc>
          <w:tcPr>
            <w:tcW w:w="5429" w:type="dxa"/>
            <w:gridSpan w:val="3"/>
          </w:tcPr>
          <w:p w14:paraId="1D789A4C" w14:textId="77777777" w:rsidR="00720F32" w:rsidRPr="00841612" w:rsidRDefault="00720F32" w:rsidP="00956D38">
            <w:pPr>
              <w:tabs>
                <w:tab w:val="left" w:pos="4111"/>
              </w:tabs>
              <w:spacing w:before="0"/>
              <w:rPr>
                <w:b/>
                <w:szCs w:val="24"/>
                <w:lang w:eastAsia="zh-CN"/>
              </w:rPr>
            </w:pPr>
          </w:p>
        </w:tc>
        <w:tc>
          <w:tcPr>
            <w:tcW w:w="4436" w:type="dxa"/>
            <w:vAlign w:val="center"/>
          </w:tcPr>
          <w:p w14:paraId="36C40B42" w14:textId="5CAA0E44" w:rsidR="00720F32" w:rsidRPr="0055099D" w:rsidRDefault="00AA099B" w:rsidP="00AA099B">
            <w:pPr>
              <w:rPr>
                <w:b/>
                <w:bCs/>
                <w:szCs w:val="24"/>
                <w:lang w:eastAsia="zh-CN"/>
              </w:rPr>
            </w:pPr>
            <w:r w:rsidRPr="00AA099B">
              <w:rPr>
                <w:rFonts w:hint="eastAsia"/>
                <w:lang w:eastAsia="zh-CN"/>
              </w:rPr>
              <w:t>2023</w:t>
            </w:r>
            <w:r w:rsidRPr="00AA099B">
              <w:rPr>
                <w:rFonts w:hint="eastAsia"/>
                <w:lang w:eastAsia="zh-CN"/>
              </w:rPr>
              <w:t>年</w:t>
            </w:r>
            <w:r w:rsidRPr="00AA099B">
              <w:rPr>
                <w:rFonts w:hint="eastAsia"/>
                <w:lang w:eastAsia="zh-CN"/>
              </w:rPr>
              <w:t>11</w:t>
            </w:r>
            <w:r w:rsidRPr="00AA099B">
              <w:rPr>
                <w:rFonts w:hint="eastAsia"/>
                <w:lang w:eastAsia="zh-CN"/>
              </w:rPr>
              <w:t>月</w:t>
            </w:r>
            <w:r w:rsidRPr="00AA099B">
              <w:rPr>
                <w:rFonts w:hint="eastAsia"/>
                <w:lang w:eastAsia="zh-CN"/>
              </w:rPr>
              <w:t>1</w:t>
            </w:r>
            <w:r w:rsidRPr="00AA099B">
              <w:rPr>
                <w:rFonts w:hint="eastAsia"/>
                <w:lang w:eastAsia="zh-CN"/>
              </w:rPr>
              <w:t>日</w:t>
            </w:r>
            <w:r w:rsidR="00720F32">
              <w:rPr>
                <w:rFonts w:hint="eastAsia"/>
                <w:lang w:eastAsia="zh-CN"/>
              </w:rPr>
              <w:t>，日内瓦</w:t>
            </w:r>
          </w:p>
        </w:tc>
      </w:tr>
      <w:tr w:rsidR="006E14B5" w14:paraId="206F701C" w14:textId="77777777" w:rsidTr="00CC50C4">
        <w:trPr>
          <w:cantSplit/>
        </w:trPr>
        <w:tc>
          <w:tcPr>
            <w:tcW w:w="1268" w:type="dxa"/>
          </w:tcPr>
          <w:p w14:paraId="43D8EBFA" w14:textId="77777777" w:rsidR="006E14B5" w:rsidRPr="00344408" w:rsidRDefault="006E14B5" w:rsidP="00956D38">
            <w:pPr>
              <w:tabs>
                <w:tab w:val="left" w:pos="4111"/>
              </w:tabs>
              <w:spacing w:before="10"/>
              <w:rPr>
                <w:b/>
                <w:bCs/>
                <w:szCs w:val="24"/>
                <w:lang w:eastAsia="zh-CN"/>
              </w:rPr>
            </w:pPr>
            <w:r w:rsidRPr="00344408">
              <w:rPr>
                <w:rFonts w:hint="eastAsia"/>
                <w:b/>
                <w:bCs/>
                <w:szCs w:val="24"/>
                <w:lang w:eastAsia="zh-CN"/>
              </w:rPr>
              <w:t>文号：</w:t>
            </w:r>
          </w:p>
          <w:p w14:paraId="73E1AEE8" w14:textId="77777777" w:rsidR="006E14B5" w:rsidRPr="006E14B5" w:rsidRDefault="006E14B5" w:rsidP="00720F32">
            <w:pPr>
              <w:tabs>
                <w:tab w:val="left" w:pos="4111"/>
              </w:tabs>
              <w:spacing w:before="10"/>
              <w:rPr>
                <w:rFonts w:ascii="Futura Lt BT" w:hAnsi="Futura Lt BT"/>
                <w:szCs w:val="24"/>
                <w:lang w:eastAsia="zh-CN"/>
              </w:rPr>
            </w:pPr>
          </w:p>
        </w:tc>
        <w:tc>
          <w:tcPr>
            <w:tcW w:w="4161" w:type="dxa"/>
            <w:gridSpan w:val="2"/>
          </w:tcPr>
          <w:p w14:paraId="33FFF95C" w14:textId="3D30A1B2" w:rsidR="006E14B5" w:rsidRPr="00841612" w:rsidRDefault="006E14B5" w:rsidP="00956D38">
            <w:pPr>
              <w:tabs>
                <w:tab w:val="left" w:pos="4111"/>
              </w:tabs>
              <w:spacing w:before="0"/>
              <w:rPr>
                <w:b/>
                <w:szCs w:val="24"/>
                <w:lang w:eastAsia="zh-CN"/>
              </w:rPr>
            </w:pPr>
            <w:r w:rsidRPr="00841612">
              <w:rPr>
                <w:rFonts w:hint="eastAsia"/>
                <w:b/>
                <w:szCs w:val="24"/>
                <w:lang w:eastAsia="zh-CN"/>
              </w:rPr>
              <w:t>电信标准化局</w:t>
            </w:r>
            <w:r w:rsidR="0039284F" w:rsidRPr="0039284F">
              <w:rPr>
                <w:b/>
                <w:szCs w:val="24"/>
                <w:lang w:eastAsia="zh-CN"/>
              </w:rPr>
              <w:t>147</w:t>
            </w:r>
            <w:r w:rsidRPr="00841612">
              <w:rPr>
                <w:rFonts w:hint="eastAsia"/>
                <w:b/>
                <w:szCs w:val="24"/>
                <w:lang w:eastAsia="zh-CN"/>
              </w:rPr>
              <w:t>号通函</w:t>
            </w:r>
          </w:p>
          <w:p w14:paraId="7E0E1AA8" w14:textId="2E110C25" w:rsidR="006E14B5" w:rsidRPr="00720F32" w:rsidRDefault="0039284F" w:rsidP="00720F32">
            <w:pPr>
              <w:tabs>
                <w:tab w:val="left" w:pos="4111"/>
              </w:tabs>
              <w:spacing w:before="0"/>
              <w:rPr>
                <w:b/>
                <w:szCs w:val="24"/>
                <w:lang w:eastAsia="zh-CN"/>
              </w:rPr>
            </w:pPr>
            <w:r>
              <w:rPr>
                <w:lang w:val="zh-CN" w:eastAsia="zh-CN"/>
              </w:rPr>
              <w:t>SG12/MA</w:t>
            </w:r>
          </w:p>
        </w:tc>
        <w:tc>
          <w:tcPr>
            <w:tcW w:w="4436" w:type="dxa"/>
            <w:vMerge w:val="restart"/>
          </w:tcPr>
          <w:p w14:paraId="7E218FDF" w14:textId="77777777" w:rsidR="006E14B5" w:rsidRPr="00AA099B" w:rsidRDefault="006E14B5" w:rsidP="00AA099B">
            <w:pPr>
              <w:pStyle w:val="Tabletext"/>
              <w:rPr>
                <w:b/>
                <w:bCs/>
              </w:rPr>
            </w:pPr>
            <w:bookmarkStart w:id="0" w:name="Addressee_E"/>
            <w:bookmarkEnd w:id="0"/>
            <w:r w:rsidRPr="00AA099B">
              <w:rPr>
                <w:rFonts w:hint="eastAsia"/>
                <w:b/>
                <w:bCs/>
              </w:rPr>
              <w:t>致：</w:t>
            </w:r>
          </w:p>
          <w:p w14:paraId="71B38BEE" w14:textId="77777777" w:rsidR="00AA099B" w:rsidRPr="00DC324F" w:rsidRDefault="00AA099B" w:rsidP="00AA099B">
            <w:pPr>
              <w:pStyle w:val="Tabletext"/>
              <w:rPr>
                <w:sz w:val="22"/>
                <w:szCs w:val="18"/>
              </w:rPr>
            </w:pPr>
            <w:r w:rsidRPr="00DC324F">
              <w:rPr>
                <w:sz w:val="22"/>
                <w:szCs w:val="18"/>
              </w:rPr>
              <w:t>-</w:t>
            </w:r>
            <w:r w:rsidRPr="00DC324F">
              <w:rPr>
                <w:sz w:val="22"/>
                <w:szCs w:val="18"/>
              </w:rPr>
              <w:tab/>
            </w:r>
            <w:r>
              <w:rPr>
                <w:lang w:val="zh-CN"/>
              </w:rPr>
              <w:t>国际电联各成员国主管部门</w:t>
            </w:r>
          </w:p>
          <w:p w14:paraId="100C2792" w14:textId="77777777" w:rsidR="00AA099B" w:rsidRPr="00AA099B" w:rsidRDefault="00AA099B" w:rsidP="00AA099B">
            <w:pPr>
              <w:pStyle w:val="Tabletext"/>
              <w:rPr>
                <w:b/>
                <w:bCs/>
                <w:sz w:val="22"/>
                <w:szCs w:val="18"/>
              </w:rPr>
            </w:pPr>
            <w:r w:rsidRPr="00AA099B">
              <w:rPr>
                <w:b/>
                <w:bCs/>
                <w:lang w:val="zh-CN"/>
              </w:rPr>
              <w:t>抄送：</w:t>
            </w:r>
          </w:p>
          <w:p w14:paraId="3D56B420" w14:textId="77777777" w:rsidR="00AA099B" w:rsidRPr="00DC324F" w:rsidRDefault="00AA099B" w:rsidP="00AA099B">
            <w:pPr>
              <w:pStyle w:val="Tabletext"/>
              <w:rPr>
                <w:sz w:val="22"/>
                <w:szCs w:val="18"/>
              </w:rPr>
            </w:pPr>
            <w:r w:rsidRPr="00DC324F">
              <w:rPr>
                <w:sz w:val="22"/>
                <w:szCs w:val="18"/>
              </w:rPr>
              <w:t>-</w:t>
            </w:r>
            <w:r w:rsidRPr="00DC324F">
              <w:rPr>
                <w:sz w:val="22"/>
                <w:szCs w:val="18"/>
              </w:rPr>
              <w:tab/>
            </w:r>
            <w:r>
              <w:rPr>
                <w:lang w:val="zh-CN"/>
              </w:rPr>
              <w:t>ITU-</w:t>
            </w:r>
            <w:proofErr w:type="gramStart"/>
            <w:r>
              <w:rPr>
                <w:lang w:val="zh-CN"/>
              </w:rPr>
              <w:t>T</w:t>
            </w:r>
            <w:r>
              <w:rPr>
                <w:lang w:val="zh-CN"/>
              </w:rPr>
              <w:t>部门成员；</w:t>
            </w:r>
            <w:proofErr w:type="gramEnd"/>
          </w:p>
          <w:p w14:paraId="42491048" w14:textId="77777777" w:rsidR="00AA099B" w:rsidRPr="00DC324F" w:rsidRDefault="00AA099B" w:rsidP="00AA099B">
            <w:pPr>
              <w:pStyle w:val="Tabletext"/>
              <w:rPr>
                <w:sz w:val="22"/>
                <w:szCs w:val="18"/>
              </w:rPr>
            </w:pPr>
            <w:r w:rsidRPr="00DC324F">
              <w:rPr>
                <w:sz w:val="22"/>
                <w:szCs w:val="18"/>
              </w:rPr>
              <w:t>-</w:t>
            </w:r>
            <w:r w:rsidRPr="00DC324F">
              <w:rPr>
                <w:sz w:val="22"/>
                <w:szCs w:val="18"/>
              </w:rPr>
              <w:tab/>
            </w:r>
            <w:r>
              <w:rPr>
                <w:lang w:val="zh-CN"/>
              </w:rPr>
              <w:t>ITU-</w:t>
            </w:r>
            <w:proofErr w:type="gramStart"/>
            <w:r>
              <w:rPr>
                <w:lang w:val="zh-CN"/>
              </w:rPr>
              <w:t>T</w:t>
            </w:r>
            <w:r>
              <w:rPr>
                <w:lang w:val="zh-CN"/>
              </w:rPr>
              <w:t>第</w:t>
            </w:r>
            <w:r>
              <w:rPr>
                <w:lang w:val="zh-CN"/>
              </w:rPr>
              <w:t>12</w:t>
            </w:r>
            <w:r>
              <w:rPr>
                <w:lang w:val="zh-CN"/>
              </w:rPr>
              <w:t>研究组部门准成员；</w:t>
            </w:r>
            <w:proofErr w:type="gramEnd"/>
          </w:p>
          <w:p w14:paraId="08028023" w14:textId="77777777" w:rsidR="00AA099B" w:rsidRPr="00DC324F" w:rsidRDefault="00AA099B" w:rsidP="00AA099B">
            <w:pPr>
              <w:pStyle w:val="Tabletext"/>
              <w:rPr>
                <w:sz w:val="22"/>
                <w:szCs w:val="18"/>
              </w:rPr>
            </w:pPr>
            <w:r w:rsidRPr="00DC324F">
              <w:rPr>
                <w:sz w:val="22"/>
                <w:szCs w:val="18"/>
              </w:rPr>
              <w:t>-</w:t>
            </w:r>
            <w:r w:rsidRPr="00DC324F">
              <w:rPr>
                <w:sz w:val="22"/>
                <w:szCs w:val="18"/>
              </w:rPr>
              <w:tab/>
            </w:r>
            <w:proofErr w:type="gramStart"/>
            <w:r>
              <w:rPr>
                <w:lang w:val="zh-CN"/>
              </w:rPr>
              <w:t>国际电联学术成员；</w:t>
            </w:r>
            <w:proofErr w:type="gramEnd"/>
          </w:p>
          <w:p w14:paraId="62FA7A5B" w14:textId="77777777" w:rsidR="00AA099B" w:rsidRPr="00DC324F" w:rsidRDefault="00AA099B" w:rsidP="00AA099B">
            <w:pPr>
              <w:pStyle w:val="Tabletext"/>
              <w:rPr>
                <w:sz w:val="22"/>
                <w:szCs w:val="18"/>
              </w:rPr>
            </w:pPr>
            <w:r w:rsidRPr="00DC324F">
              <w:rPr>
                <w:sz w:val="22"/>
                <w:szCs w:val="18"/>
              </w:rPr>
              <w:t>-</w:t>
            </w:r>
            <w:r w:rsidRPr="00DC324F">
              <w:rPr>
                <w:sz w:val="22"/>
                <w:szCs w:val="18"/>
              </w:rPr>
              <w:tab/>
            </w:r>
            <w:r>
              <w:rPr>
                <w:lang w:val="zh-CN"/>
              </w:rPr>
              <w:t>ITU-</w:t>
            </w:r>
            <w:proofErr w:type="gramStart"/>
            <w:r>
              <w:rPr>
                <w:lang w:val="zh-CN"/>
              </w:rPr>
              <w:t>T</w:t>
            </w:r>
            <w:r>
              <w:rPr>
                <w:lang w:val="zh-CN"/>
              </w:rPr>
              <w:t>第</w:t>
            </w:r>
            <w:r>
              <w:rPr>
                <w:lang w:val="zh-CN"/>
              </w:rPr>
              <w:t>12</w:t>
            </w:r>
            <w:r>
              <w:rPr>
                <w:lang w:val="zh-CN"/>
              </w:rPr>
              <w:t>研究组正副主席；</w:t>
            </w:r>
            <w:proofErr w:type="gramEnd"/>
          </w:p>
          <w:p w14:paraId="3E34E560" w14:textId="77777777" w:rsidR="00AA099B" w:rsidRPr="00DC324F" w:rsidRDefault="00AA099B" w:rsidP="00AA099B">
            <w:pPr>
              <w:pStyle w:val="Tabletext"/>
              <w:rPr>
                <w:sz w:val="22"/>
                <w:szCs w:val="18"/>
              </w:rPr>
            </w:pPr>
            <w:r w:rsidRPr="00DC324F">
              <w:rPr>
                <w:sz w:val="22"/>
                <w:szCs w:val="18"/>
              </w:rPr>
              <w:t>-</w:t>
            </w:r>
            <w:r w:rsidRPr="00DC324F">
              <w:rPr>
                <w:sz w:val="22"/>
                <w:szCs w:val="18"/>
              </w:rPr>
              <w:tab/>
            </w:r>
            <w:proofErr w:type="gramStart"/>
            <w:r>
              <w:rPr>
                <w:lang w:val="zh-CN"/>
              </w:rPr>
              <w:t>电信发展局主任；</w:t>
            </w:r>
            <w:proofErr w:type="gramEnd"/>
          </w:p>
          <w:p w14:paraId="6FD80B4E" w14:textId="0E50786F" w:rsidR="006E14B5" w:rsidRDefault="00AA099B" w:rsidP="00AA099B">
            <w:pPr>
              <w:pStyle w:val="Tabletext"/>
            </w:pPr>
            <w:r w:rsidRPr="00DC324F">
              <w:rPr>
                <w:sz w:val="22"/>
                <w:szCs w:val="18"/>
              </w:rPr>
              <w:t>-</w:t>
            </w:r>
            <w:r w:rsidRPr="00DC324F">
              <w:rPr>
                <w:sz w:val="22"/>
                <w:szCs w:val="18"/>
              </w:rPr>
              <w:tab/>
            </w:r>
            <w:r>
              <w:rPr>
                <w:lang w:val="zh-CN"/>
              </w:rPr>
              <w:t>无线电通信局主任</w:t>
            </w:r>
          </w:p>
          <w:p w14:paraId="4E369E9B" w14:textId="77777777" w:rsidR="006E14B5" w:rsidRDefault="006E14B5" w:rsidP="00956D38">
            <w:pPr>
              <w:tabs>
                <w:tab w:val="left" w:pos="284"/>
              </w:tabs>
              <w:spacing w:before="0"/>
              <w:ind w:left="284" w:hanging="284"/>
              <w:rPr>
                <w:lang w:eastAsia="zh-CN"/>
              </w:rPr>
            </w:pPr>
          </w:p>
        </w:tc>
      </w:tr>
      <w:tr w:rsidR="006E14B5" w14:paraId="650E7625" w14:textId="77777777" w:rsidTr="00CC50C4">
        <w:trPr>
          <w:cantSplit/>
        </w:trPr>
        <w:tc>
          <w:tcPr>
            <w:tcW w:w="1268" w:type="dxa"/>
          </w:tcPr>
          <w:p w14:paraId="6E2CA6CE" w14:textId="77777777" w:rsidR="006E14B5" w:rsidRPr="00344408" w:rsidRDefault="006E14B5" w:rsidP="00191798">
            <w:pPr>
              <w:spacing w:before="40" w:after="40"/>
              <w:rPr>
                <w:b/>
                <w:bCs/>
                <w:szCs w:val="24"/>
                <w:lang w:eastAsia="zh-CN"/>
              </w:rPr>
            </w:pPr>
            <w:r w:rsidRPr="00344408">
              <w:rPr>
                <w:rFonts w:hint="eastAsia"/>
                <w:b/>
                <w:bCs/>
                <w:szCs w:val="24"/>
                <w:lang w:eastAsia="zh-CN"/>
              </w:rPr>
              <w:t>电话：</w:t>
            </w:r>
          </w:p>
        </w:tc>
        <w:tc>
          <w:tcPr>
            <w:tcW w:w="4161" w:type="dxa"/>
            <w:gridSpan w:val="2"/>
          </w:tcPr>
          <w:p w14:paraId="4208155C" w14:textId="21E54AEB" w:rsidR="006E14B5" w:rsidRPr="00841612" w:rsidRDefault="006E14B5" w:rsidP="00191798">
            <w:pPr>
              <w:tabs>
                <w:tab w:val="left" w:pos="4111"/>
              </w:tabs>
              <w:spacing w:before="40" w:after="40"/>
              <w:rPr>
                <w:szCs w:val="24"/>
                <w:lang w:eastAsia="zh-CN"/>
              </w:rPr>
            </w:pPr>
            <w:r w:rsidRPr="00841612">
              <w:rPr>
                <w:szCs w:val="24"/>
                <w:lang w:eastAsia="zh-CN"/>
              </w:rPr>
              <w:t xml:space="preserve">+41 22 730 </w:t>
            </w:r>
            <w:r w:rsidR="00AA099B" w:rsidRPr="00AA099B">
              <w:rPr>
                <w:szCs w:val="24"/>
                <w:lang w:eastAsia="zh-CN"/>
              </w:rPr>
              <w:t>6828</w:t>
            </w:r>
          </w:p>
        </w:tc>
        <w:tc>
          <w:tcPr>
            <w:tcW w:w="4436" w:type="dxa"/>
            <w:vMerge/>
          </w:tcPr>
          <w:p w14:paraId="4B28533F" w14:textId="77777777" w:rsidR="006E14B5" w:rsidRDefault="006E14B5" w:rsidP="00956D38">
            <w:pPr>
              <w:tabs>
                <w:tab w:val="left" w:pos="284"/>
              </w:tabs>
              <w:spacing w:before="0"/>
              <w:ind w:left="284" w:hanging="284"/>
              <w:rPr>
                <w:b/>
                <w:lang w:eastAsia="zh-CN"/>
              </w:rPr>
            </w:pPr>
          </w:p>
        </w:tc>
      </w:tr>
      <w:tr w:rsidR="006E14B5" w14:paraId="7C32A051" w14:textId="77777777" w:rsidTr="00CC50C4">
        <w:trPr>
          <w:cantSplit/>
        </w:trPr>
        <w:tc>
          <w:tcPr>
            <w:tcW w:w="1268" w:type="dxa"/>
          </w:tcPr>
          <w:p w14:paraId="76D7569C" w14:textId="77777777" w:rsidR="006E14B5" w:rsidRPr="00344408" w:rsidRDefault="006E14B5" w:rsidP="00191798">
            <w:pPr>
              <w:spacing w:before="40" w:after="40"/>
              <w:rPr>
                <w:b/>
                <w:bCs/>
                <w:szCs w:val="24"/>
                <w:lang w:eastAsia="zh-CN"/>
              </w:rPr>
            </w:pPr>
            <w:r w:rsidRPr="00344408">
              <w:rPr>
                <w:rFonts w:hint="eastAsia"/>
                <w:b/>
                <w:bCs/>
                <w:szCs w:val="24"/>
                <w:lang w:eastAsia="zh-CN"/>
              </w:rPr>
              <w:t>传真：</w:t>
            </w:r>
          </w:p>
        </w:tc>
        <w:tc>
          <w:tcPr>
            <w:tcW w:w="4161" w:type="dxa"/>
            <w:gridSpan w:val="2"/>
          </w:tcPr>
          <w:p w14:paraId="3E229176" w14:textId="1825EC8C" w:rsidR="0044255C" w:rsidRPr="0044255C" w:rsidRDefault="006E14B5" w:rsidP="00191798">
            <w:pPr>
              <w:tabs>
                <w:tab w:val="left" w:pos="4111"/>
              </w:tabs>
              <w:spacing w:before="40" w:after="40"/>
              <w:rPr>
                <w:rStyle w:val="Hyperlink"/>
                <w:color w:val="auto"/>
                <w:szCs w:val="24"/>
                <w:u w:val="none"/>
                <w:lang w:eastAsia="zh-CN"/>
              </w:rPr>
            </w:pPr>
            <w:r w:rsidRPr="00841612">
              <w:rPr>
                <w:szCs w:val="24"/>
                <w:lang w:eastAsia="zh-CN"/>
              </w:rPr>
              <w:t>+41 22 730 5853</w:t>
            </w:r>
          </w:p>
        </w:tc>
        <w:tc>
          <w:tcPr>
            <w:tcW w:w="4436" w:type="dxa"/>
            <w:vMerge/>
          </w:tcPr>
          <w:p w14:paraId="4F334032" w14:textId="77777777" w:rsidR="006E14B5" w:rsidRDefault="006E14B5" w:rsidP="00956D38">
            <w:pPr>
              <w:tabs>
                <w:tab w:val="left" w:pos="284"/>
              </w:tabs>
              <w:spacing w:before="0"/>
              <w:ind w:left="284" w:hanging="284"/>
              <w:rPr>
                <w:b/>
                <w:lang w:eastAsia="zh-CN"/>
              </w:rPr>
            </w:pPr>
          </w:p>
        </w:tc>
      </w:tr>
      <w:tr w:rsidR="006E14B5" w14:paraId="7924BCBF" w14:textId="77777777" w:rsidTr="00CC50C4">
        <w:trPr>
          <w:cantSplit/>
        </w:trPr>
        <w:tc>
          <w:tcPr>
            <w:tcW w:w="1268" w:type="dxa"/>
          </w:tcPr>
          <w:p w14:paraId="3D3D41AE" w14:textId="77777777" w:rsidR="006E14B5" w:rsidRPr="00344408" w:rsidRDefault="006E14B5" w:rsidP="00191798">
            <w:pPr>
              <w:spacing w:before="40" w:after="40"/>
              <w:rPr>
                <w:b/>
                <w:bCs/>
                <w:szCs w:val="24"/>
                <w:lang w:eastAsia="zh-CN"/>
              </w:rPr>
            </w:pPr>
            <w:r w:rsidRPr="00344408">
              <w:rPr>
                <w:rFonts w:ascii="Calibri" w:hAnsi="Calibri" w:hint="eastAsia"/>
                <w:b/>
                <w:bCs/>
                <w:lang w:eastAsia="zh-CN"/>
              </w:rPr>
              <w:t>电子邮件</w:t>
            </w:r>
            <w:r w:rsidRPr="00344408">
              <w:rPr>
                <w:rFonts w:hint="eastAsia"/>
                <w:b/>
                <w:bCs/>
                <w:szCs w:val="24"/>
                <w:lang w:eastAsia="zh-CN"/>
              </w:rPr>
              <w:t>：</w:t>
            </w:r>
          </w:p>
        </w:tc>
        <w:tc>
          <w:tcPr>
            <w:tcW w:w="4161" w:type="dxa"/>
            <w:gridSpan w:val="2"/>
          </w:tcPr>
          <w:p w14:paraId="720D8C98" w14:textId="7EF2A6DB" w:rsidR="006E14B5" w:rsidRPr="0044255C" w:rsidRDefault="00F81172" w:rsidP="00160A43">
            <w:pPr>
              <w:tabs>
                <w:tab w:val="left" w:pos="4111"/>
              </w:tabs>
              <w:spacing w:before="0"/>
              <w:rPr>
                <w:highlight w:val="yellow"/>
                <w:lang w:eastAsia="zh-CN"/>
              </w:rPr>
            </w:pPr>
            <w:hyperlink r:id="rId7" w:history="1">
              <w:r w:rsidR="0044255C" w:rsidRPr="00E575B8">
                <w:rPr>
                  <w:rStyle w:val="Hyperlink"/>
                  <w:sz w:val="22"/>
                  <w:szCs w:val="18"/>
                </w:rPr>
                <w:t>tsbsg12@itu.int</w:t>
              </w:r>
            </w:hyperlink>
          </w:p>
          <w:p w14:paraId="0CD7A200" w14:textId="77777777" w:rsidR="006E14B5" w:rsidRPr="0044255C" w:rsidRDefault="006E14B5" w:rsidP="005C26FD">
            <w:pPr>
              <w:tabs>
                <w:tab w:val="left" w:pos="4111"/>
              </w:tabs>
              <w:spacing w:before="40"/>
              <w:rPr>
                <w:szCs w:val="24"/>
                <w:highlight w:val="yellow"/>
                <w:lang w:eastAsia="zh-CN"/>
              </w:rPr>
            </w:pPr>
          </w:p>
        </w:tc>
        <w:tc>
          <w:tcPr>
            <w:tcW w:w="4436" w:type="dxa"/>
            <w:vMerge/>
          </w:tcPr>
          <w:p w14:paraId="476E9A5D" w14:textId="77777777" w:rsidR="006E14B5" w:rsidRDefault="006E14B5" w:rsidP="00956D38">
            <w:pPr>
              <w:tabs>
                <w:tab w:val="clear" w:pos="794"/>
                <w:tab w:val="clear" w:pos="1191"/>
                <w:tab w:val="clear" w:pos="1588"/>
                <w:tab w:val="clear" w:pos="1985"/>
                <w:tab w:val="left" w:pos="284"/>
              </w:tabs>
              <w:spacing w:before="0"/>
              <w:ind w:left="284" w:hanging="284"/>
              <w:rPr>
                <w:lang w:eastAsia="zh-CN"/>
              </w:rPr>
            </w:pPr>
          </w:p>
        </w:tc>
      </w:tr>
      <w:tr w:rsidR="00720F32" w14:paraId="0FD3748F" w14:textId="77777777" w:rsidTr="00CC50C4">
        <w:trPr>
          <w:cantSplit/>
        </w:trPr>
        <w:tc>
          <w:tcPr>
            <w:tcW w:w="1268" w:type="dxa"/>
          </w:tcPr>
          <w:p w14:paraId="6481E4BF" w14:textId="77777777" w:rsidR="00720F32" w:rsidRPr="00AA099B" w:rsidRDefault="00720F32" w:rsidP="00AA099B">
            <w:pPr>
              <w:pStyle w:val="Tabletext"/>
              <w:rPr>
                <w:b/>
                <w:bCs/>
                <w:szCs w:val="24"/>
              </w:rPr>
            </w:pPr>
            <w:r w:rsidRPr="00AA099B">
              <w:rPr>
                <w:rFonts w:hint="eastAsia"/>
                <w:b/>
                <w:bCs/>
              </w:rPr>
              <w:t>事由：</w:t>
            </w:r>
          </w:p>
        </w:tc>
        <w:tc>
          <w:tcPr>
            <w:tcW w:w="8597" w:type="dxa"/>
            <w:gridSpan w:val="3"/>
          </w:tcPr>
          <w:p w14:paraId="663163ED" w14:textId="2BF3E225" w:rsidR="00720F32" w:rsidRPr="00AA099B" w:rsidRDefault="00AA099B" w:rsidP="00AA099B">
            <w:pPr>
              <w:pStyle w:val="Tabletext"/>
              <w:rPr>
                <w:b/>
                <w:bCs/>
              </w:rPr>
            </w:pPr>
            <w:r w:rsidRPr="00AA099B">
              <w:rPr>
                <w:rFonts w:hint="eastAsia"/>
                <w:b/>
                <w:bCs/>
              </w:rPr>
              <w:t>经</w:t>
            </w:r>
            <w:r w:rsidRPr="00AA099B">
              <w:rPr>
                <w:rFonts w:hint="eastAsia"/>
                <w:b/>
                <w:bCs/>
              </w:rPr>
              <w:t>ITU-T</w:t>
            </w:r>
            <w:r w:rsidRPr="00AA099B">
              <w:rPr>
                <w:rFonts w:hint="eastAsia"/>
                <w:b/>
                <w:bCs/>
              </w:rPr>
              <w:t>第</w:t>
            </w:r>
            <w:r w:rsidRPr="00AA099B">
              <w:rPr>
                <w:rFonts w:hint="eastAsia"/>
                <w:b/>
                <w:bCs/>
              </w:rPr>
              <w:t>12</w:t>
            </w:r>
            <w:r w:rsidRPr="00AA099B">
              <w:rPr>
                <w:rFonts w:hint="eastAsia"/>
                <w:b/>
                <w:bCs/>
              </w:rPr>
              <w:t>研究组</w:t>
            </w:r>
            <w:r w:rsidRPr="00AA099B">
              <w:rPr>
                <w:rFonts w:hint="eastAsia"/>
                <w:b/>
                <w:bCs/>
              </w:rPr>
              <w:t>2023</w:t>
            </w:r>
            <w:r w:rsidRPr="00AA099B">
              <w:rPr>
                <w:rFonts w:hint="eastAsia"/>
                <w:b/>
                <w:bCs/>
              </w:rPr>
              <w:t>年</w:t>
            </w:r>
            <w:r w:rsidRPr="00AA099B">
              <w:rPr>
                <w:rFonts w:hint="eastAsia"/>
                <w:b/>
                <w:bCs/>
              </w:rPr>
              <w:t>9</w:t>
            </w:r>
            <w:r w:rsidRPr="00AA099B">
              <w:rPr>
                <w:rFonts w:hint="eastAsia"/>
                <w:b/>
                <w:bCs/>
              </w:rPr>
              <w:t>月</w:t>
            </w:r>
            <w:r w:rsidRPr="00AA099B">
              <w:rPr>
                <w:rFonts w:hint="eastAsia"/>
                <w:b/>
                <w:bCs/>
              </w:rPr>
              <w:t>19-28</w:t>
            </w:r>
            <w:r w:rsidRPr="00AA099B">
              <w:rPr>
                <w:rFonts w:hint="eastAsia"/>
                <w:b/>
                <w:bCs/>
              </w:rPr>
              <w:t>日在墨西哥城召开的会议同意，建议删除</w:t>
            </w:r>
            <w:r w:rsidRPr="00AA099B">
              <w:rPr>
                <w:rFonts w:hint="eastAsia"/>
                <w:b/>
                <w:bCs/>
              </w:rPr>
              <w:t>ITU-T P.911</w:t>
            </w:r>
            <w:r w:rsidRPr="00AA099B">
              <w:rPr>
                <w:rFonts w:hint="eastAsia"/>
                <w:b/>
                <w:bCs/>
              </w:rPr>
              <w:t>、</w:t>
            </w:r>
            <w:r w:rsidRPr="00AA099B">
              <w:rPr>
                <w:rFonts w:hint="eastAsia"/>
                <w:b/>
                <w:bCs/>
              </w:rPr>
              <w:t>P.913</w:t>
            </w:r>
            <w:r w:rsidRPr="00AA099B">
              <w:rPr>
                <w:rFonts w:hint="eastAsia"/>
                <w:b/>
                <w:bCs/>
              </w:rPr>
              <w:t>建议书</w:t>
            </w:r>
          </w:p>
        </w:tc>
      </w:tr>
    </w:tbl>
    <w:p w14:paraId="7B1A26AC" w14:textId="77777777" w:rsidR="00AA099B" w:rsidRPr="00320E57" w:rsidRDefault="00AA099B" w:rsidP="00AA099B">
      <w:pPr>
        <w:rPr>
          <w:sz w:val="22"/>
          <w:szCs w:val="18"/>
          <w:lang w:eastAsia="zh-CN"/>
        </w:rPr>
      </w:pPr>
      <w:bookmarkStart w:id="1" w:name="StartTyping_E"/>
      <w:bookmarkEnd w:id="1"/>
      <w:r>
        <w:rPr>
          <w:lang w:val="zh-CN" w:eastAsia="zh-CN"/>
        </w:rPr>
        <w:t>尊敬的先生</w:t>
      </w:r>
      <w:r>
        <w:rPr>
          <w:lang w:val="zh-CN" w:eastAsia="zh-CN"/>
        </w:rPr>
        <w:t>/</w:t>
      </w:r>
      <w:r>
        <w:rPr>
          <w:lang w:val="zh-CN" w:eastAsia="zh-CN"/>
        </w:rPr>
        <w:t>女士，</w:t>
      </w:r>
    </w:p>
    <w:p w14:paraId="354A8567" w14:textId="77777777" w:rsidR="00AA099B" w:rsidRPr="00320E57" w:rsidRDefault="00AA099B" w:rsidP="00AA099B">
      <w:pPr>
        <w:rPr>
          <w:sz w:val="22"/>
          <w:szCs w:val="18"/>
          <w:lang w:eastAsia="zh-CN"/>
        </w:rPr>
      </w:pPr>
      <w:r>
        <w:rPr>
          <w:lang w:val="zh-CN" w:eastAsia="zh-CN"/>
        </w:rPr>
        <w:t>1</w:t>
      </w:r>
      <w:r>
        <w:rPr>
          <w:lang w:val="zh-CN" w:eastAsia="zh-CN"/>
        </w:rPr>
        <w:tab/>
      </w:r>
      <w:r>
        <w:rPr>
          <w:lang w:val="zh-CN" w:eastAsia="zh-CN"/>
        </w:rPr>
        <w:t>应第</w:t>
      </w:r>
      <w:r>
        <w:rPr>
          <w:lang w:val="zh-CN" w:eastAsia="zh-CN"/>
        </w:rPr>
        <w:t>12</w:t>
      </w:r>
      <w:r>
        <w:rPr>
          <w:lang w:val="zh-CN" w:eastAsia="zh-CN"/>
        </w:rPr>
        <w:t>研究组（性能、服务质量（</w:t>
      </w:r>
      <w:r>
        <w:rPr>
          <w:lang w:val="zh-CN" w:eastAsia="zh-CN"/>
        </w:rPr>
        <w:t>QoS</w:t>
      </w:r>
      <w:r>
        <w:rPr>
          <w:lang w:val="zh-CN" w:eastAsia="zh-CN"/>
        </w:rPr>
        <w:t>）和体验质量（</w:t>
      </w:r>
      <w:r>
        <w:rPr>
          <w:lang w:val="zh-CN" w:eastAsia="zh-CN"/>
        </w:rPr>
        <w:t>QoE</w:t>
      </w:r>
      <w:r>
        <w:rPr>
          <w:lang w:val="zh-CN" w:eastAsia="zh-CN"/>
        </w:rPr>
        <w:t>））主席的请求，我荣幸地告知您，该研究组在</w:t>
      </w:r>
      <w:r>
        <w:rPr>
          <w:lang w:val="zh-CN" w:eastAsia="zh-CN"/>
        </w:rPr>
        <w:t>2023</w:t>
      </w:r>
      <w:r>
        <w:rPr>
          <w:lang w:val="zh-CN" w:eastAsia="zh-CN"/>
        </w:rPr>
        <w:t>年</w:t>
      </w:r>
      <w:r>
        <w:rPr>
          <w:lang w:val="zh-CN" w:eastAsia="zh-CN"/>
        </w:rPr>
        <w:t>9</w:t>
      </w:r>
      <w:r>
        <w:rPr>
          <w:lang w:val="zh-CN" w:eastAsia="zh-CN"/>
        </w:rPr>
        <w:t>月</w:t>
      </w:r>
      <w:r>
        <w:rPr>
          <w:lang w:val="zh-CN" w:eastAsia="zh-CN"/>
        </w:rPr>
        <w:t>19</w:t>
      </w:r>
      <w:r>
        <w:rPr>
          <w:lang w:val="zh-CN" w:eastAsia="zh-CN"/>
        </w:rPr>
        <w:t>日至</w:t>
      </w:r>
      <w:r>
        <w:rPr>
          <w:lang w:val="zh-CN" w:eastAsia="zh-CN"/>
        </w:rPr>
        <w:t>28</w:t>
      </w:r>
      <w:r>
        <w:rPr>
          <w:lang w:val="zh-CN" w:eastAsia="zh-CN"/>
        </w:rPr>
        <w:t>日</w:t>
      </w:r>
      <w:r>
        <w:rPr>
          <w:rFonts w:hint="eastAsia"/>
          <w:lang w:val="zh-CN" w:eastAsia="zh-CN"/>
        </w:rPr>
        <w:t>于</w:t>
      </w:r>
      <w:r>
        <w:rPr>
          <w:lang w:val="zh-CN" w:eastAsia="zh-CN"/>
        </w:rPr>
        <w:t>墨西哥城召开的会议上，同意根据世界电信标准化全会（</w:t>
      </w:r>
      <w:r>
        <w:rPr>
          <w:lang w:val="zh-CN" w:eastAsia="zh-CN"/>
        </w:rPr>
        <w:t>WTSA</w:t>
      </w:r>
      <w:r>
        <w:rPr>
          <w:lang w:val="zh-CN" w:eastAsia="zh-CN"/>
        </w:rPr>
        <w:t>）第</w:t>
      </w:r>
      <w:r>
        <w:rPr>
          <w:lang w:val="zh-CN" w:eastAsia="zh-CN"/>
        </w:rPr>
        <w:t>1</w:t>
      </w:r>
      <w:r>
        <w:rPr>
          <w:lang w:val="zh-CN" w:eastAsia="zh-CN"/>
        </w:rPr>
        <w:t>号决议（</w:t>
      </w:r>
      <w:r>
        <w:rPr>
          <w:lang w:val="zh-CN" w:eastAsia="zh-CN"/>
        </w:rPr>
        <w:t>2022</w:t>
      </w:r>
      <w:r>
        <w:rPr>
          <w:lang w:val="zh-CN" w:eastAsia="zh-CN"/>
        </w:rPr>
        <w:t>年，日内瓦，修订版）第</w:t>
      </w:r>
      <w:r>
        <w:rPr>
          <w:lang w:val="zh-CN" w:eastAsia="zh-CN"/>
        </w:rPr>
        <w:t>9.8.2.1</w:t>
      </w:r>
      <w:r>
        <w:rPr>
          <w:rFonts w:hint="eastAsia"/>
          <w:lang w:val="zh-CN" w:eastAsia="zh-CN"/>
        </w:rPr>
        <w:t>节</w:t>
      </w:r>
      <w:r>
        <w:rPr>
          <w:lang w:val="zh-CN" w:eastAsia="zh-CN"/>
        </w:rPr>
        <w:t>的规定，着手删除上述</w:t>
      </w:r>
      <w:r>
        <w:rPr>
          <w:lang w:val="zh-CN" w:eastAsia="zh-CN"/>
        </w:rPr>
        <w:t>ITU-T</w:t>
      </w:r>
      <w:r>
        <w:rPr>
          <w:lang w:val="zh-CN" w:eastAsia="zh-CN"/>
        </w:rPr>
        <w:t>建议书。出席会议的成员国或根据国际电联《公约》第</w:t>
      </w:r>
      <w:r>
        <w:rPr>
          <w:lang w:val="zh-CN" w:eastAsia="zh-CN"/>
        </w:rPr>
        <w:t>239</w:t>
      </w:r>
      <w:r>
        <w:rPr>
          <w:lang w:val="zh-CN" w:eastAsia="zh-CN"/>
        </w:rPr>
        <w:t>款代表成员国行事的部门成员</w:t>
      </w:r>
      <w:r>
        <w:rPr>
          <w:rFonts w:hint="eastAsia"/>
          <w:lang w:val="zh-CN" w:eastAsia="zh-CN"/>
        </w:rPr>
        <w:t>没有提出反对，会议</w:t>
      </w:r>
      <w:r>
        <w:rPr>
          <w:lang w:val="zh-CN" w:eastAsia="zh-CN"/>
        </w:rPr>
        <w:t>达成一致意见。</w:t>
      </w:r>
    </w:p>
    <w:p w14:paraId="06EC9012" w14:textId="77777777" w:rsidR="00AA099B" w:rsidRPr="00320E57" w:rsidRDefault="00AA099B" w:rsidP="00AA099B">
      <w:pPr>
        <w:rPr>
          <w:sz w:val="22"/>
          <w:szCs w:val="18"/>
          <w:lang w:eastAsia="zh-CN"/>
        </w:rPr>
      </w:pPr>
      <w:r>
        <w:rPr>
          <w:lang w:val="zh-CN" w:eastAsia="zh-CN"/>
        </w:rPr>
        <w:t>2</w:t>
      </w:r>
      <w:r>
        <w:rPr>
          <w:lang w:val="zh-CN" w:eastAsia="zh-CN"/>
        </w:rPr>
        <w:tab/>
      </w:r>
      <w:r>
        <w:rPr>
          <w:lang w:val="zh-CN" w:eastAsia="zh-CN"/>
        </w:rPr>
        <w:t>有关</w:t>
      </w:r>
      <w:proofErr w:type="gramStart"/>
      <w:r>
        <w:rPr>
          <w:lang w:val="zh-CN" w:eastAsia="zh-CN"/>
        </w:rPr>
        <w:t>该一致</w:t>
      </w:r>
      <w:proofErr w:type="gramEnd"/>
      <w:r>
        <w:rPr>
          <w:lang w:val="zh-CN" w:eastAsia="zh-CN"/>
        </w:rPr>
        <w:t>意见的信息（包括对删除原因的简要说明）见</w:t>
      </w:r>
      <w:r>
        <w:rPr>
          <w:b/>
          <w:bCs/>
          <w:lang w:val="zh-CN" w:eastAsia="zh-CN"/>
        </w:rPr>
        <w:t>附件</w:t>
      </w:r>
      <w:r>
        <w:rPr>
          <w:b/>
          <w:bCs/>
          <w:lang w:val="zh-CN" w:eastAsia="zh-CN"/>
        </w:rPr>
        <w:t>1</w:t>
      </w:r>
      <w:r>
        <w:rPr>
          <w:lang w:val="zh-CN" w:eastAsia="zh-CN"/>
        </w:rPr>
        <w:t>。</w:t>
      </w:r>
    </w:p>
    <w:p w14:paraId="3C5FB93D" w14:textId="77777777" w:rsidR="00AA099B" w:rsidRPr="00320E57" w:rsidRDefault="00AA099B" w:rsidP="00AA099B">
      <w:pPr>
        <w:rPr>
          <w:sz w:val="22"/>
          <w:szCs w:val="18"/>
          <w:lang w:eastAsia="zh-CN"/>
        </w:rPr>
      </w:pPr>
      <w:r>
        <w:rPr>
          <w:lang w:val="zh-CN" w:eastAsia="zh-CN"/>
        </w:rPr>
        <w:t>3</w:t>
      </w:r>
      <w:r>
        <w:rPr>
          <w:lang w:val="zh-CN" w:eastAsia="zh-CN"/>
        </w:rPr>
        <w:tab/>
      </w:r>
      <w:r>
        <w:rPr>
          <w:lang w:val="zh-CN" w:eastAsia="zh-CN"/>
        </w:rPr>
        <w:t>根据第</w:t>
      </w:r>
      <w:r>
        <w:rPr>
          <w:lang w:val="zh-CN" w:eastAsia="zh-CN"/>
        </w:rPr>
        <w:t>1</w:t>
      </w:r>
      <w:r>
        <w:rPr>
          <w:lang w:val="zh-CN" w:eastAsia="zh-CN"/>
        </w:rPr>
        <w:t>号决议第</w:t>
      </w:r>
      <w:r>
        <w:rPr>
          <w:lang w:val="zh-CN" w:eastAsia="zh-CN"/>
        </w:rPr>
        <w:t>9.8.2.1</w:t>
      </w:r>
      <w:r>
        <w:rPr>
          <w:lang w:val="zh-CN" w:eastAsia="zh-CN"/>
        </w:rPr>
        <w:t>节</w:t>
      </w:r>
      <w:r>
        <w:rPr>
          <w:rFonts w:hint="eastAsia"/>
          <w:lang w:val="zh-CN" w:eastAsia="zh-CN"/>
        </w:rPr>
        <w:t>的规定</w:t>
      </w:r>
      <w:r>
        <w:rPr>
          <w:lang w:val="zh-CN" w:eastAsia="zh-CN"/>
        </w:rPr>
        <w:t>，如果在</w:t>
      </w:r>
      <w:r>
        <w:rPr>
          <w:b/>
          <w:bCs/>
          <w:lang w:val="zh-CN" w:eastAsia="zh-CN"/>
        </w:rPr>
        <w:t>2024</w:t>
      </w:r>
      <w:r>
        <w:rPr>
          <w:b/>
          <w:bCs/>
          <w:lang w:val="zh-CN" w:eastAsia="zh-CN"/>
        </w:rPr>
        <w:t>年</w:t>
      </w:r>
      <w:r>
        <w:rPr>
          <w:b/>
          <w:bCs/>
          <w:lang w:val="zh-CN" w:eastAsia="zh-CN"/>
        </w:rPr>
        <w:t>2</w:t>
      </w:r>
      <w:r>
        <w:rPr>
          <w:b/>
          <w:bCs/>
          <w:lang w:val="zh-CN" w:eastAsia="zh-CN"/>
        </w:rPr>
        <w:t>月</w:t>
      </w:r>
      <w:r>
        <w:rPr>
          <w:b/>
          <w:bCs/>
          <w:lang w:val="zh-CN" w:eastAsia="zh-CN"/>
        </w:rPr>
        <w:t>1</w:t>
      </w:r>
      <w:r>
        <w:rPr>
          <w:b/>
          <w:bCs/>
          <w:lang w:val="zh-CN" w:eastAsia="zh-CN"/>
        </w:rPr>
        <w:t>日</w:t>
      </w:r>
      <w:r>
        <w:rPr>
          <w:lang w:val="zh-CN" w:eastAsia="zh-CN"/>
        </w:rPr>
        <w:t>23:59</w:t>
      </w:r>
      <w:r>
        <w:rPr>
          <w:lang w:val="zh-CN" w:eastAsia="zh-CN"/>
        </w:rPr>
        <w:t>（协调世界时）之前没有收到反对意见，删除将生效。</w:t>
      </w:r>
    </w:p>
    <w:p w14:paraId="3F522390" w14:textId="77777777" w:rsidR="00AA099B" w:rsidRPr="00AA099B" w:rsidRDefault="00AA099B" w:rsidP="00AA099B">
      <w:pPr>
        <w:rPr>
          <w:lang w:eastAsia="zh-CN"/>
        </w:rPr>
      </w:pPr>
      <w:r w:rsidRPr="00AA099B">
        <w:rPr>
          <w:lang w:val="zh-CN" w:eastAsia="zh-CN"/>
        </w:rPr>
        <w:tab/>
      </w:r>
      <w:r w:rsidRPr="00AA099B">
        <w:rPr>
          <w:rFonts w:hint="eastAsia"/>
          <w:lang w:eastAsia="zh-CN"/>
        </w:rPr>
        <w:t>如有成员国或根据国际电联《公约》第</w:t>
      </w:r>
      <w:r w:rsidRPr="00AA099B">
        <w:rPr>
          <w:lang w:eastAsia="zh-CN"/>
        </w:rPr>
        <w:t>239</w:t>
      </w:r>
      <w:r w:rsidRPr="00AA099B">
        <w:rPr>
          <w:rFonts w:hint="eastAsia"/>
          <w:lang w:eastAsia="zh-CN"/>
        </w:rPr>
        <w:t>款代表成员国行事的部门成员认为</w:t>
      </w:r>
      <w:proofErr w:type="gramStart"/>
      <w:r w:rsidRPr="00AA099B">
        <w:rPr>
          <w:rFonts w:hint="eastAsia"/>
          <w:lang w:eastAsia="zh-CN"/>
        </w:rPr>
        <w:t>不</w:t>
      </w:r>
      <w:proofErr w:type="gramEnd"/>
      <w:r w:rsidRPr="00AA099B">
        <w:rPr>
          <w:rFonts w:hint="eastAsia"/>
          <w:lang w:eastAsia="zh-CN"/>
        </w:rPr>
        <w:t>应接受删除，则应阐明其反对原因，该问题将退回研究组重新审议。</w:t>
      </w:r>
    </w:p>
    <w:p w14:paraId="02CE3640" w14:textId="77777777" w:rsidR="00AA099B" w:rsidRDefault="00AA099B" w:rsidP="00AA099B">
      <w:pPr>
        <w:rPr>
          <w:lang w:val="zh-CN" w:eastAsia="zh-CN"/>
        </w:rPr>
      </w:pPr>
      <w:r w:rsidRPr="00AA099B">
        <w:rPr>
          <w:lang w:eastAsia="zh-CN"/>
        </w:rPr>
        <w:t>4</w:t>
      </w:r>
      <w:r w:rsidRPr="00AA099B">
        <w:rPr>
          <w:lang w:eastAsia="zh-CN"/>
        </w:rPr>
        <w:tab/>
      </w:r>
      <w:r w:rsidRPr="00AA099B">
        <w:rPr>
          <w:rFonts w:hint="eastAsia"/>
          <w:lang w:eastAsia="zh-CN"/>
        </w:rPr>
        <w:t>此次磋商的结果将在截止日期后不久通过一份电信标准化局通函予以宣布，并在《国际电联操作公报》中公布</w:t>
      </w:r>
      <w:r w:rsidRPr="00AA099B">
        <w:rPr>
          <w:lang w:val="zh-CN" w:eastAsia="zh-CN"/>
        </w:rPr>
        <w:t>。</w:t>
      </w:r>
    </w:p>
    <w:p w14:paraId="3160F4BC" w14:textId="080C89EF" w:rsidR="00720F32" w:rsidRDefault="00720F32" w:rsidP="00AE7F00">
      <w:pPr>
        <w:spacing w:before="240"/>
        <w:rPr>
          <w:lang w:eastAsia="zh-CN"/>
        </w:rPr>
      </w:pPr>
      <w:r>
        <w:rPr>
          <w:rFonts w:hint="eastAsia"/>
          <w:lang w:eastAsia="zh-CN"/>
        </w:rPr>
        <w:t>顺致敬意</w:t>
      </w:r>
      <w:r w:rsidR="00AE7F00">
        <w:rPr>
          <w:rFonts w:hint="eastAsia"/>
          <w:lang w:eastAsia="zh-CN"/>
        </w:rPr>
        <w:t>！</w:t>
      </w:r>
    </w:p>
    <w:p w14:paraId="6F99AC88" w14:textId="77777777" w:rsidR="00720F32" w:rsidRPr="00D50818" w:rsidRDefault="00720F32" w:rsidP="0044255C">
      <w:pPr>
        <w:spacing w:before="360" w:after="360"/>
        <w:rPr>
          <w:rFonts w:ascii="KaiTi" w:eastAsia="STKaiti" w:hAnsi="KaiTi"/>
          <w:lang w:val="en-US" w:eastAsia="zh-CN"/>
        </w:rPr>
      </w:pPr>
      <w:r w:rsidRPr="0044255C">
        <w:rPr>
          <w:rFonts w:ascii="KaiTi" w:eastAsia="STKaiti" w:hAnsi="KaiTi" w:hint="eastAsia"/>
          <w:lang w:val="en-US" w:eastAsia="zh-CN"/>
        </w:rPr>
        <w:t>（原件已签）</w:t>
      </w:r>
    </w:p>
    <w:p w14:paraId="757CCE3F" w14:textId="77777777" w:rsidR="00720F32" w:rsidRPr="00714A1B" w:rsidRDefault="00720F32" w:rsidP="00AA099B">
      <w:pPr>
        <w:rPr>
          <w:lang w:eastAsia="zh-CN"/>
        </w:rPr>
      </w:pPr>
      <w:r>
        <w:rPr>
          <w:rFonts w:hint="eastAsia"/>
          <w:lang w:eastAsia="zh-CN"/>
        </w:rPr>
        <w:t>电信标准化局主任</w:t>
      </w:r>
    </w:p>
    <w:p w14:paraId="50013601" w14:textId="174216E9" w:rsidR="00720F32" w:rsidRDefault="006E14B5" w:rsidP="00AA099B">
      <w:pPr>
        <w:rPr>
          <w:rFonts w:ascii="Calibri" w:hAnsi="Calibri" w:cs="Calibri"/>
          <w:sz w:val="22"/>
          <w:szCs w:val="22"/>
          <w:lang w:eastAsia="zh-CN"/>
        </w:rPr>
      </w:pPr>
      <w:r>
        <w:rPr>
          <w:rFonts w:ascii="Calibri" w:hAnsi="Calibri" w:cs="Calibri" w:hint="eastAsia"/>
          <w:sz w:val="22"/>
          <w:szCs w:val="22"/>
          <w:lang w:eastAsia="zh-CN"/>
        </w:rPr>
        <w:t>尾上诚藏</w:t>
      </w:r>
    </w:p>
    <w:p w14:paraId="0749C619" w14:textId="77777777" w:rsidR="00AA099B" w:rsidRPr="00DB3EEE" w:rsidRDefault="00AA099B" w:rsidP="00DB3EEE">
      <w:pPr>
        <w:spacing w:before="360"/>
        <w:rPr>
          <w:rFonts w:asciiTheme="majorEastAsia" w:eastAsiaTheme="majorEastAsia" w:hAnsiTheme="majorEastAsia"/>
          <w:b/>
          <w:bCs/>
          <w:sz w:val="22"/>
          <w:szCs w:val="22"/>
          <w:lang w:val="zh-CN" w:eastAsia="zh-CN"/>
        </w:rPr>
      </w:pPr>
      <w:r w:rsidRPr="00DB3EEE">
        <w:rPr>
          <w:rFonts w:asciiTheme="majorEastAsia" w:eastAsiaTheme="majorEastAsia" w:hAnsiTheme="majorEastAsia"/>
          <w:b/>
          <w:bCs/>
          <w:sz w:val="22"/>
          <w:szCs w:val="22"/>
          <w:lang w:val="zh-CN" w:eastAsia="zh-CN"/>
        </w:rPr>
        <w:t>附件</w:t>
      </w:r>
      <w:r w:rsidRPr="00DB3EEE">
        <w:rPr>
          <w:rFonts w:asciiTheme="majorEastAsia" w:eastAsiaTheme="majorEastAsia" w:hAnsiTheme="majorEastAsia"/>
          <w:b/>
          <w:bCs/>
          <w:sz w:val="22"/>
          <w:szCs w:val="22"/>
          <w:lang w:eastAsia="zh-CN"/>
        </w:rPr>
        <w:t>：1</w:t>
      </w:r>
      <w:r w:rsidRPr="00DB3EEE">
        <w:rPr>
          <w:rFonts w:asciiTheme="majorEastAsia" w:eastAsiaTheme="majorEastAsia" w:hAnsiTheme="majorEastAsia"/>
          <w:b/>
          <w:bCs/>
          <w:sz w:val="22"/>
          <w:szCs w:val="22"/>
          <w:lang w:val="zh-CN" w:eastAsia="zh-CN"/>
        </w:rPr>
        <w:t>件</w:t>
      </w:r>
    </w:p>
    <w:p w14:paraId="5D759AC5" w14:textId="4B729EFA" w:rsidR="00AA099B" w:rsidRDefault="00AA099B" w:rsidP="00AA099B">
      <w:pPr>
        <w:rPr>
          <w:b/>
          <w:bCs/>
          <w:lang w:val="zh-CN" w:eastAsia="zh-CN"/>
        </w:rPr>
      </w:pPr>
      <w:r>
        <w:rPr>
          <w:b/>
          <w:bCs/>
          <w:lang w:val="zh-CN" w:eastAsia="zh-CN"/>
        </w:rPr>
        <w:br w:type="page"/>
      </w:r>
    </w:p>
    <w:p w14:paraId="5649D710" w14:textId="77777777" w:rsidR="00AA099B" w:rsidRPr="00F81172" w:rsidRDefault="00AA099B" w:rsidP="00AA099B">
      <w:pPr>
        <w:jc w:val="center"/>
        <w:rPr>
          <w:b/>
          <w:bCs/>
          <w:sz w:val="28"/>
          <w:szCs w:val="28"/>
          <w:lang w:val="fr-CH" w:eastAsia="zh-CN"/>
        </w:rPr>
      </w:pPr>
      <w:r w:rsidRPr="0088584E">
        <w:rPr>
          <w:rFonts w:hint="eastAsia"/>
          <w:b/>
          <w:bCs/>
          <w:sz w:val="28"/>
          <w:szCs w:val="28"/>
          <w:lang w:val="zh-CN" w:eastAsia="zh-CN"/>
        </w:rPr>
        <w:lastRenderedPageBreak/>
        <w:t>附件</w:t>
      </w:r>
      <w:r w:rsidRPr="00F81172">
        <w:rPr>
          <w:rFonts w:hint="eastAsia"/>
          <w:b/>
          <w:bCs/>
          <w:sz w:val="28"/>
          <w:szCs w:val="28"/>
          <w:lang w:val="fr-CH" w:eastAsia="zh-CN"/>
        </w:rPr>
        <w:t>1</w:t>
      </w:r>
    </w:p>
    <w:p w14:paraId="69CC56FA" w14:textId="77777777" w:rsidR="00AA099B" w:rsidRPr="00F81172" w:rsidRDefault="00AA099B" w:rsidP="00AA099B">
      <w:pPr>
        <w:jc w:val="center"/>
        <w:rPr>
          <w:b/>
          <w:bCs/>
          <w:sz w:val="28"/>
          <w:szCs w:val="28"/>
          <w:lang w:val="fr-CH" w:eastAsia="zh-CN"/>
        </w:rPr>
      </w:pPr>
      <w:r w:rsidRPr="0088584E">
        <w:rPr>
          <w:b/>
          <w:bCs/>
          <w:sz w:val="28"/>
          <w:szCs w:val="28"/>
          <w:lang w:val="zh-CN" w:eastAsia="zh-CN"/>
        </w:rPr>
        <w:t>建议删除的建议书</w:t>
      </w:r>
      <w:r w:rsidRPr="00F81172">
        <w:rPr>
          <w:b/>
          <w:bCs/>
          <w:sz w:val="28"/>
          <w:szCs w:val="28"/>
          <w:lang w:val="fr-CH" w:eastAsia="zh-CN"/>
        </w:rPr>
        <w:t>：</w:t>
      </w:r>
      <w:r w:rsidRPr="00F81172">
        <w:rPr>
          <w:b/>
          <w:bCs/>
          <w:sz w:val="28"/>
          <w:szCs w:val="28"/>
          <w:lang w:val="fr-CH" w:eastAsia="zh-CN"/>
        </w:rPr>
        <w:t>ITU-T P.911</w:t>
      </w:r>
      <w:r w:rsidRPr="0088584E">
        <w:rPr>
          <w:b/>
          <w:bCs/>
          <w:sz w:val="28"/>
          <w:szCs w:val="28"/>
          <w:lang w:val="zh-CN" w:eastAsia="zh-CN"/>
        </w:rPr>
        <w:t>、</w:t>
      </w:r>
      <w:r w:rsidRPr="00F81172">
        <w:rPr>
          <w:b/>
          <w:bCs/>
          <w:sz w:val="28"/>
          <w:szCs w:val="28"/>
          <w:lang w:val="fr-CH" w:eastAsia="zh-CN"/>
        </w:rPr>
        <w:t>ITU-T P.913</w:t>
      </w:r>
    </w:p>
    <w:p w14:paraId="5F31B0AD" w14:textId="77777777" w:rsidR="00AA099B" w:rsidRPr="00F81172" w:rsidRDefault="00AA099B" w:rsidP="00AA099B">
      <w:pPr>
        <w:spacing w:before="0"/>
        <w:jc w:val="center"/>
        <w:rPr>
          <w:lang w:val="fr-CH" w:eastAsia="ja-JP"/>
        </w:rPr>
      </w:pPr>
    </w:p>
    <w:tbl>
      <w:tblPr>
        <w:tblStyle w:val="TableGrid"/>
        <w:tblW w:w="0" w:type="auto"/>
        <w:tblLayout w:type="fixed"/>
        <w:tblLook w:val="04A0" w:firstRow="1" w:lastRow="0" w:firstColumn="1" w:lastColumn="0" w:noHBand="0" w:noVBand="1"/>
      </w:tblPr>
      <w:tblGrid>
        <w:gridCol w:w="9719"/>
      </w:tblGrid>
      <w:tr w:rsidR="00AA099B" w:rsidRPr="00F81172" w14:paraId="78071EEC" w14:textId="77777777" w:rsidTr="00EE2A79">
        <w:tc>
          <w:tcPr>
            <w:tcW w:w="9719" w:type="dxa"/>
          </w:tcPr>
          <w:p w14:paraId="1053C05B" w14:textId="569B05C8" w:rsidR="00AA099B" w:rsidRPr="00F81172" w:rsidRDefault="00AA099B" w:rsidP="00EE2A79">
            <w:pPr>
              <w:spacing w:before="240"/>
              <w:rPr>
                <w:b/>
                <w:bCs/>
                <w:lang w:val="fr-CH" w:eastAsia="zh-CN"/>
              </w:rPr>
            </w:pPr>
            <w:r w:rsidRPr="00F81172">
              <w:rPr>
                <w:b/>
                <w:bCs/>
                <w:lang w:val="fr-CH" w:eastAsia="zh-CN"/>
              </w:rPr>
              <w:t>ITU-T P.911</w:t>
            </w:r>
            <w:r w:rsidRPr="00655379">
              <w:rPr>
                <w:b/>
                <w:bCs/>
                <w:lang w:eastAsia="zh-CN"/>
              </w:rPr>
              <w:t>建议书</w:t>
            </w:r>
            <w:r w:rsidR="00655379">
              <w:rPr>
                <w:rFonts w:hint="eastAsia"/>
                <w:b/>
                <w:bCs/>
                <w:lang w:val="zh-CN" w:eastAsia="zh-CN"/>
              </w:rPr>
              <w:t xml:space="preserve"> </w:t>
            </w:r>
            <w:r w:rsidR="00655379" w:rsidRPr="00655379">
              <w:rPr>
                <w:b/>
                <w:bCs/>
                <w:lang w:val="zh-CN" w:eastAsia="zh-CN"/>
              </w:rPr>
              <w:t>–</w:t>
            </w:r>
            <w:r w:rsidR="00655379">
              <w:rPr>
                <w:b/>
                <w:bCs/>
                <w:lang w:val="zh-CN" w:eastAsia="zh-CN"/>
              </w:rPr>
              <w:t xml:space="preserve"> </w:t>
            </w:r>
            <w:r w:rsidRPr="00655379">
              <w:rPr>
                <w:rFonts w:ascii="STKaiti" w:eastAsia="STKaiti" w:hAnsi="STKaiti" w:hint="eastAsia"/>
                <w:b/>
                <w:bCs/>
                <w:lang w:val="zh-CN" w:eastAsia="zh-CN"/>
              </w:rPr>
              <w:t>多媒体应用的主观音像质量评估方法</w:t>
            </w:r>
            <w:r>
              <w:rPr>
                <w:b/>
                <w:bCs/>
                <w:lang w:val="zh-CN" w:eastAsia="zh-CN"/>
              </w:rPr>
              <w:t>（</w:t>
            </w:r>
            <w:r>
              <w:rPr>
                <w:b/>
                <w:bCs/>
                <w:lang w:val="zh-CN" w:eastAsia="zh-CN"/>
              </w:rPr>
              <w:t>12/1998</w:t>
            </w:r>
            <w:r>
              <w:rPr>
                <w:b/>
                <w:bCs/>
                <w:lang w:val="zh-CN" w:eastAsia="zh-CN"/>
              </w:rPr>
              <w:t>）</w:t>
            </w:r>
          </w:p>
        </w:tc>
      </w:tr>
      <w:tr w:rsidR="00AA099B" w:rsidRPr="00AE6D6D" w14:paraId="0B0DB759" w14:textId="77777777" w:rsidTr="00EE2A79">
        <w:tc>
          <w:tcPr>
            <w:tcW w:w="9719" w:type="dxa"/>
          </w:tcPr>
          <w:p w14:paraId="443A48F5" w14:textId="1342F1B4" w:rsidR="00AA099B" w:rsidRPr="00FE1A72" w:rsidRDefault="00AA099B" w:rsidP="00EE2A79">
            <w:pPr>
              <w:rPr>
                <w:rFonts w:ascii="STKaiti" w:eastAsia="STKaiti" w:hAnsi="STKaiti"/>
              </w:rPr>
            </w:pPr>
            <w:proofErr w:type="spellStart"/>
            <w:r w:rsidRPr="00FE1A72">
              <w:rPr>
                <w:rFonts w:ascii="STKaiti" w:eastAsia="STKaiti" w:hAnsi="STKaiti"/>
                <w:lang w:val="zh-CN"/>
              </w:rPr>
              <w:t>摘要</w:t>
            </w:r>
            <w:proofErr w:type="spellEnd"/>
            <w:r w:rsidR="00655379" w:rsidRPr="00655379">
              <w:rPr>
                <w:rFonts w:asciiTheme="majorEastAsia" w:eastAsiaTheme="majorEastAsia" w:hAnsiTheme="majorEastAsia"/>
                <w:lang w:val="zh-CN" w:eastAsia="zh-CN"/>
              </w:rPr>
              <w:t>：</w:t>
            </w:r>
          </w:p>
        </w:tc>
      </w:tr>
      <w:tr w:rsidR="00AA099B" w:rsidRPr="00AE6D6D" w14:paraId="28B9E0A8" w14:textId="77777777" w:rsidTr="00EE2A79">
        <w:tc>
          <w:tcPr>
            <w:tcW w:w="9719" w:type="dxa"/>
          </w:tcPr>
          <w:p w14:paraId="283F8ABB" w14:textId="77777777" w:rsidR="00AA099B" w:rsidRPr="00655379" w:rsidRDefault="00AA099B" w:rsidP="00655379">
            <w:pPr>
              <w:rPr>
                <w:lang w:eastAsia="zh-CN"/>
              </w:rPr>
            </w:pPr>
            <w:r w:rsidRPr="00655379">
              <w:rPr>
                <w:rFonts w:hint="eastAsia"/>
                <w:lang w:val="zh-CN" w:eastAsia="zh-CN"/>
              </w:rPr>
              <w:t>本建议书描述了用于评估多媒体应用的单向整体音像质量的非交互式主观评估方法，如视频会议、存储和检索应用以及远程医疗应用等。这些方法可用于多种不同的目的，包括但不限于算法的选择，音视频系统性能的排名以及音视频连接期间质量水平的评估。当需要评估交互性时，应使用</w:t>
            </w:r>
            <w:r w:rsidRPr="00655379">
              <w:rPr>
                <w:rFonts w:hint="eastAsia"/>
                <w:lang w:val="zh-CN" w:eastAsia="zh-CN"/>
              </w:rPr>
              <w:t>P.920</w:t>
            </w:r>
            <w:r w:rsidRPr="00655379">
              <w:rPr>
                <w:rFonts w:hint="eastAsia"/>
                <w:lang w:val="zh-CN" w:eastAsia="zh-CN"/>
              </w:rPr>
              <w:t>建议书中描述的会话测试方法。本建议还概述了要使用的源序列的特性，如持续时间、内容类型、序列数量等。最后，它提供了关于音频、视频和音像质量之间关系的说明，这些是从不同实验室独立进行的测试结果中得出的。</w:t>
            </w:r>
          </w:p>
        </w:tc>
      </w:tr>
      <w:tr w:rsidR="00AA099B" w:rsidRPr="00AE6D6D" w14:paraId="6E564BA9" w14:textId="77777777" w:rsidTr="00EE2A79">
        <w:tc>
          <w:tcPr>
            <w:tcW w:w="9719" w:type="dxa"/>
          </w:tcPr>
          <w:p w14:paraId="7DEC53C3" w14:textId="56FEAD68" w:rsidR="00AA099B" w:rsidRPr="00AE6D6D" w:rsidRDefault="00AA099B" w:rsidP="00EE2A79">
            <w:pPr>
              <w:rPr>
                <w:i/>
                <w:iCs/>
                <w:lang w:eastAsia="zh-CN"/>
              </w:rPr>
            </w:pPr>
            <w:r w:rsidRPr="00FE1A72">
              <w:rPr>
                <w:rFonts w:ascii="STKaiti" w:eastAsia="STKaiti" w:hAnsi="STKaiti"/>
                <w:lang w:val="zh-CN" w:eastAsia="zh-CN"/>
              </w:rPr>
              <w:t>删除上述建议书的原因</w:t>
            </w:r>
            <w:r w:rsidR="00655379" w:rsidRPr="00655379">
              <w:rPr>
                <w:rFonts w:asciiTheme="majorEastAsia" w:eastAsiaTheme="majorEastAsia" w:hAnsiTheme="majorEastAsia"/>
                <w:lang w:val="zh-CN" w:eastAsia="zh-CN"/>
              </w:rPr>
              <w:t>：</w:t>
            </w:r>
          </w:p>
        </w:tc>
      </w:tr>
      <w:tr w:rsidR="00AA099B" w:rsidRPr="00AE6D6D" w14:paraId="132AC680" w14:textId="77777777" w:rsidTr="00EE2A79">
        <w:tc>
          <w:tcPr>
            <w:tcW w:w="9719" w:type="dxa"/>
          </w:tcPr>
          <w:p w14:paraId="7FA17AEA" w14:textId="77777777" w:rsidR="00AA099B" w:rsidRPr="00EE6822" w:rsidRDefault="00AA099B" w:rsidP="00655379">
            <w:pPr>
              <w:rPr>
                <w:rFonts w:ascii="Times New Roman" w:hAnsi="Times New Roman"/>
                <w:lang w:val="zh-CN" w:eastAsia="zh-CN"/>
              </w:rPr>
            </w:pPr>
            <w:r w:rsidRPr="00655379">
              <w:rPr>
                <w:rFonts w:cstheme="minorHAnsi"/>
                <w:lang w:val="zh-CN" w:eastAsia="zh-CN"/>
              </w:rPr>
              <w:t>ITU-T P.910</w:t>
            </w:r>
            <w:r w:rsidRPr="00EE6822">
              <w:rPr>
                <w:rFonts w:ascii="Times New Roman" w:hAnsi="Times New Roman"/>
                <w:lang w:val="zh-CN" w:eastAsia="zh-CN"/>
              </w:rPr>
              <w:t>建议</w:t>
            </w:r>
            <w:r>
              <w:rPr>
                <w:rFonts w:ascii="Times New Roman" w:hAnsi="Times New Roman" w:hint="eastAsia"/>
                <w:lang w:val="zh-CN" w:eastAsia="zh-CN"/>
              </w:rPr>
              <w:t>书</w:t>
            </w:r>
            <w:r w:rsidRPr="00EE6822">
              <w:rPr>
                <w:rFonts w:ascii="Times New Roman" w:hAnsi="Times New Roman"/>
                <w:lang w:val="zh-CN" w:eastAsia="zh-CN"/>
              </w:rPr>
              <w:t>已经修订，合并了</w:t>
            </w:r>
            <w:r w:rsidRPr="00655379">
              <w:rPr>
                <w:rFonts w:cstheme="minorHAnsi"/>
                <w:lang w:val="zh-CN" w:eastAsia="zh-CN"/>
              </w:rPr>
              <w:t>ITU-T P.911</w:t>
            </w:r>
            <w:r>
              <w:rPr>
                <w:rFonts w:ascii="Times New Roman" w:hAnsi="Times New Roman" w:hint="eastAsia"/>
                <w:lang w:val="zh-CN" w:eastAsia="zh-CN"/>
              </w:rPr>
              <w:t>“</w:t>
            </w:r>
            <w:r w:rsidRPr="00655379">
              <w:rPr>
                <w:rFonts w:ascii="STKaiti" w:eastAsia="STKaiti" w:hAnsi="STKaiti"/>
                <w:lang w:val="zh-CN" w:eastAsia="zh-CN"/>
              </w:rPr>
              <w:t>多媒体应用的主观</w:t>
            </w:r>
            <w:r w:rsidRPr="00655379">
              <w:rPr>
                <w:rFonts w:ascii="STKaiti" w:eastAsia="STKaiti" w:hAnsi="STKaiti" w:hint="eastAsia"/>
                <w:lang w:val="zh-CN" w:eastAsia="zh-CN"/>
              </w:rPr>
              <w:t>视听</w:t>
            </w:r>
            <w:r w:rsidRPr="00655379">
              <w:rPr>
                <w:rFonts w:ascii="STKaiti" w:eastAsia="STKaiti" w:hAnsi="STKaiti"/>
                <w:lang w:val="zh-CN" w:eastAsia="zh-CN"/>
              </w:rPr>
              <w:t>质量评估方法</w:t>
            </w:r>
            <w:r>
              <w:rPr>
                <w:rFonts w:ascii="Times New Roman" w:hAnsi="Times New Roman" w:hint="eastAsia"/>
                <w:lang w:val="zh-CN" w:eastAsia="zh-CN"/>
              </w:rPr>
              <w:t>”</w:t>
            </w:r>
            <w:r w:rsidRPr="00EE6822">
              <w:rPr>
                <w:rFonts w:ascii="Times New Roman" w:hAnsi="Times New Roman"/>
                <w:lang w:val="zh-CN" w:eastAsia="zh-CN"/>
              </w:rPr>
              <w:t>和</w:t>
            </w:r>
            <w:r w:rsidRPr="00655379">
              <w:rPr>
                <w:rFonts w:cstheme="minorHAnsi"/>
                <w:lang w:val="zh-CN" w:eastAsia="zh-CN"/>
              </w:rPr>
              <w:t>ITU-T P.913</w:t>
            </w:r>
            <w:r>
              <w:rPr>
                <w:rFonts w:ascii="Times New Roman" w:hAnsi="Times New Roman" w:hint="eastAsia"/>
                <w:lang w:val="zh-CN" w:eastAsia="zh-CN"/>
              </w:rPr>
              <w:t>“</w:t>
            </w:r>
            <w:r w:rsidRPr="007603A9">
              <w:rPr>
                <w:rFonts w:ascii="STKaiti" w:eastAsia="STKaiti" w:hAnsi="STKaiti" w:cs="Segoe UI"/>
                <w:color w:val="000000"/>
                <w:szCs w:val="21"/>
                <w:lang w:eastAsia="zh-CN"/>
              </w:rPr>
              <w:t>任何环境中主观评定互联网视频的视频质量、音频质量和音像质量以及电视传送质量的方</w:t>
            </w:r>
            <w:r w:rsidRPr="007603A9">
              <w:rPr>
                <w:rFonts w:ascii="STKaiti" w:eastAsia="STKaiti" w:hAnsi="STKaiti" w:cs="Microsoft YaHei" w:hint="eastAsia"/>
                <w:color w:val="000000"/>
                <w:szCs w:val="21"/>
                <w:lang w:eastAsia="zh-CN"/>
              </w:rPr>
              <w:t>法</w:t>
            </w:r>
            <w:r>
              <w:rPr>
                <w:rFonts w:ascii="Times New Roman" w:hAnsi="Times New Roman" w:hint="eastAsia"/>
                <w:lang w:val="zh-CN" w:eastAsia="zh-CN"/>
              </w:rPr>
              <w:t>”</w:t>
            </w:r>
            <w:r w:rsidRPr="00EE6822">
              <w:rPr>
                <w:rFonts w:ascii="Times New Roman" w:hAnsi="Times New Roman"/>
                <w:lang w:val="zh-CN" w:eastAsia="zh-CN"/>
              </w:rPr>
              <w:t>的内容。</w:t>
            </w:r>
          </w:p>
          <w:p w14:paraId="70F57231" w14:textId="77777777" w:rsidR="00AA099B" w:rsidRPr="00AE6D6D" w:rsidRDefault="00AA099B" w:rsidP="00655379">
            <w:pPr>
              <w:rPr>
                <w:lang w:eastAsia="zh-CN"/>
              </w:rPr>
            </w:pPr>
            <w:r w:rsidRPr="00EE6822">
              <w:rPr>
                <w:rFonts w:ascii="Times New Roman" w:hAnsi="Times New Roman"/>
                <w:lang w:val="zh-CN" w:eastAsia="zh-CN"/>
              </w:rPr>
              <w:t>在经过修订的</w:t>
            </w:r>
            <w:r w:rsidRPr="00655379">
              <w:rPr>
                <w:rFonts w:cstheme="minorHAnsi"/>
                <w:lang w:val="zh-CN" w:eastAsia="zh-CN"/>
              </w:rPr>
              <w:t>ITU-T P.910</w:t>
            </w:r>
            <w:r w:rsidRPr="00EE6822">
              <w:rPr>
                <w:rFonts w:ascii="Times New Roman" w:hAnsi="Times New Roman"/>
                <w:lang w:val="zh-CN" w:eastAsia="zh-CN"/>
              </w:rPr>
              <w:t>建议</w:t>
            </w:r>
            <w:r>
              <w:rPr>
                <w:rFonts w:ascii="Times New Roman" w:hAnsi="Times New Roman" w:hint="eastAsia"/>
                <w:lang w:val="zh-CN" w:eastAsia="zh-CN"/>
              </w:rPr>
              <w:t>书</w:t>
            </w:r>
            <w:r w:rsidRPr="00EE6822">
              <w:rPr>
                <w:rFonts w:ascii="Times New Roman" w:hAnsi="Times New Roman"/>
                <w:lang w:val="zh-CN" w:eastAsia="zh-CN"/>
              </w:rPr>
              <w:t>获得批准后（</w:t>
            </w:r>
            <w:r w:rsidRPr="00655379">
              <w:rPr>
                <w:rFonts w:cstheme="minorHAnsi"/>
                <w:lang w:val="zh-CN" w:eastAsia="zh-CN"/>
              </w:rPr>
              <w:t>2023</w:t>
            </w:r>
            <w:r w:rsidRPr="00EE6822">
              <w:rPr>
                <w:rFonts w:ascii="Times New Roman" w:hAnsi="Times New Roman"/>
                <w:lang w:val="zh-CN" w:eastAsia="zh-CN"/>
              </w:rPr>
              <w:t>年</w:t>
            </w:r>
            <w:r w:rsidRPr="00655379">
              <w:rPr>
                <w:rFonts w:cstheme="minorHAnsi"/>
                <w:lang w:val="zh-CN" w:eastAsia="zh-CN"/>
              </w:rPr>
              <w:t>10</w:t>
            </w:r>
            <w:r w:rsidRPr="00EE6822">
              <w:rPr>
                <w:rFonts w:ascii="Times New Roman" w:hAnsi="Times New Roman"/>
                <w:lang w:val="zh-CN" w:eastAsia="zh-CN"/>
              </w:rPr>
              <w:t>月），建议删除</w:t>
            </w:r>
            <w:r w:rsidRPr="00655379">
              <w:rPr>
                <w:rFonts w:cstheme="minorHAnsi"/>
                <w:lang w:val="zh-CN" w:eastAsia="zh-CN"/>
              </w:rPr>
              <w:t>ITU-T P.911</w:t>
            </w:r>
            <w:r w:rsidRPr="00EE6822">
              <w:rPr>
                <w:rFonts w:ascii="Times New Roman" w:hAnsi="Times New Roman"/>
                <w:lang w:val="zh-CN" w:eastAsia="zh-CN"/>
              </w:rPr>
              <w:t>和</w:t>
            </w:r>
            <w:r w:rsidRPr="00655379">
              <w:rPr>
                <w:rFonts w:cstheme="minorHAnsi"/>
                <w:lang w:val="zh-CN" w:eastAsia="zh-CN"/>
              </w:rPr>
              <w:t>ITU-T P.913</w:t>
            </w:r>
            <w:r w:rsidRPr="00655379">
              <w:rPr>
                <w:rFonts w:cstheme="minorHAnsi" w:hint="eastAsia"/>
                <w:lang w:val="zh-CN" w:eastAsia="zh-CN"/>
              </w:rPr>
              <w:t>建议书</w:t>
            </w:r>
            <w:r w:rsidRPr="00EE6822">
              <w:rPr>
                <w:rFonts w:ascii="Times New Roman" w:hAnsi="Times New Roman"/>
                <w:lang w:val="zh-CN" w:eastAsia="zh-CN"/>
              </w:rPr>
              <w:t>。</w:t>
            </w:r>
          </w:p>
        </w:tc>
      </w:tr>
    </w:tbl>
    <w:p w14:paraId="6B0DEA59" w14:textId="77777777" w:rsidR="00AA099B" w:rsidRDefault="00AA099B" w:rsidP="00AA099B">
      <w:pPr>
        <w:rPr>
          <w:lang w:eastAsia="ja-JP"/>
        </w:rPr>
      </w:pPr>
    </w:p>
    <w:tbl>
      <w:tblPr>
        <w:tblStyle w:val="TableGrid"/>
        <w:tblW w:w="0" w:type="auto"/>
        <w:tblLayout w:type="fixed"/>
        <w:tblLook w:val="04A0" w:firstRow="1" w:lastRow="0" w:firstColumn="1" w:lastColumn="0" w:noHBand="0" w:noVBand="1"/>
      </w:tblPr>
      <w:tblGrid>
        <w:gridCol w:w="9719"/>
      </w:tblGrid>
      <w:tr w:rsidR="00AA099B" w:rsidRPr="00AE6D6D" w14:paraId="449003D4" w14:textId="77777777" w:rsidTr="00EE2A79">
        <w:tc>
          <w:tcPr>
            <w:tcW w:w="9719" w:type="dxa"/>
          </w:tcPr>
          <w:p w14:paraId="0FE44DF9" w14:textId="36109A72" w:rsidR="00AA099B" w:rsidRPr="00AE6D6D" w:rsidRDefault="00AA099B" w:rsidP="00EE2A79">
            <w:pPr>
              <w:spacing w:before="240"/>
              <w:rPr>
                <w:b/>
                <w:bCs/>
                <w:lang w:eastAsia="zh-CN"/>
              </w:rPr>
            </w:pPr>
            <w:r>
              <w:rPr>
                <w:b/>
                <w:bCs/>
                <w:lang w:val="zh-CN" w:eastAsia="zh-CN"/>
              </w:rPr>
              <w:t>ITU-T P.913</w:t>
            </w:r>
            <w:r>
              <w:rPr>
                <w:b/>
                <w:bCs/>
                <w:lang w:val="zh-CN" w:eastAsia="zh-CN"/>
              </w:rPr>
              <w:t>建议书</w:t>
            </w:r>
            <w:r w:rsidR="0044255C">
              <w:rPr>
                <w:rFonts w:hint="eastAsia"/>
                <w:b/>
                <w:bCs/>
                <w:lang w:val="zh-CN" w:eastAsia="zh-CN"/>
              </w:rPr>
              <w:t xml:space="preserve"> </w:t>
            </w:r>
            <w:r w:rsidR="0044255C" w:rsidRPr="0044255C">
              <w:rPr>
                <w:b/>
                <w:bCs/>
                <w:lang w:val="zh-CN" w:eastAsia="zh-CN"/>
              </w:rPr>
              <w:t>–</w:t>
            </w:r>
            <w:r w:rsidR="0044255C">
              <w:rPr>
                <w:b/>
                <w:bCs/>
                <w:lang w:val="zh-CN" w:eastAsia="zh-CN"/>
              </w:rPr>
              <w:t xml:space="preserve"> </w:t>
            </w:r>
            <w:r w:rsidRPr="005803AC">
              <w:rPr>
                <w:rFonts w:ascii="STKaiti" w:eastAsia="STKaiti" w:hAnsi="STKaiti" w:cs="Segoe UI"/>
                <w:b/>
                <w:bCs/>
                <w:color w:val="000000"/>
                <w:szCs w:val="21"/>
                <w:lang w:eastAsia="zh-CN"/>
              </w:rPr>
              <w:t>任何环境中主观评定互联网视频的视频质量、音频质量和音像质量以及电视传送质量的方</w:t>
            </w:r>
            <w:r w:rsidRPr="005803AC">
              <w:rPr>
                <w:rFonts w:ascii="STKaiti" w:eastAsia="STKaiti" w:hAnsi="STKaiti" w:cs="Microsoft YaHei" w:hint="eastAsia"/>
                <w:b/>
                <w:bCs/>
                <w:color w:val="000000"/>
                <w:szCs w:val="21"/>
                <w:lang w:eastAsia="zh-CN"/>
              </w:rPr>
              <w:t>法</w:t>
            </w:r>
            <w:r>
              <w:rPr>
                <w:rFonts w:hint="eastAsia"/>
                <w:b/>
                <w:bCs/>
                <w:lang w:val="zh-CN" w:eastAsia="zh-CN"/>
              </w:rPr>
              <w:t>（</w:t>
            </w:r>
            <w:r>
              <w:rPr>
                <w:b/>
                <w:bCs/>
                <w:lang w:val="zh-CN" w:eastAsia="zh-CN"/>
              </w:rPr>
              <w:t>06/2021</w:t>
            </w:r>
            <w:r>
              <w:rPr>
                <w:rFonts w:hint="eastAsia"/>
                <w:b/>
                <w:bCs/>
                <w:lang w:val="zh-CN" w:eastAsia="zh-CN"/>
              </w:rPr>
              <w:t>）</w:t>
            </w:r>
          </w:p>
        </w:tc>
      </w:tr>
      <w:tr w:rsidR="00AA099B" w:rsidRPr="00AE6D6D" w14:paraId="7B3DA577" w14:textId="77777777" w:rsidTr="00EE2A79">
        <w:tc>
          <w:tcPr>
            <w:tcW w:w="9719" w:type="dxa"/>
          </w:tcPr>
          <w:p w14:paraId="63EFA299" w14:textId="08282AA2" w:rsidR="00AA099B" w:rsidRPr="00AE6D6D" w:rsidRDefault="00AA099B" w:rsidP="00EE2A79">
            <w:pPr>
              <w:rPr>
                <w:i/>
                <w:iCs/>
              </w:rPr>
            </w:pPr>
            <w:proofErr w:type="spellStart"/>
            <w:r w:rsidRPr="00FE1A72">
              <w:rPr>
                <w:rFonts w:ascii="STKaiti" w:eastAsia="STKaiti" w:hAnsi="STKaiti"/>
                <w:lang w:val="zh-CN"/>
              </w:rPr>
              <w:t>摘要</w:t>
            </w:r>
            <w:proofErr w:type="spellEnd"/>
            <w:r w:rsidR="00655379" w:rsidRPr="00655379">
              <w:rPr>
                <w:rFonts w:asciiTheme="majorEastAsia" w:eastAsiaTheme="majorEastAsia" w:hAnsiTheme="majorEastAsia"/>
                <w:lang w:val="zh-CN" w:eastAsia="zh-CN"/>
              </w:rPr>
              <w:t>：</w:t>
            </w:r>
          </w:p>
        </w:tc>
      </w:tr>
      <w:tr w:rsidR="00AA099B" w:rsidRPr="00AE6D6D" w14:paraId="67D35CC4" w14:textId="77777777" w:rsidTr="00EE2A79">
        <w:tc>
          <w:tcPr>
            <w:tcW w:w="9719" w:type="dxa"/>
          </w:tcPr>
          <w:p w14:paraId="0701B6ED" w14:textId="77777777" w:rsidR="00AA099B" w:rsidRPr="00AE6D6D" w:rsidRDefault="00AA099B" w:rsidP="00EE2A79">
            <w:pPr>
              <w:rPr>
                <w:lang w:eastAsia="zh-CN"/>
              </w:rPr>
            </w:pPr>
            <w:r w:rsidRPr="00CF651C">
              <w:rPr>
                <w:rFonts w:hint="eastAsia"/>
                <w:lang w:val="zh-CN" w:eastAsia="zh-CN"/>
              </w:rPr>
              <w:t>ITU-T P.913</w:t>
            </w:r>
            <w:r>
              <w:rPr>
                <w:rFonts w:hint="eastAsia"/>
                <w:lang w:val="zh-CN" w:eastAsia="zh-CN"/>
              </w:rPr>
              <w:t>建议书</w:t>
            </w:r>
            <w:r w:rsidRPr="00CF651C">
              <w:rPr>
                <w:rFonts w:hint="eastAsia"/>
                <w:lang w:val="zh-CN" w:eastAsia="zh-CN"/>
              </w:rPr>
              <w:t>描述了用于评估</w:t>
            </w:r>
            <w:r>
              <w:rPr>
                <w:rFonts w:hint="eastAsia"/>
                <w:lang w:val="zh-CN" w:eastAsia="zh-CN"/>
              </w:rPr>
              <w:t>单向</w:t>
            </w:r>
            <w:r w:rsidRPr="00CF651C">
              <w:rPr>
                <w:rFonts w:hint="eastAsia"/>
                <w:lang w:val="zh-CN" w:eastAsia="zh-CN"/>
              </w:rPr>
              <w:t>整体视频质量、音频质量和</w:t>
            </w:r>
            <w:proofErr w:type="gramStart"/>
            <w:r w:rsidRPr="00CF651C">
              <w:rPr>
                <w:rFonts w:hint="eastAsia"/>
                <w:lang w:val="zh-CN" w:eastAsia="zh-CN"/>
              </w:rPr>
              <w:t>音视频</w:t>
            </w:r>
            <w:proofErr w:type="gramEnd"/>
            <w:r w:rsidRPr="00CF651C">
              <w:rPr>
                <w:rFonts w:hint="eastAsia"/>
                <w:lang w:val="zh-CN" w:eastAsia="zh-CN"/>
              </w:rPr>
              <w:t>质量的非交互式主观评估方法，适用于互联网视频和</w:t>
            </w:r>
            <w:r>
              <w:rPr>
                <w:rFonts w:hint="eastAsia"/>
                <w:lang w:val="zh-CN" w:eastAsia="zh-CN"/>
              </w:rPr>
              <w:t>传送</w:t>
            </w:r>
            <w:r w:rsidRPr="00CF651C">
              <w:rPr>
                <w:rFonts w:hint="eastAsia"/>
                <w:lang w:val="zh-CN" w:eastAsia="zh-CN"/>
              </w:rPr>
              <w:t>质量视频等应用。这些方法可用于多种不同的目的，包括但不限于比较多个设备的质量、比较设备在多个环境中的性能，以及在设备和</w:t>
            </w:r>
            <w:proofErr w:type="gramStart"/>
            <w:r w:rsidRPr="00CF651C">
              <w:rPr>
                <w:rFonts w:hint="eastAsia"/>
                <w:lang w:val="zh-CN" w:eastAsia="zh-CN"/>
              </w:rPr>
              <w:t>音视频</w:t>
            </w:r>
            <w:proofErr w:type="gramEnd"/>
            <w:r w:rsidRPr="00CF651C">
              <w:rPr>
                <w:rFonts w:hint="eastAsia"/>
                <w:lang w:val="zh-CN" w:eastAsia="zh-CN"/>
              </w:rPr>
              <w:t>素材的质量影响</w:t>
            </w:r>
            <w:r>
              <w:rPr>
                <w:rFonts w:hint="eastAsia"/>
                <w:lang w:val="zh-CN" w:eastAsia="zh-CN"/>
              </w:rPr>
              <w:t>不明时进行</w:t>
            </w:r>
            <w:r w:rsidRPr="00CF651C">
              <w:rPr>
                <w:rFonts w:hint="eastAsia"/>
                <w:lang w:val="zh-CN" w:eastAsia="zh-CN"/>
              </w:rPr>
              <w:t>主观评估。</w:t>
            </w:r>
          </w:p>
        </w:tc>
      </w:tr>
      <w:tr w:rsidR="00AA099B" w:rsidRPr="00AE6D6D" w14:paraId="7304F9CB" w14:textId="77777777" w:rsidTr="00EE2A79">
        <w:tc>
          <w:tcPr>
            <w:tcW w:w="9719" w:type="dxa"/>
          </w:tcPr>
          <w:p w14:paraId="329AADA9" w14:textId="77777777" w:rsidR="00AA099B" w:rsidRPr="00AE6D6D" w:rsidRDefault="00AA099B" w:rsidP="00EE2A79">
            <w:pPr>
              <w:rPr>
                <w:i/>
                <w:iCs/>
                <w:lang w:eastAsia="zh-CN"/>
              </w:rPr>
            </w:pPr>
            <w:r w:rsidRPr="00FE1A72">
              <w:rPr>
                <w:rFonts w:ascii="STKaiti" w:eastAsia="STKaiti" w:hAnsi="STKaiti"/>
                <w:lang w:val="zh-CN" w:eastAsia="zh-CN"/>
              </w:rPr>
              <w:t>删除上述建议书的原因</w:t>
            </w:r>
            <w:r w:rsidRPr="00655379">
              <w:rPr>
                <w:rFonts w:asciiTheme="majorEastAsia" w:eastAsiaTheme="majorEastAsia" w:hAnsiTheme="majorEastAsia"/>
                <w:lang w:val="zh-CN" w:eastAsia="zh-CN"/>
              </w:rPr>
              <w:t>：</w:t>
            </w:r>
          </w:p>
        </w:tc>
      </w:tr>
      <w:tr w:rsidR="00AA099B" w:rsidRPr="00AE6D6D" w14:paraId="2B7C1422" w14:textId="77777777" w:rsidTr="00EE2A79">
        <w:tc>
          <w:tcPr>
            <w:tcW w:w="9719" w:type="dxa"/>
          </w:tcPr>
          <w:p w14:paraId="20EFD2F0" w14:textId="544109E9" w:rsidR="00AA099B" w:rsidRPr="00AE6D6D" w:rsidRDefault="00AA099B" w:rsidP="00EE2A79">
            <w:pPr>
              <w:rPr>
                <w:i/>
                <w:iCs/>
                <w:lang w:eastAsia="zh-CN"/>
              </w:rPr>
            </w:pPr>
            <w:r>
              <w:rPr>
                <w:lang w:val="zh-CN" w:eastAsia="zh-CN"/>
              </w:rPr>
              <w:t>参见删除</w:t>
            </w:r>
            <w:r w:rsidRPr="00417E05">
              <w:rPr>
                <w:b/>
                <w:bCs/>
                <w:lang w:val="zh-CN" w:eastAsia="zh-CN"/>
              </w:rPr>
              <w:t>ITU-T P.</w:t>
            </w:r>
            <w:r>
              <w:rPr>
                <w:b/>
                <w:bCs/>
                <w:lang w:val="zh-CN" w:eastAsia="zh-CN"/>
              </w:rPr>
              <w:t>911</w:t>
            </w:r>
            <w:r w:rsidRPr="00417E05">
              <w:rPr>
                <w:b/>
                <w:bCs/>
                <w:lang w:val="zh-CN" w:eastAsia="zh-CN"/>
              </w:rPr>
              <w:t>建议书</w:t>
            </w:r>
            <w:r w:rsidR="0044255C">
              <w:rPr>
                <w:rFonts w:hint="eastAsia"/>
                <w:b/>
                <w:bCs/>
                <w:lang w:val="zh-CN" w:eastAsia="zh-CN"/>
              </w:rPr>
              <w:t xml:space="preserve"> </w:t>
            </w:r>
            <w:r w:rsidR="0044255C" w:rsidRPr="0044255C">
              <w:rPr>
                <w:b/>
                <w:bCs/>
                <w:lang w:val="zh-CN" w:eastAsia="zh-CN"/>
              </w:rPr>
              <w:t>–</w:t>
            </w:r>
            <w:r w:rsidR="0044255C">
              <w:rPr>
                <w:b/>
                <w:bCs/>
                <w:lang w:val="zh-CN" w:eastAsia="zh-CN"/>
              </w:rPr>
              <w:t xml:space="preserve"> </w:t>
            </w:r>
            <w:r>
              <w:rPr>
                <w:rFonts w:ascii="STKaiti" w:eastAsia="STKaiti" w:hAnsi="STKaiti" w:hint="eastAsia"/>
                <w:b/>
                <w:bCs/>
                <w:lang w:val="zh-CN" w:eastAsia="zh-CN"/>
              </w:rPr>
              <w:t>多媒体应用的主观音像质量评估方法</w:t>
            </w:r>
            <w:r>
              <w:rPr>
                <w:b/>
                <w:bCs/>
                <w:lang w:val="zh-CN" w:eastAsia="zh-CN"/>
              </w:rPr>
              <w:t>（</w:t>
            </w:r>
            <w:r>
              <w:rPr>
                <w:b/>
                <w:bCs/>
                <w:lang w:val="zh-CN" w:eastAsia="zh-CN"/>
              </w:rPr>
              <w:t>12/1998</w:t>
            </w:r>
            <w:r>
              <w:rPr>
                <w:b/>
                <w:bCs/>
                <w:lang w:val="zh-CN" w:eastAsia="zh-CN"/>
              </w:rPr>
              <w:t>）</w:t>
            </w:r>
            <w:r>
              <w:rPr>
                <w:lang w:val="zh-CN" w:eastAsia="zh-CN"/>
              </w:rPr>
              <w:t>的理由。</w:t>
            </w:r>
          </w:p>
        </w:tc>
      </w:tr>
    </w:tbl>
    <w:p w14:paraId="0DF3578E" w14:textId="77777777" w:rsidR="00AA099B" w:rsidRPr="00AA099B" w:rsidRDefault="00AA099B" w:rsidP="00AA099B">
      <w:pPr>
        <w:rPr>
          <w:b/>
          <w:bCs/>
          <w:sz w:val="22"/>
          <w:szCs w:val="18"/>
          <w:lang w:eastAsia="zh-CN"/>
        </w:rPr>
      </w:pPr>
    </w:p>
    <w:sectPr w:rsidR="00AA099B" w:rsidRPr="00AA099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E4FB" w14:textId="77777777" w:rsidR="0039284F" w:rsidRDefault="0039284F">
      <w:r>
        <w:separator/>
      </w:r>
    </w:p>
  </w:endnote>
  <w:endnote w:type="continuationSeparator" w:id="0">
    <w:p w14:paraId="32B3393D" w14:textId="77777777" w:rsidR="0039284F" w:rsidRDefault="0039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EB0C" w14:textId="77777777" w:rsidR="00F81172" w:rsidRDefault="00F81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22A3" w14:textId="418A4631" w:rsidR="00841612" w:rsidRPr="00F81172" w:rsidRDefault="00841612" w:rsidP="00F81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9DD6"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198C" w14:textId="77777777" w:rsidR="0039284F" w:rsidRDefault="0039284F">
      <w:r>
        <w:separator/>
      </w:r>
    </w:p>
  </w:footnote>
  <w:footnote w:type="continuationSeparator" w:id="0">
    <w:p w14:paraId="7293C92E" w14:textId="77777777" w:rsidR="0039284F" w:rsidRDefault="00392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3C4E" w14:textId="77777777" w:rsidR="00F81172" w:rsidRDefault="00F81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AB21" w14:textId="5281CAE4"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191798">
      <w:rPr>
        <w:noProof/>
        <w:sz w:val="18"/>
        <w:szCs w:val="16"/>
      </w:rPr>
      <w:t>2</w:t>
    </w:r>
    <w:r w:rsidR="00841612" w:rsidRPr="002D2024">
      <w:rPr>
        <w:sz w:val="18"/>
        <w:szCs w:val="16"/>
      </w:rPr>
      <w:fldChar w:fldCharType="end"/>
    </w:r>
    <w:r w:rsidRPr="002D2024">
      <w:rPr>
        <w:sz w:val="18"/>
        <w:szCs w:val="16"/>
      </w:rPr>
      <w:t xml:space="preserve"> -</w:t>
    </w:r>
  </w:p>
  <w:p w14:paraId="5851768D" w14:textId="2D7C2A5D" w:rsidR="00C82CBF" w:rsidRDefault="00655379" w:rsidP="00C82CBF">
    <w:pPr>
      <w:spacing w:before="0"/>
      <w:jc w:val="center"/>
      <w:rPr>
        <w:sz w:val="18"/>
        <w:lang w:eastAsia="zh-CN"/>
      </w:rPr>
    </w:pPr>
    <w:r>
      <w:rPr>
        <w:rFonts w:hint="eastAsia"/>
        <w:sz w:val="18"/>
        <w:lang w:eastAsia="zh-CN"/>
      </w:rPr>
      <w:t>电信标准化局第</w:t>
    </w:r>
    <w:r>
      <w:rPr>
        <w:rFonts w:hint="eastAsia"/>
        <w:sz w:val="18"/>
        <w:lang w:eastAsia="zh-CN"/>
      </w:rPr>
      <w:t>1</w:t>
    </w:r>
    <w:r>
      <w:rPr>
        <w:sz w:val="18"/>
        <w:lang w:eastAsia="zh-CN"/>
      </w:rPr>
      <w:t>47</w:t>
    </w:r>
    <w:r>
      <w:rPr>
        <w:rFonts w:hint="eastAsia"/>
        <w:sz w:val="18"/>
        <w:lang w:eastAsia="zh-CN"/>
      </w:rPr>
      <w:t>号通函</w:t>
    </w:r>
  </w:p>
  <w:p w14:paraId="0F7209D4" w14:textId="77777777" w:rsidR="00316391" w:rsidRPr="00C82CBF" w:rsidRDefault="00316391" w:rsidP="00C82CBF">
    <w:pPr>
      <w:spacing w:before="0"/>
      <w:jc w:val="center"/>
      <w:rPr>
        <w:sz w:val="18"/>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4724" w14:textId="77777777" w:rsidR="00F81172" w:rsidRDefault="00F81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4F"/>
    <w:rsid w:val="00027EE3"/>
    <w:rsid w:val="00081BA5"/>
    <w:rsid w:val="00090E72"/>
    <w:rsid w:val="00094C0B"/>
    <w:rsid w:val="000A2484"/>
    <w:rsid w:val="00117471"/>
    <w:rsid w:val="00124B7E"/>
    <w:rsid w:val="00160A43"/>
    <w:rsid w:val="00191798"/>
    <w:rsid w:val="001D6E70"/>
    <w:rsid w:val="00234A9B"/>
    <w:rsid w:val="00282732"/>
    <w:rsid w:val="00284869"/>
    <w:rsid w:val="002D2024"/>
    <w:rsid w:val="002E05E3"/>
    <w:rsid w:val="00303A2A"/>
    <w:rsid w:val="003064AD"/>
    <w:rsid w:val="00316391"/>
    <w:rsid w:val="00334A24"/>
    <w:rsid w:val="00344408"/>
    <w:rsid w:val="0035674D"/>
    <w:rsid w:val="0038630E"/>
    <w:rsid w:val="0039284F"/>
    <w:rsid w:val="003F1CCA"/>
    <w:rsid w:val="0044255C"/>
    <w:rsid w:val="00464015"/>
    <w:rsid w:val="00486359"/>
    <w:rsid w:val="004C241D"/>
    <w:rsid w:val="00590119"/>
    <w:rsid w:val="005C26FD"/>
    <w:rsid w:val="00624E27"/>
    <w:rsid w:val="00627AE8"/>
    <w:rsid w:val="0063445E"/>
    <w:rsid w:val="00655379"/>
    <w:rsid w:val="006B463C"/>
    <w:rsid w:val="006D22B1"/>
    <w:rsid w:val="006D42C6"/>
    <w:rsid w:val="006E14B5"/>
    <w:rsid w:val="00720F32"/>
    <w:rsid w:val="007568DA"/>
    <w:rsid w:val="007603A9"/>
    <w:rsid w:val="007B645F"/>
    <w:rsid w:val="00841612"/>
    <w:rsid w:val="0084436D"/>
    <w:rsid w:val="0088584E"/>
    <w:rsid w:val="008B2BDA"/>
    <w:rsid w:val="008D53BB"/>
    <w:rsid w:val="009128F1"/>
    <w:rsid w:val="009205F9"/>
    <w:rsid w:val="009424FC"/>
    <w:rsid w:val="00956D38"/>
    <w:rsid w:val="009727EA"/>
    <w:rsid w:val="00974486"/>
    <w:rsid w:val="009C2FF6"/>
    <w:rsid w:val="00A1090D"/>
    <w:rsid w:val="00A16AB0"/>
    <w:rsid w:val="00A55D76"/>
    <w:rsid w:val="00AA099B"/>
    <w:rsid w:val="00AA3151"/>
    <w:rsid w:val="00AE7F00"/>
    <w:rsid w:val="00B01F79"/>
    <w:rsid w:val="00B56B75"/>
    <w:rsid w:val="00BB5392"/>
    <w:rsid w:val="00BC7AEE"/>
    <w:rsid w:val="00BE339D"/>
    <w:rsid w:val="00C03E87"/>
    <w:rsid w:val="00C6016A"/>
    <w:rsid w:val="00C7008A"/>
    <w:rsid w:val="00C82CBF"/>
    <w:rsid w:val="00C916ED"/>
    <w:rsid w:val="00CC50C4"/>
    <w:rsid w:val="00D16F47"/>
    <w:rsid w:val="00D2501B"/>
    <w:rsid w:val="00D34F86"/>
    <w:rsid w:val="00DB3EEE"/>
    <w:rsid w:val="00E35907"/>
    <w:rsid w:val="00E41E39"/>
    <w:rsid w:val="00E47AFF"/>
    <w:rsid w:val="00F07A3C"/>
    <w:rsid w:val="00F346AB"/>
    <w:rsid w:val="00F81172"/>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693B5"/>
  <w15:docId w15:val="{3095748C-7006-4234-9D55-6E28B8FB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超链接1,Style 58,超????,하이퍼링크2,超?级链"/>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AA099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80" w:lineRule="exact"/>
      <w:jc w:val="both"/>
    </w:pPr>
    <w:rPr>
      <w:rFonts w:ascii="Calibri" w:hAnsi="Calibri"/>
      <w:sz w:val="21"/>
      <w:szCs w:val="10"/>
      <w:lang w:val="en-US" w:eastAsia="zh-CN"/>
    </w:rPr>
  </w:style>
  <w:style w:type="character" w:styleId="UnresolvedMention">
    <w:name w:val="Unresolved Mention"/>
    <w:basedOn w:val="DefaultParagraphFont"/>
    <w:uiPriority w:val="99"/>
    <w:semiHidden/>
    <w:unhideWhenUsed/>
    <w:rsid w:val="00442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sbsg12@itu.in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nli\Documents\&#27169;&#26495;\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33</TotalTime>
  <Pages>2</Pages>
  <Words>1199</Words>
  <Characters>407</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1603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Yu Linli</dc:creator>
  <cp:lastModifiedBy>TSB</cp:lastModifiedBy>
  <cp:revision>12</cp:revision>
  <cp:lastPrinted>2011-04-11T13:21:00Z</cp:lastPrinted>
  <dcterms:created xsi:type="dcterms:W3CDTF">2023-11-07T14:24:00Z</dcterms:created>
  <dcterms:modified xsi:type="dcterms:W3CDTF">2023-11-22T14:21:00Z</dcterms:modified>
</cp:coreProperties>
</file>