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1276"/>
        <w:gridCol w:w="142"/>
        <w:gridCol w:w="3402"/>
        <w:gridCol w:w="3119"/>
        <w:gridCol w:w="1984"/>
      </w:tblGrid>
      <w:tr w:rsidR="006D775C" w:rsidRPr="00DC324F" w14:paraId="4FC72EF9" w14:textId="77777777" w:rsidTr="7107ED0C">
        <w:trPr>
          <w:trHeight w:val="1282"/>
          <w:jc w:val="center"/>
        </w:trPr>
        <w:tc>
          <w:tcPr>
            <w:tcW w:w="1418" w:type="dxa"/>
            <w:gridSpan w:val="2"/>
            <w:shd w:val="clear" w:color="auto" w:fill="auto"/>
            <w:tcMar>
              <w:left w:w="0" w:type="dxa"/>
              <w:right w:w="0" w:type="dxa"/>
            </w:tcMar>
            <w:vAlign w:val="center"/>
          </w:tcPr>
          <w:p w14:paraId="6303E10F" w14:textId="77777777" w:rsidR="006D775C" w:rsidRPr="00DC324F" w:rsidRDefault="00B049BB" w:rsidP="00C978EA">
            <w:pPr>
              <w:pStyle w:val="Tabletext"/>
              <w:jc w:val="center"/>
            </w:pPr>
            <w:r w:rsidRPr="00DC324F">
              <w:rPr>
                <w:noProof/>
                <w:lang w:val="en-US" w:eastAsia="zh-CN"/>
              </w:rPr>
              <w:drawing>
                <wp:inline distT="0" distB="0" distL="0" distR="0" wp14:anchorId="52372410" wp14:editId="286F532B">
                  <wp:extent cx="805815" cy="805815"/>
                  <wp:effectExtent l="0" t="0" r="0" b="0"/>
                  <wp:docPr id="4" name="Picture 4" descr="The International Teleocmmunication Union - Connecting the World." title="ITU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Pr="00DC324F" w:rsidRDefault="00D40F22" w:rsidP="00C978EA">
            <w:pPr>
              <w:spacing w:before="0"/>
              <w:rPr>
                <w:rFonts w:cs="Times New Roman Bold"/>
                <w:b/>
                <w:bCs/>
                <w:smallCaps/>
                <w:sz w:val="26"/>
                <w:szCs w:val="26"/>
              </w:rPr>
            </w:pPr>
            <w:r w:rsidRPr="00DC324F">
              <w:rPr>
                <w:rFonts w:cs="Times New Roman Bold"/>
                <w:b/>
                <w:bCs/>
                <w:smallCaps/>
                <w:sz w:val="36"/>
                <w:szCs w:val="36"/>
              </w:rPr>
              <w:t>International telecommunication union</w:t>
            </w:r>
          </w:p>
          <w:p w14:paraId="2B359B3B" w14:textId="77777777" w:rsidR="006D775C" w:rsidRPr="00DC324F" w:rsidRDefault="00D40F22" w:rsidP="00C978EA">
            <w:pPr>
              <w:spacing w:before="0"/>
              <w:rPr>
                <w:rFonts w:ascii="Verdana" w:hAnsi="Verdana"/>
                <w:color w:val="FFFFFF"/>
                <w:sz w:val="26"/>
                <w:szCs w:val="26"/>
              </w:rPr>
            </w:pPr>
            <w:r w:rsidRPr="00DC324F">
              <w:rPr>
                <w:rFonts w:cs="Times New Roman Bold"/>
                <w:b/>
                <w:bCs/>
                <w:iCs/>
                <w:smallCaps/>
                <w:sz w:val="28"/>
                <w:szCs w:val="28"/>
              </w:rPr>
              <w:t>Telecommunication Standardization Bureau</w:t>
            </w:r>
          </w:p>
        </w:tc>
        <w:tc>
          <w:tcPr>
            <w:tcW w:w="1984" w:type="dxa"/>
            <w:shd w:val="clear" w:color="auto" w:fill="auto"/>
            <w:vAlign w:val="center"/>
          </w:tcPr>
          <w:p w14:paraId="42910059" w14:textId="08EC01DC" w:rsidR="006D775C" w:rsidRPr="00DC324F" w:rsidRDefault="006D775C" w:rsidP="315C3A3D">
            <w:pPr>
              <w:spacing w:before="0"/>
              <w:jc w:val="right"/>
            </w:pPr>
          </w:p>
        </w:tc>
      </w:tr>
      <w:tr w:rsidR="006D775C" w:rsidRPr="00DC324F" w14:paraId="12328938" w14:textId="77777777" w:rsidTr="7107ED0C">
        <w:trPr>
          <w:trHeight w:val="80"/>
          <w:jc w:val="center"/>
        </w:trPr>
        <w:tc>
          <w:tcPr>
            <w:tcW w:w="4820" w:type="dxa"/>
            <w:gridSpan w:val="3"/>
            <w:vAlign w:val="center"/>
          </w:tcPr>
          <w:p w14:paraId="2761DBBA" w14:textId="77777777" w:rsidR="006D775C" w:rsidRPr="00DC324F" w:rsidRDefault="006D775C" w:rsidP="00C978EA">
            <w:pPr>
              <w:pStyle w:val="Tabletext"/>
              <w:jc w:val="right"/>
              <w:rPr>
                <w:sz w:val="22"/>
                <w:szCs w:val="18"/>
              </w:rPr>
            </w:pPr>
          </w:p>
        </w:tc>
        <w:tc>
          <w:tcPr>
            <w:tcW w:w="5103" w:type="dxa"/>
            <w:gridSpan w:val="2"/>
            <w:vAlign w:val="center"/>
          </w:tcPr>
          <w:p w14:paraId="70373D2B" w14:textId="0530E0E4" w:rsidR="006D775C" w:rsidRPr="00DC324F" w:rsidRDefault="00746EA0" w:rsidP="00C978EA">
            <w:pPr>
              <w:pStyle w:val="Tabletext"/>
              <w:spacing w:before="120" w:after="120"/>
              <w:rPr>
                <w:sz w:val="22"/>
                <w:szCs w:val="18"/>
              </w:rPr>
            </w:pPr>
            <w:r w:rsidRPr="00DC324F">
              <w:rPr>
                <w:sz w:val="22"/>
                <w:szCs w:val="18"/>
              </w:rPr>
              <w:t xml:space="preserve">Geneva, </w:t>
            </w:r>
            <w:r w:rsidR="008160DE">
              <w:rPr>
                <w:sz w:val="22"/>
                <w:szCs w:val="18"/>
              </w:rPr>
              <w:t>1</w:t>
            </w:r>
            <w:r w:rsidR="00320E57">
              <w:rPr>
                <w:sz w:val="22"/>
                <w:szCs w:val="18"/>
              </w:rPr>
              <w:t xml:space="preserve"> </w:t>
            </w:r>
            <w:r w:rsidR="008160DE">
              <w:rPr>
                <w:sz w:val="22"/>
                <w:szCs w:val="18"/>
              </w:rPr>
              <w:t>November</w:t>
            </w:r>
            <w:r w:rsidR="00320E57">
              <w:rPr>
                <w:sz w:val="22"/>
                <w:szCs w:val="18"/>
              </w:rPr>
              <w:t xml:space="preserve"> 2023</w:t>
            </w:r>
          </w:p>
        </w:tc>
      </w:tr>
      <w:tr w:rsidR="006D775C" w:rsidRPr="00DC324F" w14:paraId="2822328E" w14:textId="77777777" w:rsidTr="7107ED0C">
        <w:trPr>
          <w:trHeight w:val="746"/>
          <w:jc w:val="center"/>
        </w:trPr>
        <w:tc>
          <w:tcPr>
            <w:tcW w:w="1276" w:type="dxa"/>
          </w:tcPr>
          <w:p w14:paraId="37C6E0B7" w14:textId="5210AD04" w:rsidR="006D775C" w:rsidRPr="00DC324F" w:rsidRDefault="00D40F22" w:rsidP="00C978EA">
            <w:pPr>
              <w:pStyle w:val="Tabletext"/>
              <w:rPr>
                <w:sz w:val="22"/>
                <w:szCs w:val="18"/>
              </w:rPr>
            </w:pPr>
            <w:r w:rsidRPr="00DC324F">
              <w:rPr>
                <w:b/>
                <w:sz w:val="22"/>
                <w:szCs w:val="18"/>
              </w:rPr>
              <w:t>Ref:</w:t>
            </w:r>
          </w:p>
        </w:tc>
        <w:tc>
          <w:tcPr>
            <w:tcW w:w="3544" w:type="dxa"/>
            <w:gridSpan w:val="2"/>
          </w:tcPr>
          <w:p w14:paraId="63A7AF3C" w14:textId="55A13092" w:rsidR="006D775C" w:rsidRPr="00DC324F" w:rsidRDefault="00D40F22" w:rsidP="7107ED0C">
            <w:pPr>
              <w:pStyle w:val="TSBCircNo"/>
              <w:framePr w:hSpace="0" w:wrap="auto" w:vAnchor="margin" w:hAnchor="text" w:xAlign="left" w:yAlign="inline"/>
              <w:rPr>
                <w:highlight w:val="yellow"/>
              </w:rPr>
            </w:pPr>
            <w:r>
              <w:t xml:space="preserve">TSB Circular </w:t>
            </w:r>
            <w:r w:rsidR="002C6516" w:rsidRPr="002C6516">
              <w:t>147</w:t>
            </w:r>
          </w:p>
          <w:p w14:paraId="32FA7A12" w14:textId="5E39E674" w:rsidR="006D775C" w:rsidRPr="00DC324F" w:rsidRDefault="00315F99" w:rsidP="00C978EA">
            <w:pPr>
              <w:pStyle w:val="Tabletext"/>
              <w:rPr>
                <w:sz w:val="22"/>
                <w:szCs w:val="18"/>
              </w:rPr>
            </w:pPr>
            <w:r w:rsidRPr="00320E57">
              <w:rPr>
                <w:sz w:val="22"/>
                <w:szCs w:val="18"/>
              </w:rPr>
              <w:t>SG</w:t>
            </w:r>
            <w:r w:rsidR="00320E57" w:rsidRPr="00320E57">
              <w:rPr>
                <w:sz w:val="22"/>
                <w:szCs w:val="18"/>
              </w:rPr>
              <w:t>12</w:t>
            </w:r>
            <w:r w:rsidRPr="00320E57">
              <w:rPr>
                <w:sz w:val="22"/>
                <w:szCs w:val="18"/>
              </w:rPr>
              <w:t>/</w:t>
            </w:r>
            <w:r w:rsidR="00320E57" w:rsidRPr="00320E57">
              <w:rPr>
                <w:sz w:val="22"/>
                <w:szCs w:val="18"/>
              </w:rPr>
              <w:t>MA</w:t>
            </w:r>
          </w:p>
        </w:tc>
        <w:tc>
          <w:tcPr>
            <w:tcW w:w="5103" w:type="dxa"/>
            <w:gridSpan w:val="2"/>
            <w:vMerge w:val="restart"/>
          </w:tcPr>
          <w:p w14:paraId="4E29E63F" w14:textId="77777777" w:rsidR="00315F99" w:rsidRPr="00DC324F" w:rsidRDefault="00315F99" w:rsidP="00C978EA">
            <w:pPr>
              <w:pStyle w:val="Tabletext"/>
              <w:rPr>
                <w:sz w:val="22"/>
                <w:szCs w:val="18"/>
              </w:rPr>
            </w:pPr>
            <w:r w:rsidRPr="00DC324F">
              <w:rPr>
                <w:b/>
                <w:sz w:val="22"/>
                <w:szCs w:val="18"/>
              </w:rPr>
              <w:t>To:</w:t>
            </w:r>
          </w:p>
          <w:p w14:paraId="3103D493" w14:textId="77777777" w:rsidR="006D775C" w:rsidRPr="00DC324F" w:rsidRDefault="00315F99" w:rsidP="00C978EA">
            <w:pPr>
              <w:pStyle w:val="Tabletext"/>
              <w:ind w:left="283" w:hanging="283"/>
              <w:rPr>
                <w:sz w:val="22"/>
                <w:szCs w:val="18"/>
              </w:rPr>
            </w:pPr>
            <w:r w:rsidRPr="00DC324F">
              <w:rPr>
                <w:sz w:val="22"/>
                <w:szCs w:val="18"/>
              </w:rPr>
              <w:t>-</w:t>
            </w:r>
            <w:r w:rsidRPr="00DC324F">
              <w:rPr>
                <w:sz w:val="22"/>
                <w:szCs w:val="18"/>
              </w:rPr>
              <w:tab/>
              <w:t>Administrations of Member States of the Union</w:t>
            </w:r>
          </w:p>
          <w:p w14:paraId="7AFED833" w14:textId="77777777" w:rsidR="00165A31" w:rsidRPr="00DC324F" w:rsidRDefault="00165A31" w:rsidP="00C978EA">
            <w:pPr>
              <w:pStyle w:val="Tabletext"/>
              <w:rPr>
                <w:sz w:val="22"/>
                <w:szCs w:val="18"/>
              </w:rPr>
            </w:pPr>
            <w:r w:rsidRPr="00DC324F">
              <w:rPr>
                <w:b/>
                <w:sz w:val="22"/>
                <w:szCs w:val="18"/>
              </w:rPr>
              <w:t>Copy to:</w:t>
            </w:r>
          </w:p>
          <w:p w14:paraId="1DB923B3" w14:textId="77777777" w:rsidR="00165A31" w:rsidRPr="00DC324F" w:rsidRDefault="00165A31" w:rsidP="00C978EA">
            <w:pPr>
              <w:pStyle w:val="Tabletext"/>
              <w:ind w:left="283" w:hanging="283"/>
              <w:rPr>
                <w:sz w:val="22"/>
                <w:szCs w:val="18"/>
              </w:rPr>
            </w:pPr>
            <w:r w:rsidRPr="00DC324F">
              <w:rPr>
                <w:sz w:val="22"/>
                <w:szCs w:val="18"/>
              </w:rPr>
              <w:t>-</w:t>
            </w:r>
            <w:r w:rsidRPr="00DC324F">
              <w:rPr>
                <w:sz w:val="22"/>
                <w:szCs w:val="18"/>
              </w:rPr>
              <w:tab/>
              <w:t xml:space="preserve">ITU-T Sector </w:t>
            </w:r>
            <w:proofErr w:type="gramStart"/>
            <w:r w:rsidRPr="00DC324F">
              <w:rPr>
                <w:sz w:val="22"/>
                <w:szCs w:val="18"/>
              </w:rPr>
              <w:t>Members;</w:t>
            </w:r>
            <w:proofErr w:type="gramEnd"/>
          </w:p>
          <w:p w14:paraId="629B5794" w14:textId="3615A5CE" w:rsidR="00165A31" w:rsidRPr="00DC324F" w:rsidRDefault="00165A31" w:rsidP="00C978EA">
            <w:pPr>
              <w:pStyle w:val="Tabletext"/>
              <w:ind w:left="283" w:hanging="283"/>
              <w:rPr>
                <w:sz w:val="22"/>
                <w:szCs w:val="18"/>
              </w:rPr>
            </w:pPr>
            <w:r w:rsidRPr="00DC324F">
              <w:rPr>
                <w:sz w:val="22"/>
                <w:szCs w:val="18"/>
              </w:rPr>
              <w:t>-</w:t>
            </w:r>
            <w:r w:rsidRPr="00DC324F">
              <w:rPr>
                <w:sz w:val="22"/>
                <w:szCs w:val="18"/>
              </w:rPr>
              <w:tab/>
              <w:t xml:space="preserve">Associates of ITU-T Study Group </w:t>
            </w:r>
            <w:proofErr w:type="gramStart"/>
            <w:r w:rsidR="00320E57">
              <w:rPr>
                <w:sz w:val="22"/>
                <w:szCs w:val="18"/>
              </w:rPr>
              <w:t>12</w:t>
            </w:r>
            <w:r w:rsidRPr="00DC324F">
              <w:rPr>
                <w:sz w:val="22"/>
                <w:szCs w:val="18"/>
              </w:rPr>
              <w:t>;</w:t>
            </w:r>
            <w:proofErr w:type="gramEnd"/>
            <w:r w:rsidRPr="00DC324F">
              <w:rPr>
                <w:sz w:val="22"/>
                <w:szCs w:val="18"/>
              </w:rPr>
              <w:t xml:space="preserve"> </w:t>
            </w:r>
          </w:p>
          <w:p w14:paraId="7C7BA287" w14:textId="77777777" w:rsidR="00165A31" w:rsidRPr="00DC324F" w:rsidRDefault="00165A31" w:rsidP="00C978EA">
            <w:pPr>
              <w:pStyle w:val="Tabletext"/>
              <w:ind w:left="283" w:hanging="283"/>
              <w:rPr>
                <w:sz w:val="22"/>
                <w:szCs w:val="18"/>
              </w:rPr>
            </w:pPr>
            <w:r w:rsidRPr="00DC324F">
              <w:rPr>
                <w:sz w:val="22"/>
                <w:szCs w:val="18"/>
              </w:rPr>
              <w:t>-</w:t>
            </w:r>
            <w:r w:rsidRPr="00DC324F">
              <w:rPr>
                <w:sz w:val="22"/>
                <w:szCs w:val="18"/>
              </w:rPr>
              <w:tab/>
              <w:t xml:space="preserve">ITU </w:t>
            </w:r>
            <w:proofErr w:type="gramStart"/>
            <w:r w:rsidRPr="00DC324F">
              <w:rPr>
                <w:sz w:val="22"/>
                <w:szCs w:val="18"/>
              </w:rPr>
              <w:t>Academia;</w:t>
            </w:r>
            <w:proofErr w:type="gramEnd"/>
          </w:p>
          <w:p w14:paraId="2E17061C" w14:textId="59AEBA1C" w:rsidR="00165A31" w:rsidRPr="00DC324F" w:rsidRDefault="00165A31" w:rsidP="00C978EA">
            <w:pPr>
              <w:pStyle w:val="Tabletext"/>
              <w:ind w:left="283" w:hanging="283"/>
              <w:rPr>
                <w:sz w:val="22"/>
                <w:szCs w:val="18"/>
              </w:rPr>
            </w:pPr>
            <w:r w:rsidRPr="00DC324F">
              <w:rPr>
                <w:sz w:val="22"/>
                <w:szCs w:val="18"/>
              </w:rPr>
              <w:t>-</w:t>
            </w:r>
            <w:r w:rsidRPr="00DC324F">
              <w:rPr>
                <w:sz w:val="22"/>
                <w:szCs w:val="18"/>
              </w:rPr>
              <w:tab/>
              <w:t xml:space="preserve">The Chairman and Vice-Chairmen of ITU-T Study Group </w:t>
            </w:r>
            <w:proofErr w:type="gramStart"/>
            <w:r w:rsidR="00320E57">
              <w:rPr>
                <w:sz w:val="22"/>
                <w:szCs w:val="18"/>
              </w:rPr>
              <w:t>12</w:t>
            </w:r>
            <w:r w:rsidRPr="00DC324F">
              <w:rPr>
                <w:sz w:val="22"/>
                <w:szCs w:val="18"/>
              </w:rPr>
              <w:t>;</w:t>
            </w:r>
            <w:proofErr w:type="gramEnd"/>
          </w:p>
          <w:p w14:paraId="44523DC2" w14:textId="77777777" w:rsidR="00165A31" w:rsidRPr="00DC324F" w:rsidRDefault="00165A31" w:rsidP="00C978EA">
            <w:pPr>
              <w:pStyle w:val="Tabletext"/>
              <w:ind w:left="283" w:hanging="283"/>
              <w:rPr>
                <w:sz w:val="22"/>
                <w:szCs w:val="18"/>
              </w:rPr>
            </w:pPr>
            <w:r w:rsidRPr="00DC324F">
              <w:rPr>
                <w:sz w:val="22"/>
                <w:szCs w:val="18"/>
              </w:rPr>
              <w:t>-</w:t>
            </w:r>
            <w:r w:rsidRPr="00DC324F">
              <w:rPr>
                <w:sz w:val="22"/>
                <w:szCs w:val="18"/>
              </w:rPr>
              <w:tab/>
              <w:t xml:space="preserve">The Director of the Telecommunication Development </w:t>
            </w:r>
            <w:proofErr w:type="gramStart"/>
            <w:r w:rsidRPr="00DC324F">
              <w:rPr>
                <w:sz w:val="22"/>
                <w:szCs w:val="18"/>
              </w:rPr>
              <w:t>Bureau;</w:t>
            </w:r>
            <w:proofErr w:type="gramEnd"/>
          </w:p>
          <w:p w14:paraId="3872D355" w14:textId="2218104C" w:rsidR="00165A31" w:rsidRPr="00DC324F" w:rsidRDefault="00165A31" w:rsidP="00C978EA">
            <w:pPr>
              <w:pStyle w:val="Tabletext"/>
              <w:ind w:left="283" w:hanging="283"/>
              <w:rPr>
                <w:sz w:val="22"/>
                <w:szCs w:val="18"/>
              </w:rPr>
            </w:pPr>
            <w:r w:rsidRPr="00DC324F">
              <w:rPr>
                <w:sz w:val="22"/>
                <w:szCs w:val="18"/>
              </w:rPr>
              <w:t>-</w:t>
            </w:r>
            <w:r w:rsidRPr="00DC324F">
              <w:rPr>
                <w:sz w:val="22"/>
                <w:szCs w:val="18"/>
              </w:rPr>
              <w:tab/>
              <w:t>The Director of the Radiocommunication Bureau</w:t>
            </w:r>
          </w:p>
        </w:tc>
      </w:tr>
      <w:tr w:rsidR="00315F99" w:rsidRPr="00DC324F" w14:paraId="22805FF0" w14:textId="77777777" w:rsidTr="7107ED0C">
        <w:trPr>
          <w:trHeight w:val="221"/>
          <w:jc w:val="center"/>
        </w:trPr>
        <w:tc>
          <w:tcPr>
            <w:tcW w:w="1276" w:type="dxa"/>
          </w:tcPr>
          <w:p w14:paraId="42FA40C9" w14:textId="77777777" w:rsidR="00315F99" w:rsidRPr="00DC324F" w:rsidRDefault="00315F99" w:rsidP="00C978EA">
            <w:pPr>
              <w:pStyle w:val="Tabletext"/>
              <w:rPr>
                <w:sz w:val="22"/>
                <w:szCs w:val="18"/>
              </w:rPr>
            </w:pPr>
            <w:r w:rsidRPr="00DC324F">
              <w:rPr>
                <w:b/>
                <w:sz w:val="22"/>
                <w:szCs w:val="18"/>
              </w:rPr>
              <w:t>Tel:</w:t>
            </w:r>
          </w:p>
        </w:tc>
        <w:tc>
          <w:tcPr>
            <w:tcW w:w="3544" w:type="dxa"/>
            <w:gridSpan w:val="2"/>
          </w:tcPr>
          <w:p w14:paraId="159438A3" w14:textId="3C5A0232" w:rsidR="00315F99" w:rsidRPr="00DC324F" w:rsidRDefault="00315F99" w:rsidP="00C978EA">
            <w:pPr>
              <w:pStyle w:val="Tabletext"/>
              <w:rPr>
                <w:b/>
                <w:sz w:val="22"/>
                <w:szCs w:val="18"/>
              </w:rPr>
            </w:pPr>
            <w:r w:rsidRPr="00DC324F">
              <w:rPr>
                <w:sz w:val="22"/>
                <w:szCs w:val="18"/>
              </w:rPr>
              <w:t xml:space="preserve">+41 22 730 </w:t>
            </w:r>
            <w:r w:rsidR="00320E57">
              <w:rPr>
                <w:sz w:val="22"/>
                <w:szCs w:val="18"/>
              </w:rPr>
              <w:t>6828</w:t>
            </w:r>
          </w:p>
        </w:tc>
        <w:tc>
          <w:tcPr>
            <w:tcW w:w="5103" w:type="dxa"/>
            <w:gridSpan w:val="2"/>
            <w:vMerge/>
          </w:tcPr>
          <w:p w14:paraId="724D81FB" w14:textId="77777777" w:rsidR="00315F99" w:rsidRPr="00DC324F" w:rsidRDefault="00315F99" w:rsidP="00C978EA">
            <w:pPr>
              <w:pStyle w:val="Tabletext"/>
              <w:ind w:left="142" w:hanging="142"/>
              <w:rPr>
                <w:sz w:val="22"/>
                <w:szCs w:val="18"/>
              </w:rPr>
            </w:pPr>
          </w:p>
        </w:tc>
      </w:tr>
      <w:tr w:rsidR="00315F99" w:rsidRPr="00DC324F" w14:paraId="2525B5C0" w14:textId="77777777" w:rsidTr="7107ED0C">
        <w:trPr>
          <w:trHeight w:val="2435"/>
          <w:jc w:val="center"/>
        </w:trPr>
        <w:tc>
          <w:tcPr>
            <w:tcW w:w="1276" w:type="dxa"/>
          </w:tcPr>
          <w:p w14:paraId="3899C144" w14:textId="77777777" w:rsidR="00315F99" w:rsidRPr="00DC324F" w:rsidRDefault="00315F99" w:rsidP="00C978EA">
            <w:pPr>
              <w:pStyle w:val="Tabletext"/>
              <w:rPr>
                <w:b/>
                <w:sz w:val="22"/>
                <w:szCs w:val="18"/>
              </w:rPr>
            </w:pPr>
            <w:r w:rsidRPr="00DC324F">
              <w:rPr>
                <w:b/>
                <w:sz w:val="22"/>
                <w:szCs w:val="18"/>
              </w:rPr>
              <w:t>Fax:</w:t>
            </w:r>
          </w:p>
          <w:p w14:paraId="31ED4771" w14:textId="7D981B1A" w:rsidR="00165A31" w:rsidRPr="00DC324F" w:rsidRDefault="00165A31" w:rsidP="00C978EA">
            <w:pPr>
              <w:pStyle w:val="Tabletext"/>
              <w:rPr>
                <w:sz w:val="22"/>
                <w:szCs w:val="18"/>
              </w:rPr>
            </w:pPr>
            <w:r w:rsidRPr="00DC324F">
              <w:rPr>
                <w:b/>
                <w:sz w:val="22"/>
                <w:szCs w:val="18"/>
              </w:rPr>
              <w:t>E-mail:</w:t>
            </w:r>
          </w:p>
        </w:tc>
        <w:tc>
          <w:tcPr>
            <w:tcW w:w="3544" w:type="dxa"/>
            <w:gridSpan w:val="2"/>
          </w:tcPr>
          <w:p w14:paraId="197301F7" w14:textId="7FE45C2E" w:rsidR="00315F99" w:rsidRPr="00DC324F" w:rsidRDefault="00315F99" w:rsidP="00C978EA">
            <w:pPr>
              <w:pStyle w:val="Tabletext"/>
              <w:rPr>
                <w:sz w:val="22"/>
                <w:szCs w:val="18"/>
              </w:rPr>
            </w:pPr>
            <w:r w:rsidRPr="00DC324F">
              <w:rPr>
                <w:sz w:val="22"/>
                <w:szCs w:val="18"/>
              </w:rPr>
              <w:t>+41 22 730 5853</w:t>
            </w:r>
          </w:p>
          <w:p w14:paraId="76DA77F0" w14:textId="67511906" w:rsidR="00165A31" w:rsidRPr="00DC324F" w:rsidRDefault="004F6868" w:rsidP="00C978EA">
            <w:pPr>
              <w:pStyle w:val="Tabletext"/>
              <w:rPr>
                <w:b/>
                <w:sz w:val="22"/>
                <w:szCs w:val="18"/>
              </w:rPr>
            </w:pPr>
            <w:hyperlink r:id="rId12" w:history="1">
              <w:r w:rsidR="00320E57" w:rsidRPr="00CF24EB">
                <w:rPr>
                  <w:rStyle w:val="Hyperlink"/>
                  <w:sz w:val="22"/>
                  <w:szCs w:val="18"/>
                </w:rPr>
                <w:t>tsbsg12@itu.int</w:t>
              </w:r>
            </w:hyperlink>
          </w:p>
        </w:tc>
        <w:tc>
          <w:tcPr>
            <w:tcW w:w="5103" w:type="dxa"/>
            <w:gridSpan w:val="2"/>
            <w:vMerge/>
          </w:tcPr>
          <w:p w14:paraId="363833BD" w14:textId="77777777" w:rsidR="00315F99" w:rsidRPr="00DC324F" w:rsidRDefault="00315F99" w:rsidP="00C978EA">
            <w:pPr>
              <w:pStyle w:val="Tabletext"/>
              <w:ind w:left="142" w:hanging="142"/>
              <w:rPr>
                <w:sz w:val="22"/>
                <w:szCs w:val="18"/>
              </w:rPr>
            </w:pPr>
          </w:p>
        </w:tc>
      </w:tr>
      <w:tr w:rsidR="006D775C" w:rsidRPr="00DC324F" w14:paraId="1F5DA09D" w14:textId="77777777" w:rsidTr="7107ED0C">
        <w:trPr>
          <w:trHeight w:val="854"/>
          <w:jc w:val="center"/>
        </w:trPr>
        <w:tc>
          <w:tcPr>
            <w:tcW w:w="1276" w:type="dxa"/>
          </w:tcPr>
          <w:p w14:paraId="06A023BE" w14:textId="77777777" w:rsidR="006D775C" w:rsidRPr="00320E57" w:rsidRDefault="00D40F22" w:rsidP="00C978EA">
            <w:pPr>
              <w:pStyle w:val="Tabletext"/>
              <w:rPr>
                <w:sz w:val="22"/>
                <w:szCs w:val="18"/>
              </w:rPr>
            </w:pPr>
            <w:r w:rsidRPr="00320E57">
              <w:rPr>
                <w:b/>
                <w:sz w:val="22"/>
                <w:szCs w:val="18"/>
              </w:rPr>
              <w:t>Subject:</w:t>
            </w:r>
          </w:p>
        </w:tc>
        <w:tc>
          <w:tcPr>
            <w:tcW w:w="8647" w:type="dxa"/>
            <w:gridSpan w:val="4"/>
          </w:tcPr>
          <w:p w14:paraId="4887DE07" w14:textId="3CDBDE0D" w:rsidR="006D775C" w:rsidRPr="00DC324F" w:rsidRDefault="00D40F22" w:rsidP="00C978EA">
            <w:pPr>
              <w:pStyle w:val="Tabletext"/>
              <w:rPr>
                <w:sz w:val="22"/>
                <w:szCs w:val="18"/>
              </w:rPr>
            </w:pPr>
            <w:r w:rsidRPr="00320E57">
              <w:rPr>
                <w:b/>
                <w:sz w:val="22"/>
                <w:szCs w:val="18"/>
              </w:rPr>
              <w:t>Proposed deletion of Recommendation</w:t>
            </w:r>
            <w:r w:rsidR="00092594" w:rsidRPr="00320E57">
              <w:rPr>
                <w:b/>
                <w:sz w:val="22"/>
                <w:szCs w:val="18"/>
              </w:rPr>
              <w:t>s</w:t>
            </w:r>
            <w:r w:rsidRPr="00320E57">
              <w:rPr>
                <w:b/>
                <w:sz w:val="22"/>
                <w:szCs w:val="18"/>
              </w:rPr>
              <w:t xml:space="preserve"> ITU-T </w:t>
            </w:r>
            <w:r w:rsidR="00320E57" w:rsidRPr="00320E57">
              <w:rPr>
                <w:b/>
                <w:sz w:val="22"/>
                <w:szCs w:val="18"/>
              </w:rPr>
              <w:t>P.</w:t>
            </w:r>
            <w:r w:rsidR="008160DE">
              <w:rPr>
                <w:b/>
                <w:sz w:val="22"/>
                <w:szCs w:val="18"/>
              </w:rPr>
              <w:t xml:space="preserve">911 </w:t>
            </w:r>
            <w:r w:rsidR="00320E57" w:rsidRPr="00320E57">
              <w:rPr>
                <w:b/>
                <w:sz w:val="22"/>
                <w:szCs w:val="18"/>
              </w:rPr>
              <w:t>and P.</w:t>
            </w:r>
            <w:r w:rsidR="008160DE">
              <w:rPr>
                <w:b/>
                <w:sz w:val="22"/>
                <w:szCs w:val="18"/>
              </w:rPr>
              <w:t>91</w:t>
            </w:r>
            <w:r w:rsidR="00320E57" w:rsidRPr="00320E57">
              <w:rPr>
                <w:b/>
                <w:sz w:val="22"/>
                <w:szCs w:val="18"/>
              </w:rPr>
              <w:t>3</w:t>
            </w:r>
            <w:r w:rsidR="007D62C6" w:rsidRPr="00320E57">
              <w:rPr>
                <w:b/>
                <w:sz w:val="22"/>
                <w:szCs w:val="18"/>
              </w:rPr>
              <w:t xml:space="preserve"> </w:t>
            </w:r>
            <w:r w:rsidRPr="00320E57">
              <w:rPr>
                <w:b/>
                <w:sz w:val="22"/>
                <w:szCs w:val="18"/>
              </w:rPr>
              <w:t xml:space="preserve">agreed </w:t>
            </w:r>
            <w:r w:rsidR="005F755F" w:rsidRPr="00320E57">
              <w:rPr>
                <w:b/>
                <w:sz w:val="22"/>
                <w:szCs w:val="18"/>
              </w:rPr>
              <w:t xml:space="preserve">to </w:t>
            </w:r>
            <w:r w:rsidRPr="00320E57">
              <w:rPr>
                <w:b/>
                <w:sz w:val="22"/>
                <w:szCs w:val="18"/>
              </w:rPr>
              <w:t>by ITU-T SG</w:t>
            </w:r>
            <w:r w:rsidR="00320E57" w:rsidRPr="00320E57">
              <w:rPr>
                <w:b/>
                <w:sz w:val="22"/>
                <w:szCs w:val="18"/>
              </w:rPr>
              <w:t>12</w:t>
            </w:r>
            <w:r w:rsidRPr="00320E57">
              <w:rPr>
                <w:b/>
                <w:sz w:val="22"/>
                <w:szCs w:val="18"/>
              </w:rPr>
              <w:t xml:space="preserve"> at its meeting </w:t>
            </w:r>
            <w:r w:rsidR="00320E57" w:rsidRPr="00320E57">
              <w:rPr>
                <w:b/>
                <w:sz w:val="22"/>
                <w:szCs w:val="18"/>
              </w:rPr>
              <w:t>in Mexico City, 19-28 September 2023</w:t>
            </w:r>
          </w:p>
        </w:tc>
      </w:tr>
    </w:tbl>
    <w:p w14:paraId="1A7DF95A" w14:textId="10F45A0A" w:rsidR="00C978EA" w:rsidRPr="00320E57" w:rsidRDefault="00C978EA" w:rsidP="00C978EA">
      <w:pPr>
        <w:rPr>
          <w:sz w:val="22"/>
          <w:szCs w:val="18"/>
        </w:rPr>
      </w:pPr>
      <w:r w:rsidRPr="00320E57">
        <w:rPr>
          <w:sz w:val="22"/>
          <w:szCs w:val="18"/>
        </w:rPr>
        <w:t>Dear Sir/Madam,</w:t>
      </w:r>
    </w:p>
    <w:p w14:paraId="6DD3B98D" w14:textId="664B6BC5" w:rsidR="00C978EA" w:rsidRPr="00320E57" w:rsidRDefault="00C978EA" w:rsidP="00071F8A">
      <w:pPr>
        <w:rPr>
          <w:sz w:val="22"/>
          <w:szCs w:val="18"/>
        </w:rPr>
      </w:pPr>
      <w:r w:rsidRPr="00320E57">
        <w:rPr>
          <w:sz w:val="22"/>
          <w:szCs w:val="18"/>
        </w:rPr>
        <w:t>1</w:t>
      </w:r>
      <w:r w:rsidRPr="00320E57">
        <w:rPr>
          <w:sz w:val="22"/>
          <w:szCs w:val="18"/>
        </w:rPr>
        <w:tab/>
        <w:t xml:space="preserve">At the request of the Chairman of Study Group </w:t>
      </w:r>
      <w:r w:rsidR="00320E57" w:rsidRPr="00320E57">
        <w:rPr>
          <w:sz w:val="22"/>
          <w:szCs w:val="18"/>
        </w:rPr>
        <w:t>12</w:t>
      </w:r>
      <w:r w:rsidRPr="00320E57">
        <w:rPr>
          <w:sz w:val="22"/>
          <w:szCs w:val="18"/>
        </w:rPr>
        <w:t xml:space="preserve"> (</w:t>
      </w:r>
      <w:r w:rsidR="00320E57" w:rsidRPr="00320E57">
        <w:rPr>
          <w:sz w:val="22"/>
          <w:szCs w:val="18"/>
        </w:rPr>
        <w:t>Performance, quality of service (QoS) and quality of experience (QoE)</w:t>
      </w:r>
      <w:r w:rsidRPr="00320E57">
        <w:rPr>
          <w:sz w:val="22"/>
          <w:szCs w:val="18"/>
        </w:rPr>
        <w:t xml:space="preserve">), I have the honour to inform you that this study group, in its meeting held in </w:t>
      </w:r>
      <w:r w:rsidR="00320E57" w:rsidRPr="00320E57">
        <w:rPr>
          <w:sz w:val="22"/>
          <w:szCs w:val="18"/>
        </w:rPr>
        <w:t>Mexico City, 19-28 September 2023</w:t>
      </w:r>
      <w:r w:rsidRPr="00320E57">
        <w:rPr>
          <w:sz w:val="22"/>
          <w:szCs w:val="18"/>
        </w:rPr>
        <w:t xml:space="preserve">, agreed to initiate the deletion of the above mentioned ITU-T Recommendations, in accordance with the provisions of </w:t>
      </w:r>
      <w:r w:rsidR="00640A58" w:rsidRPr="00320E57">
        <w:rPr>
          <w:sz w:val="22"/>
          <w:szCs w:val="18"/>
        </w:rPr>
        <w:t xml:space="preserve">clause 9.8.2.1 of </w:t>
      </w:r>
      <w:r w:rsidRPr="00320E57">
        <w:rPr>
          <w:sz w:val="22"/>
          <w:szCs w:val="18"/>
        </w:rPr>
        <w:t>Resolution 1 of WTSA (Rev.</w:t>
      </w:r>
      <w:r w:rsidR="00B45B51">
        <w:rPr>
          <w:sz w:val="22"/>
          <w:szCs w:val="18"/>
        </w:rPr>
        <w:t> </w:t>
      </w:r>
      <w:r w:rsidRPr="00320E57">
        <w:rPr>
          <w:sz w:val="22"/>
          <w:szCs w:val="18"/>
        </w:rPr>
        <w:t>Geneva, 2022).</w:t>
      </w:r>
      <w:r w:rsidR="00D87885" w:rsidRPr="00320E57">
        <w:rPr>
          <w:sz w:val="22"/>
          <w:szCs w:val="18"/>
        </w:rPr>
        <w:t xml:space="preserve">This agreement was reached without </w:t>
      </w:r>
      <w:r w:rsidRPr="00320E57">
        <w:rPr>
          <w:sz w:val="22"/>
          <w:szCs w:val="18"/>
        </w:rPr>
        <w:t xml:space="preserve">opposition from the Member States or Sector Members </w:t>
      </w:r>
      <w:r w:rsidR="00071F8A" w:rsidRPr="00320E57">
        <w:rPr>
          <w:sz w:val="22"/>
          <w:szCs w:val="18"/>
        </w:rPr>
        <w:t xml:space="preserve">acting on behalf of Member States under No. 239 of the </w:t>
      </w:r>
      <w:r w:rsidR="00D87885" w:rsidRPr="00320E57">
        <w:rPr>
          <w:sz w:val="22"/>
          <w:szCs w:val="18"/>
        </w:rPr>
        <w:t xml:space="preserve">ITU </w:t>
      </w:r>
      <w:r w:rsidR="00071F8A" w:rsidRPr="00320E57">
        <w:rPr>
          <w:sz w:val="22"/>
          <w:szCs w:val="18"/>
        </w:rPr>
        <w:t xml:space="preserve">Convention </w:t>
      </w:r>
      <w:r w:rsidR="00780241" w:rsidRPr="00320E57">
        <w:rPr>
          <w:sz w:val="22"/>
          <w:szCs w:val="18"/>
        </w:rPr>
        <w:t>present at</w:t>
      </w:r>
      <w:r w:rsidRPr="00320E57">
        <w:rPr>
          <w:sz w:val="22"/>
          <w:szCs w:val="18"/>
        </w:rPr>
        <w:t xml:space="preserve"> the meeting.</w:t>
      </w:r>
    </w:p>
    <w:p w14:paraId="6E82377A" w14:textId="77777777" w:rsidR="00C978EA" w:rsidRPr="00320E57" w:rsidRDefault="00C978EA" w:rsidP="00C978EA">
      <w:pPr>
        <w:rPr>
          <w:sz w:val="22"/>
          <w:szCs w:val="18"/>
        </w:rPr>
      </w:pPr>
      <w:r w:rsidRPr="00320E57">
        <w:rPr>
          <w:sz w:val="22"/>
          <w:szCs w:val="18"/>
        </w:rPr>
        <w:t>2</w:t>
      </w:r>
      <w:r w:rsidRPr="00320E57">
        <w:rPr>
          <w:sz w:val="22"/>
          <w:szCs w:val="18"/>
        </w:rPr>
        <w:tab/>
      </w:r>
      <w:r w:rsidRPr="00320E57">
        <w:rPr>
          <w:b/>
          <w:sz w:val="22"/>
          <w:szCs w:val="18"/>
        </w:rPr>
        <w:t>Annex 1</w:t>
      </w:r>
      <w:r w:rsidRPr="00320E57">
        <w:rPr>
          <w:sz w:val="22"/>
          <w:szCs w:val="18"/>
        </w:rPr>
        <w:t xml:space="preserve"> gives information about this agreement, including an explanatory summary about the reasons for the deletion.</w:t>
      </w:r>
    </w:p>
    <w:p w14:paraId="14973AD5" w14:textId="2A701C59" w:rsidR="00C978EA" w:rsidRPr="00320E57" w:rsidRDefault="00C978EA" w:rsidP="00631EE3">
      <w:pPr>
        <w:rPr>
          <w:sz w:val="22"/>
          <w:szCs w:val="18"/>
        </w:rPr>
      </w:pPr>
      <w:r w:rsidRPr="00320E57">
        <w:rPr>
          <w:sz w:val="22"/>
          <w:szCs w:val="18"/>
        </w:rPr>
        <w:t>3</w:t>
      </w:r>
      <w:r w:rsidRPr="00320E57">
        <w:rPr>
          <w:sz w:val="22"/>
          <w:szCs w:val="18"/>
        </w:rPr>
        <w:tab/>
      </w:r>
      <w:r w:rsidR="009A552F" w:rsidRPr="00320E57">
        <w:rPr>
          <w:sz w:val="22"/>
          <w:szCs w:val="18"/>
        </w:rPr>
        <w:t>In</w:t>
      </w:r>
      <w:r w:rsidR="001F4E42" w:rsidRPr="00320E57">
        <w:rPr>
          <w:sz w:val="22"/>
          <w:szCs w:val="18"/>
        </w:rPr>
        <w:t xml:space="preserve"> conformance </w:t>
      </w:r>
      <w:r w:rsidR="00311C30" w:rsidRPr="00320E57">
        <w:rPr>
          <w:sz w:val="22"/>
          <w:szCs w:val="18"/>
        </w:rPr>
        <w:t>with</w:t>
      </w:r>
      <w:r w:rsidR="001F4E42" w:rsidRPr="00320E57">
        <w:rPr>
          <w:sz w:val="22"/>
          <w:szCs w:val="18"/>
        </w:rPr>
        <w:t xml:space="preserve"> </w:t>
      </w:r>
      <w:r w:rsidRPr="00320E57">
        <w:rPr>
          <w:sz w:val="22"/>
          <w:szCs w:val="18"/>
        </w:rPr>
        <w:t>Resolution 1, Section 9</w:t>
      </w:r>
      <w:r w:rsidR="001F4E42" w:rsidRPr="00320E57">
        <w:rPr>
          <w:sz w:val="22"/>
          <w:szCs w:val="18"/>
        </w:rPr>
        <w:t>.8.2.1</w:t>
      </w:r>
      <w:r w:rsidRPr="00320E57">
        <w:rPr>
          <w:sz w:val="22"/>
          <w:szCs w:val="18"/>
        </w:rPr>
        <w:t xml:space="preserve">, </w:t>
      </w:r>
      <w:r w:rsidR="00631EE3" w:rsidRPr="00320E57">
        <w:rPr>
          <w:sz w:val="22"/>
          <w:szCs w:val="18"/>
        </w:rPr>
        <w:t>the deletion will come into force i</w:t>
      </w:r>
      <w:r w:rsidR="00790E09" w:rsidRPr="00320E57">
        <w:rPr>
          <w:sz w:val="22"/>
          <w:szCs w:val="18"/>
        </w:rPr>
        <w:t>f</w:t>
      </w:r>
      <w:r w:rsidR="00631EE3" w:rsidRPr="00320E57">
        <w:rPr>
          <w:sz w:val="22"/>
          <w:szCs w:val="18"/>
        </w:rPr>
        <w:t xml:space="preserve"> no object</w:t>
      </w:r>
      <w:r w:rsidR="00790E09" w:rsidRPr="00320E57">
        <w:rPr>
          <w:sz w:val="22"/>
          <w:szCs w:val="18"/>
        </w:rPr>
        <w:t>ion</w:t>
      </w:r>
      <w:r w:rsidR="00631EE3" w:rsidRPr="00320E57">
        <w:rPr>
          <w:sz w:val="22"/>
          <w:szCs w:val="18"/>
        </w:rPr>
        <w:t xml:space="preserve"> to the deletion is received </w:t>
      </w:r>
      <w:r w:rsidRPr="00320E57">
        <w:rPr>
          <w:sz w:val="22"/>
          <w:szCs w:val="18"/>
        </w:rPr>
        <w:t>by 2359 hours UTC</w:t>
      </w:r>
      <w:r w:rsidRPr="00320E57">
        <w:rPr>
          <w:b/>
          <w:sz w:val="22"/>
          <w:szCs w:val="18"/>
        </w:rPr>
        <w:t xml:space="preserve"> </w:t>
      </w:r>
      <w:r w:rsidRPr="00320E57">
        <w:rPr>
          <w:bCs/>
          <w:sz w:val="22"/>
          <w:szCs w:val="18"/>
        </w:rPr>
        <w:t>on</w:t>
      </w:r>
      <w:r w:rsidRPr="00320E57">
        <w:rPr>
          <w:b/>
          <w:sz w:val="22"/>
          <w:szCs w:val="18"/>
        </w:rPr>
        <w:t xml:space="preserve"> </w:t>
      </w:r>
      <w:r w:rsidR="00084429" w:rsidRPr="00084429">
        <w:rPr>
          <w:b/>
          <w:sz w:val="22"/>
          <w:szCs w:val="18"/>
        </w:rPr>
        <w:t>1</w:t>
      </w:r>
      <w:r w:rsidR="00320E57" w:rsidRPr="00084429">
        <w:rPr>
          <w:b/>
          <w:sz w:val="22"/>
          <w:szCs w:val="18"/>
        </w:rPr>
        <w:t xml:space="preserve"> </w:t>
      </w:r>
      <w:r w:rsidR="00084429" w:rsidRPr="00084429">
        <w:rPr>
          <w:b/>
          <w:sz w:val="22"/>
          <w:szCs w:val="18"/>
        </w:rPr>
        <w:t>February</w:t>
      </w:r>
      <w:r w:rsidR="00320E57" w:rsidRPr="00084429">
        <w:rPr>
          <w:b/>
          <w:sz w:val="22"/>
          <w:szCs w:val="18"/>
        </w:rPr>
        <w:t xml:space="preserve"> 2024</w:t>
      </w:r>
      <w:r w:rsidRPr="00320E57">
        <w:rPr>
          <w:sz w:val="22"/>
          <w:szCs w:val="18"/>
        </w:rPr>
        <w:t>.</w:t>
      </w:r>
    </w:p>
    <w:p w14:paraId="08B8CC6F" w14:textId="4B86BEC2" w:rsidR="00C978EA" w:rsidRPr="00320E57" w:rsidRDefault="00C978EA" w:rsidP="00C978EA">
      <w:pPr>
        <w:rPr>
          <w:sz w:val="22"/>
          <w:szCs w:val="18"/>
        </w:rPr>
      </w:pPr>
      <w:r w:rsidRPr="00320E57">
        <w:rPr>
          <w:sz w:val="22"/>
          <w:szCs w:val="18"/>
        </w:rPr>
        <w:tab/>
        <w:t xml:space="preserve">Should any Member States or Sector Members </w:t>
      </w:r>
      <w:r w:rsidR="00640A58" w:rsidRPr="00320E57">
        <w:rPr>
          <w:sz w:val="22"/>
          <w:szCs w:val="18"/>
        </w:rPr>
        <w:t xml:space="preserve">acting on behalf of Member States under No. 239 of the ITU Convention </w:t>
      </w:r>
      <w:proofErr w:type="gramStart"/>
      <w:r w:rsidRPr="00320E57">
        <w:rPr>
          <w:sz w:val="22"/>
          <w:szCs w:val="18"/>
        </w:rPr>
        <w:t>be of the opinion that</w:t>
      </w:r>
      <w:proofErr w:type="gramEnd"/>
      <w:r w:rsidRPr="00320E57">
        <w:rPr>
          <w:sz w:val="22"/>
          <w:szCs w:val="18"/>
        </w:rPr>
        <w:t xml:space="preserve"> deletion should not be accepted, they should advise their reasons for disapproving and the matter would be referred back to the study group.</w:t>
      </w:r>
    </w:p>
    <w:p w14:paraId="348763A4" w14:textId="32C22F6D" w:rsidR="00C978EA" w:rsidRPr="00320E57" w:rsidRDefault="00C978EA" w:rsidP="00C978EA">
      <w:pPr>
        <w:tabs>
          <w:tab w:val="left" w:pos="1296"/>
          <w:tab w:val="left" w:pos="2160"/>
          <w:tab w:val="left" w:pos="3024"/>
          <w:tab w:val="left" w:pos="7056"/>
          <w:tab w:val="left" w:pos="8496"/>
        </w:tabs>
        <w:rPr>
          <w:sz w:val="22"/>
          <w:szCs w:val="18"/>
        </w:rPr>
      </w:pPr>
      <w:r w:rsidRPr="00320E57">
        <w:rPr>
          <w:sz w:val="22"/>
          <w:szCs w:val="18"/>
        </w:rPr>
        <w:t>4</w:t>
      </w:r>
      <w:r w:rsidRPr="00320E57">
        <w:rPr>
          <w:sz w:val="22"/>
          <w:szCs w:val="18"/>
        </w:rPr>
        <w:tab/>
      </w:r>
      <w:r w:rsidR="005D076C" w:rsidRPr="00320E57">
        <w:rPr>
          <w:sz w:val="22"/>
          <w:szCs w:val="18"/>
        </w:rPr>
        <w:t>T</w:t>
      </w:r>
      <w:r w:rsidRPr="00320E57">
        <w:rPr>
          <w:sz w:val="22"/>
          <w:szCs w:val="18"/>
        </w:rPr>
        <w:t>he result of th</w:t>
      </w:r>
      <w:r w:rsidR="005D076C" w:rsidRPr="00320E57">
        <w:rPr>
          <w:sz w:val="22"/>
          <w:szCs w:val="18"/>
        </w:rPr>
        <w:t>is</w:t>
      </w:r>
      <w:r w:rsidRPr="00320E57">
        <w:rPr>
          <w:sz w:val="22"/>
          <w:szCs w:val="18"/>
        </w:rPr>
        <w:t xml:space="preserve"> consultation</w:t>
      </w:r>
      <w:r w:rsidR="005D076C" w:rsidRPr="00320E57">
        <w:rPr>
          <w:sz w:val="22"/>
          <w:szCs w:val="18"/>
        </w:rPr>
        <w:t xml:space="preserve"> will be announced</w:t>
      </w:r>
      <w:r w:rsidR="009B44E9" w:rsidRPr="00320E57">
        <w:rPr>
          <w:sz w:val="22"/>
          <w:szCs w:val="18"/>
        </w:rPr>
        <w:t xml:space="preserve"> shortly after the deadline via a TSB Circular and </w:t>
      </w:r>
      <w:r w:rsidRPr="00320E57">
        <w:rPr>
          <w:sz w:val="22"/>
          <w:szCs w:val="18"/>
        </w:rPr>
        <w:t>published in the ITU Operational Bulletin.</w:t>
      </w:r>
    </w:p>
    <w:p w14:paraId="49064F96" w14:textId="3FD866F3" w:rsidR="00C978EA" w:rsidRPr="00DC324F" w:rsidRDefault="00C978EA" w:rsidP="00C978EA">
      <w:pPr>
        <w:keepNext/>
        <w:keepLines/>
        <w:spacing w:before="240"/>
        <w:rPr>
          <w:sz w:val="22"/>
          <w:szCs w:val="18"/>
        </w:rPr>
      </w:pPr>
      <w:r w:rsidRPr="00320E57">
        <w:rPr>
          <w:sz w:val="22"/>
          <w:szCs w:val="18"/>
        </w:rPr>
        <w:t>Yours faithfully,</w:t>
      </w:r>
    </w:p>
    <w:p w14:paraId="12281280" w14:textId="6BF25EDA" w:rsidR="00C978EA" w:rsidRPr="00DC324F" w:rsidRDefault="004F6868" w:rsidP="00C978EA">
      <w:pPr>
        <w:keepNext/>
        <w:keepLines/>
        <w:spacing w:before="960"/>
        <w:rPr>
          <w:sz w:val="22"/>
          <w:szCs w:val="18"/>
        </w:rPr>
      </w:pPr>
      <w:r>
        <w:rPr>
          <w:noProof/>
          <w:sz w:val="22"/>
          <w:szCs w:val="18"/>
          <w:lang w:val="en-US"/>
        </w:rPr>
        <w:drawing>
          <wp:anchor distT="0" distB="0" distL="114300" distR="114300" simplePos="0" relativeHeight="251658240" behindDoc="1" locked="0" layoutInCell="1" allowOverlap="1" wp14:anchorId="250663C1" wp14:editId="12BFF925">
            <wp:simplePos x="0" y="0"/>
            <wp:positionH relativeFrom="column">
              <wp:posOffset>3810</wp:posOffset>
            </wp:positionH>
            <wp:positionV relativeFrom="paragraph">
              <wp:posOffset>134620</wp:posOffset>
            </wp:positionV>
            <wp:extent cx="744116" cy="314325"/>
            <wp:effectExtent l="0" t="0" r="0" b="0"/>
            <wp:wrapNone/>
            <wp:docPr id="1112880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80959" name="Picture 1112880959"/>
                    <pic:cNvPicPr/>
                  </pic:nvPicPr>
                  <pic:blipFill>
                    <a:blip r:embed="rId13">
                      <a:extLst>
                        <a:ext uri="{28A0092B-C50C-407E-A947-70E740481C1C}">
                          <a14:useLocalDpi xmlns:a14="http://schemas.microsoft.com/office/drawing/2010/main" val="0"/>
                        </a:ext>
                      </a:extLst>
                    </a:blip>
                    <a:stretch>
                      <a:fillRect/>
                    </a:stretch>
                  </pic:blipFill>
                  <pic:spPr>
                    <a:xfrm>
                      <a:off x="0" y="0"/>
                      <a:ext cx="748268" cy="316079"/>
                    </a:xfrm>
                    <a:prstGeom prst="rect">
                      <a:avLst/>
                    </a:prstGeom>
                  </pic:spPr>
                </pic:pic>
              </a:graphicData>
            </a:graphic>
            <wp14:sizeRelH relativeFrom="margin">
              <wp14:pctWidth>0</wp14:pctWidth>
            </wp14:sizeRelH>
            <wp14:sizeRelV relativeFrom="margin">
              <wp14:pctHeight>0</wp14:pctHeight>
            </wp14:sizeRelV>
          </wp:anchor>
        </w:drawing>
      </w:r>
      <w:r w:rsidR="0012229C" w:rsidRPr="0012229C">
        <w:rPr>
          <w:noProof/>
          <w:sz w:val="22"/>
          <w:szCs w:val="18"/>
          <w:lang w:val="en-US"/>
        </w:rPr>
        <w:t>Seizo Onoe</w:t>
      </w:r>
      <w:r w:rsidR="00C978EA" w:rsidRPr="00DC324F">
        <w:rPr>
          <w:sz w:val="22"/>
          <w:szCs w:val="18"/>
        </w:rPr>
        <w:br/>
        <w:t>Director of the Telecommunication</w:t>
      </w:r>
      <w:r w:rsidR="00C978EA" w:rsidRPr="00DC324F">
        <w:rPr>
          <w:sz w:val="22"/>
          <w:szCs w:val="18"/>
        </w:rPr>
        <w:br/>
        <w:t>Standardization Bureau</w:t>
      </w:r>
    </w:p>
    <w:p w14:paraId="265A6648" w14:textId="77777777" w:rsidR="00C978EA" w:rsidRPr="00686C31" w:rsidRDefault="00C978EA" w:rsidP="00C978EA">
      <w:pPr>
        <w:spacing w:before="360"/>
        <w:rPr>
          <w:b/>
          <w:sz w:val="22"/>
          <w:szCs w:val="18"/>
          <w:lang w:val="fr-FR"/>
        </w:rPr>
      </w:pPr>
      <w:proofErr w:type="gramStart"/>
      <w:r w:rsidRPr="00686C31">
        <w:rPr>
          <w:b/>
          <w:sz w:val="22"/>
          <w:szCs w:val="18"/>
          <w:lang w:val="fr-FR"/>
        </w:rPr>
        <w:t>Annex</w:t>
      </w:r>
      <w:r w:rsidRPr="00686C31">
        <w:rPr>
          <w:sz w:val="22"/>
          <w:szCs w:val="18"/>
          <w:lang w:val="fr-FR"/>
        </w:rPr>
        <w:t>:</w:t>
      </w:r>
      <w:proofErr w:type="gramEnd"/>
      <w:r w:rsidRPr="00686C31">
        <w:rPr>
          <w:sz w:val="22"/>
          <w:szCs w:val="18"/>
          <w:lang w:val="fr-FR"/>
        </w:rPr>
        <w:t xml:space="preserve"> 1</w:t>
      </w:r>
    </w:p>
    <w:p w14:paraId="72519382" w14:textId="77777777" w:rsidR="00C978EA" w:rsidRPr="00686C31" w:rsidRDefault="00C978EA" w:rsidP="00C978EA">
      <w:pPr>
        <w:rPr>
          <w:lang w:val="fr-FR"/>
        </w:rPr>
      </w:pPr>
      <w:r w:rsidRPr="00686C31">
        <w:rPr>
          <w:lang w:val="fr-FR"/>
        </w:rPr>
        <w:br w:type="page"/>
      </w:r>
    </w:p>
    <w:p w14:paraId="0EE3A17F" w14:textId="4EF89AAE" w:rsidR="00315F99" w:rsidRDefault="005638D8" w:rsidP="00092594">
      <w:pPr>
        <w:jc w:val="center"/>
        <w:rPr>
          <w:b/>
          <w:bCs/>
          <w:sz w:val="28"/>
          <w:szCs w:val="22"/>
          <w:lang w:val="fr-FR"/>
        </w:rPr>
      </w:pPr>
      <w:r w:rsidRPr="00320E57">
        <w:rPr>
          <w:b/>
          <w:bCs/>
          <w:sz w:val="28"/>
          <w:szCs w:val="22"/>
          <w:lang w:val="fr-FR"/>
        </w:rPr>
        <w:lastRenderedPageBreak/>
        <w:t>A</w:t>
      </w:r>
      <w:r w:rsidR="00092594" w:rsidRPr="00320E57">
        <w:rPr>
          <w:b/>
          <w:bCs/>
          <w:sz w:val="28"/>
          <w:szCs w:val="22"/>
          <w:lang w:val="fr-FR"/>
        </w:rPr>
        <w:t>nnex</w:t>
      </w:r>
      <w:r w:rsidRPr="00320E57">
        <w:rPr>
          <w:b/>
          <w:bCs/>
          <w:sz w:val="28"/>
          <w:szCs w:val="22"/>
          <w:lang w:val="fr-FR"/>
        </w:rPr>
        <w:t xml:space="preserve"> 1</w:t>
      </w:r>
      <w:r w:rsidR="00092594" w:rsidRPr="00320E57">
        <w:rPr>
          <w:b/>
          <w:bCs/>
          <w:sz w:val="28"/>
          <w:szCs w:val="22"/>
          <w:lang w:val="fr-FR"/>
        </w:rPr>
        <w:br/>
      </w:r>
      <w:proofErr w:type="spellStart"/>
      <w:r w:rsidR="005F755F" w:rsidRPr="00320E57">
        <w:rPr>
          <w:b/>
          <w:bCs/>
          <w:sz w:val="28"/>
          <w:szCs w:val="22"/>
          <w:lang w:val="fr-FR"/>
        </w:rPr>
        <w:t>Recommendation</w:t>
      </w:r>
      <w:r w:rsidR="00092594" w:rsidRPr="00320E57">
        <w:rPr>
          <w:b/>
          <w:bCs/>
          <w:sz w:val="28"/>
          <w:szCs w:val="22"/>
          <w:lang w:val="fr-FR"/>
        </w:rPr>
        <w:t>s</w:t>
      </w:r>
      <w:proofErr w:type="spellEnd"/>
      <w:r w:rsidR="005F755F" w:rsidRPr="00320E57">
        <w:rPr>
          <w:b/>
          <w:bCs/>
          <w:sz w:val="28"/>
          <w:szCs w:val="22"/>
          <w:lang w:val="fr-FR"/>
        </w:rPr>
        <w:t xml:space="preserve"> </w:t>
      </w:r>
      <w:proofErr w:type="spellStart"/>
      <w:r w:rsidR="005F755F" w:rsidRPr="00320E57">
        <w:rPr>
          <w:b/>
          <w:bCs/>
          <w:sz w:val="28"/>
          <w:szCs w:val="22"/>
          <w:lang w:val="fr-FR"/>
        </w:rPr>
        <w:t>proposed</w:t>
      </w:r>
      <w:proofErr w:type="spellEnd"/>
      <w:r w:rsidR="005F755F" w:rsidRPr="00320E57">
        <w:rPr>
          <w:b/>
          <w:bCs/>
          <w:sz w:val="28"/>
          <w:szCs w:val="22"/>
          <w:lang w:val="fr-FR"/>
        </w:rPr>
        <w:t xml:space="preserve"> for </w:t>
      </w:r>
      <w:proofErr w:type="spellStart"/>
      <w:proofErr w:type="gramStart"/>
      <w:r w:rsidR="005F755F" w:rsidRPr="00320E57">
        <w:rPr>
          <w:b/>
          <w:bCs/>
          <w:sz w:val="28"/>
          <w:szCs w:val="22"/>
          <w:lang w:val="fr-FR"/>
        </w:rPr>
        <w:t>deletion</w:t>
      </w:r>
      <w:proofErr w:type="spellEnd"/>
      <w:r w:rsidR="005F755F" w:rsidRPr="00320E57">
        <w:rPr>
          <w:b/>
          <w:bCs/>
          <w:sz w:val="28"/>
          <w:szCs w:val="22"/>
          <w:lang w:val="fr-FR"/>
        </w:rPr>
        <w:t>:</w:t>
      </w:r>
      <w:proofErr w:type="gramEnd"/>
      <w:r w:rsidR="005F755F" w:rsidRPr="00320E57">
        <w:rPr>
          <w:b/>
          <w:bCs/>
          <w:sz w:val="28"/>
          <w:szCs w:val="22"/>
          <w:lang w:val="fr-FR"/>
        </w:rPr>
        <w:t xml:space="preserve"> </w:t>
      </w:r>
      <w:r w:rsidR="00F94B4C">
        <w:rPr>
          <w:b/>
          <w:bCs/>
          <w:sz w:val="28"/>
          <w:szCs w:val="22"/>
          <w:lang w:val="fr-FR"/>
        </w:rPr>
        <w:br/>
      </w:r>
      <w:r w:rsidR="00320E57" w:rsidRPr="00320E57">
        <w:rPr>
          <w:b/>
          <w:bCs/>
          <w:sz w:val="28"/>
          <w:szCs w:val="22"/>
          <w:lang w:val="fr-FR"/>
        </w:rPr>
        <w:t>ITU-T P.</w:t>
      </w:r>
      <w:r w:rsidR="008160DE">
        <w:rPr>
          <w:b/>
          <w:bCs/>
          <w:sz w:val="28"/>
          <w:szCs w:val="22"/>
          <w:lang w:val="fr-FR"/>
        </w:rPr>
        <w:t>911</w:t>
      </w:r>
      <w:r w:rsidR="00320E57" w:rsidRPr="00320E57">
        <w:rPr>
          <w:b/>
          <w:bCs/>
          <w:sz w:val="28"/>
          <w:szCs w:val="22"/>
          <w:lang w:val="fr-FR"/>
        </w:rPr>
        <w:t>, ITU-T P.</w:t>
      </w:r>
      <w:r w:rsidR="008160DE">
        <w:rPr>
          <w:b/>
          <w:bCs/>
          <w:sz w:val="28"/>
          <w:szCs w:val="22"/>
          <w:lang w:val="fr-FR"/>
        </w:rPr>
        <w:t>913</w:t>
      </w:r>
    </w:p>
    <w:p w14:paraId="26EEA9BD" w14:textId="77777777" w:rsidR="00F94B4C" w:rsidRPr="00320E57" w:rsidRDefault="00F94B4C" w:rsidP="00092594">
      <w:pPr>
        <w:jc w:val="center"/>
        <w:rPr>
          <w:lang w:val="fr-FR" w:eastAsia="ja-JP"/>
        </w:rPr>
      </w:pPr>
    </w:p>
    <w:tbl>
      <w:tblPr>
        <w:tblStyle w:val="TableGrid"/>
        <w:tblW w:w="0" w:type="auto"/>
        <w:tblLook w:val="04A0" w:firstRow="1" w:lastRow="0" w:firstColumn="1" w:lastColumn="0" w:noHBand="0" w:noVBand="1"/>
      </w:tblPr>
      <w:tblGrid>
        <w:gridCol w:w="9719"/>
      </w:tblGrid>
      <w:tr w:rsidR="00AE6D6D" w:rsidRPr="00AE6D6D" w14:paraId="2AB8F7CE" w14:textId="77777777" w:rsidTr="00AE6D6D">
        <w:tc>
          <w:tcPr>
            <w:tcW w:w="9719" w:type="dxa"/>
          </w:tcPr>
          <w:p w14:paraId="67A47212" w14:textId="1E9B4A79" w:rsidR="00AE6D6D" w:rsidRPr="00AE6D6D" w:rsidRDefault="00AE6D6D" w:rsidP="00035BC0">
            <w:pPr>
              <w:spacing w:before="240"/>
              <w:rPr>
                <w:b/>
                <w:bCs/>
                <w:lang w:eastAsia="ja-JP"/>
              </w:rPr>
            </w:pPr>
            <w:r w:rsidRPr="00343E4A">
              <w:rPr>
                <w:b/>
                <w:bCs/>
                <w:lang w:eastAsia="ja-JP"/>
              </w:rPr>
              <w:t xml:space="preserve">Recommendation ITU-T </w:t>
            </w:r>
            <w:r w:rsidR="00320E57" w:rsidRPr="00343E4A">
              <w:rPr>
                <w:b/>
                <w:bCs/>
                <w:lang w:eastAsia="ja-JP"/>
              </w:rPr>
              <w:t>P.</w:t>
            </w:r>
            <w:r w:rsidR="008160DE">
              <w:rPr>
                <w:b/>
                <w:bCs/>
                <w:lang w:eastAsia="ja-JP"/>
              </w:rPr>
              <w:t>911</w:t>
            </w:r>
            <w:r w:rsidRPr="00343E4A">
              <w:rPr>
                <w:b/>
                <w:bCs/>
                <w:lang w:eastAsia="ja-JP"/>
              </w:rPr>
              <w:t xml:space="preserve">, </w:t>
            </w:r>
            <w:r w:rsidR="008160DE" w:rsidRPr="008160DE">
              <w:rPr>
                <w:b/>
                <w:bCs/>
                <w:i/>
                <w:iCs/>
                <w:lang w:eastAsia="ja-JP"/>
              </w:rPr>
              <w:t>Subjective audiovisual quality assessment methods for multimedia applications</w:t>
            </w:r>
            <w:r w:rsidR="00035BC0" w:rsidRPr="00343E4A">
              <w:rPr>
                <w:b/>
                <w:bCs/>
                <w:lang w:eastAsia="ja-JP"/>
              </w:rPr>
              <w:t xml:space="preserve"> (</w:t>
            </w:r>
            <w:r w:rsidR="008160DE">
              <w:rPr>
                <w:b/>
                <w:bCs/>
                <w:lang w:eastAsia="ja-JP"/>
              </w:rPr>
              <w:t>12</w:t>
            </w:r>
            <w:r w:rsidR="00035BC0" w:rsidRPr="00343E4A">
              <w:rPr>
                <w:b/>
                <w:bCs/>
                <w:lang w:eastAsia="ja-JP"/>
              </w:rPr>
              <w:t>/</w:t>
            </w:r>
            <w:r w:rsidR="008160DE">
              <w:rPr>
                <w:b/>
                <w:bCs/>
                <w:lang w:eastAsia="ja-JP"/>
              </w:rPr>
              <w:t>1998</w:t>
            </w:r>
            <w:r w:rsidR="00035BC0" w:rsidRPr="00343E4A">
              <w:rPr>
                <w:b/>
                <w:bCs/>
                <w:lang w:eastAsia="ja-JP"/>
              </w:rPr>
              <w:t>)</w:t>
            </w:r>
          </w:p>
        </w:tc>
      </w:tr>
      <w:tr w:rsidR="00AE6D6D" w:rsidRPr="00AE6D6D" w14:paraId="7F0676E6" w14:textId="77777777" w:rsidTr="00AE6D6D">
        <w:tc>
          <w:tcPr>
            <w:tcW w:w="9719" w:type="dxa"/>
          </w:tcPr>
          <w:p w14:paraId="08E2C75A" w14:textId="1FA81ADD" w:rsidR="00AE6D6D" w:rsidRPr="00AE6D6D" w:rsidRDefault="00AE6D6D" w:rsidP="00DA4BB4">
            <w:pPr>
              <w:rPr>
                <w:i/>
                <w:iCs/>
              </w:rPr>
            </w:pPr>
            <w:r w:rsidRPr="00AE6D6D">
              <w:rPr>
                <w:i/>
                <w:iCs/>
              </w:rPr>
              <w:t>Summary:</w:t>
            </w:r>
          </w:p>
        </w:tc>
      </w:tr>
      <w:tr w:rsidR="00AE6D6D" w:rsidRPr="00AE6D6D" w14:paraId="0F012ABB" w14:textId="77777777" w:rsidTr="00AE6D6D">
        <w:tc>
          <w:tcPr>
            <w:tcW w:w="9719" w:type="dxa"/>
          </w:tcPr>
          <w:p w14:paraId="360C4007" w14:textId="32252130" w:rsidR="00AE6D6D" w:rsidRPr="00AE6D6D" w:rsidRDefault="008160DE" w:rsidP="00343E4A">
            <w:r w:rsidRPr="008160DE">
              <w:t xml:space="preserve">This Recommendation describes non-interactive subjective assessment methods for evaluating the one-way overall audiovisual quality for multimedia applications such as videoconferencing, </w:t>
            </w:r>
            <w:proofErr w:type="gramStart"/>
            <w:r w:rsidRPr="008160DE">
              <w:t>storage</w:t>
            </w:r>
            <w:proofErr w:type="gramEnd"/>
            <w:r w:rsidRPr="008160DE">
              <w:t xml:space="preserve"> and retrieval applications, telemedical applications, etc. These methods can be used for several different purposes including, but not limited to, selection of algorithms, ranking of audiovisual system performance and evaluation of the quality level during an audiovisual connection. When interactive aspects are to be assessed, conversation test methods described in Recommendation P.920 should be used. This Recommendation also outlines the characteristics of the source sequences to be used, like duration, kind of content, number of sequences, etc. </w:t>
            </w:r>
            <w:proofErr w:type="gramStart"/>
            <w:r w:rsidRPr="008160DE">
              <w:t>Finally</w:t>
            </w:r>
            <w:proofErr w:type="gramEnd"/>
            <w:r w:rsidRPr="008160DE">
              <w:t xml:space="preserve"> it provides indications about relation between audio, video and audiovisual quality, as they were derived from results of tests carried out independently in different laboratories.</w:t>
            </w:r>
          </w:p>
        </w:tc>
      </w:tr>
      <w:tr w:rsidR="00AE6D6D" w:rsidRPr="00AE6D6D" w14:paraId="0024077B" w14:textId="77777777" w:rsidTr="00AE6D6D">
        <w:tc>
          <w:tcPr>
            <w:tcW w:w="9719" w:type="dxa"/>
          </w:tcPr>
          <w:p w14:paraId="3AD107C6" w14:textId="76869041" w:rsidR="00AE6D6D" w:rsidRPr="00AE6D6D" w:rsidRDefault="00AE6D6D" w:rsidP="00AE6D6D">
            <w:pPr>
              <w:rPr>
                <w:i/>
                <w:iCs/>
                <w:lang w:eastAsia="ja-JP"/>
              </w:rPr>
            </w:pPr>
            <w:r w:rsidRPr="00AE6D6D">
              <w:rPr>
                <w:i/>
                <w:iCs/>
                <w:lang w:eastAsia="ja-JP"/>
              </w:rPr>
              <w:t>Reasons for the deletion of the Recommendation listed above:</w:t>
            </w:r>
          </w:p>
        </w:tc>
      </w:tr>
      <w:tr w:rsidR="00AE6D6D" w:rsidRPr="00AE6D6D" w14:paraId="0466DE1D" w14:textId="77777777" w:rsidTr="00AE6D6D">
        <w:tc>
          <w:tcPr>
            <w:tcW w:w="9719" w:type="dxa"/>
          </w:tcPr>
          <w:p w14:paraId="7062FBB8" w14:textId="29BA0AE2" w:rsidR="008160DE" w:rsidRPr="0079407B" w:rsidRDefault="008160DE" w:rsidP="008160DE">
            <w:pPr>
              <w:pStyle w:val="Headingb"/>
              <w:spacing w:before="120"/>
              <w:rPr>
                <w:b w:val="0"/>
                <w:szCs w:val="24"/>
              </w:rPr>
            </w:pPr>
            <w:r>
              <w:rPr>
                <w:b w:val="0"/>
                <w:szCs w:val="24"/>
              </w:rPr>
              <w:t xml:space="preserve">Recommendation ITU-T </w:t>
            </w:r>
            <w:r w:rsidRPr="0079407B">
              <w:rPr>
                <w:b w:val="0"/>
                <w:szCs w:val="24"/>
              </w:rPr>
              <w:t>P.910</w:t>
            </w:r>
            <w:r>
              <w:rPr>
                <w:b w:val="0"/>
                <w:szCs w:val="24"/>
              </w:rPr>
              <w:t xml:space="preserve"> “</w:t>
            </w:r>
            <w:r w:rsidRPr="00DF6F29">
              <w:rPr>
                <w:b w:val="0"/>
                <w:i/>
                <w:iCs/>
                <w:szCs w:val="24"/>
              </w:rPr>
              <w:t>Subjective video quality assessment methods for multimedia applications</w:t>
            </w:r>
            <w:r>
              <w:rPr>
                <w:b w:val="0"/>
                <w:szCs w:val="24"/>
              </w:rPr>
              <w:t>”</w:t>
            </w:r>
            <w:r w:rsidRPr="0079407B">
              <w:rPr>
                <w:b w:val="0"/>
                <w:szCs w:val="24"/>
              </w:rPr>
              <w:t xml:space="preserve"> </w:t>
            </w:r>
            <w:r>
              <w:rPr>
                <w:b w:val="0"/>
                <w:szCs w:val="24"/>
              </w:rPr>
              <w:t>was revised incorporating the contents of Recommendations ITU-T</w:t>
            </w:r>
            <w:r w:rsidRPr="007F5153">
              <w:rPr>
                <w:b w:val="0"/>
                <w:szCs w:val="24"/>
              </w:rPr>
              <w:t xml:space="preserve"> P.911 “</w:t>
            </w:r>
            <w:r w:rsidRPr="007F5153">
              <w:rPr>
                <w:b w:val="0"/>
                <w:i/>
                <w:iCs/>
                <w:szCs w:val="24"/>
              </w:rPr>
              <w:t>Subjective audiovisual quality assessment methods for multimedia applications</w:t>
            </w:r>
            <w:r w:rsidRPr="007F5153">
              <w:rPr>
                <w:b w:val="0"/>
                <w:szCs w:val="24"/>
              </w:rPr>
              <w:t xml:space="preserve">” and </w:t>
            </w:r>
            <w:r>
              <w:rPr>
                <w:b w:val="0"/>
                <w:szCs w:val="24"/>
              </w:rPr>
              <w:t xml:space="preserve">ITU-T </w:t>
            </w:r>
            <w:r w:rsidRPr="007F5153">
              <w:rPr>
                <w:b w:val="0"/>
                <w:szCs w:val="24"/>
              </w:rPr>
              <w:t>P.913 “</w:t>
            </w:r>
            <w:r w:rsidRPr="007F5153">
              <w:rPr>
                <w:b w:val="0"/>
                <w:i/>
                <w:iCs/>
                <w:szCs w:val="24"/>
              </w:rPr>
              <w:t>Methods for the subjective assessment of video quality, audio quality and audiovisual quality of Internet video and distribution quality television in any environment</w:t>
            </w:r>
            <w:r w:rsidRPr="007F5153">
              <w:rPr>
                <w:b w:val="0"/>
                <w:szCs w:val="24"/>
              </w:rPr>
              <w:t>”</w:t>
            </w:r>
            <w:r>
              <w:rPr>
                <w:b w:val="0"/>
                <w:szCs w:val="24"/>
              </w:rPr>
              <w:t>.</w:t>
            </w:r>
          </w:p>
          <w:p w14:paraId="013FB747" w14:textId="7499ED06" w:rsidR="00AE6D6D" w:rsidRPr="00AE6D6D" w:rsidRDefault="008160DE" w:rsidP="008160DE">
            <w:pPr>
              <w:pStyle w:val="Headingb"/>
              <w:spacing w:before="120"/>
            </w:pPr>
            <w:r w:rsidRPr="007F5153">
              <w:rPr>
                <w:b w:val="0"/>
                <w:szCs w:val="24"/>
              </w:rPr>
              <w:t xml:space="preserve">Following the approval of </w:t>
            </w:r>
            <w:r w:rsidR="001D3AD4">
              <w:rPr>
                <w:b w:val="0"/>
                <w:szCs w:val="24"/>
              </w:rPr>
              <w:t>revised</w:t>
            </w:r>
            <w:r w:rsidRPr="007F5153">
              <w:rPr>
                <w:b w:val="0"/>
                <w:szCs w:val="24"/>
              </w:rPr>
              <w:t xml:space="preserve"> Recommendation </w:t>
            </w:r>
            <w:r w:rsidR="00487E56">
              <w:rPr>
                <w:b w:val="0"/>
                <w:szCs w:val="24"/>
              </w:rPr>
              <w:t xml:space="preserve">ITU-T </w:t>
            </w:r>
            <w:r w:rsidRPr="007F5153">
              <w:rPr>
                <w:b w:val="0"/>
                <w:szCs w:val="24"/>
              </w:rPr>
              <w:t>P.910</w:t>
            </w:r>
            <w:r w:rsidR="00602350">
              <w:rPr>
                <w:b w:val="0"/>
                <w:szCs w:val="24"/>
              </w:rPr>
              <w:t xml:space="preserve"> (October 2023)</w:t>
            </w:r>
            <w:r w:rsidRPr="007F5153">
              <w:rPr>
                <w:b w:val="0"/>
                <w:szCs w:val="24"/>
              </w:rPr>
              <w:t xml:space="preserve">, </w:t>
            </w:r>
            <w:r>
              <w:rPr>
                <w:b w:val="0"/>
                <w:szCs w:val="24"/>
              </w:rPr>
              <w:t>Recommendations ITU-T</w:t>
            </w:r>
            <w:r w:rsidRPr="007F5153">
              <w:rPr>
                <w:b w:val="0"/>
                <w:szCs w:val="24"/>
              </w:rPr>
              <w:t xml:space="preserve"> P.911 and </w:t>
            </w:r>
            <w:r>
              <w:rPr>
                <w:b w:val="0"/>
                <w:szCs w:val="24"/>
              </w:rPr>
              <w:t xml:space="preserve">ITU-T </w:t>
            </w:r>
            <w:r w:rsidRPr="007F5153">
              <w:rPr>
                <w:b w:val="0"/>
                <w:szCs w:val="24"/>
              </w:rPr>
              <w:t>P.913</w:t>
            </w:r>
            <w:r>
              <w:rPr>
                <w:b w:val="0"/>
                <w:szCs w:val="24"/>
              </w:rPr>
              <w:t xml:space="preserve"> are proposed for deletion.</w:t>
            </w:r>
          </w:p>
        </w:tc>
      </w:tr>
    </w:tbl>
    <w:p w14:paraId="28F34D7B" w14:textId="77777777" w:rsidR="005F755F" w:rsidRDefault="005F755F" w:rsidP="005F755F">
      <w:pPr>
        <w:rPr>
          <w:lang w:eastAsia="ja-JP"/>
        </w:rPr>
      </w:pPr>
    </w:p>
    <w:tbl>
      <w:tblPr>
        <w:tblStyle w:val="TableGrid"/>
        <w:tblW w:w="0" w:type="auto"/>
        <w:tblLook w:val="04A0" w:firstRow="1" w:lastRow="0" w:firstColumn="1" w:lastColumn="0" w:noHBand="0" w:noVBand="1"/>
      </w:tblPr>
      <w:tblGrid>
        <w:gridCol w:w="9719"/>
      </w:tblGrid>
      <w:tr w:rsidR="00035BC0" w:rsidRPr="00AE6D6D" w14:paraId="09A794E6" w14:textId="77777777" w:rsidTr="00D21ECF">
        <w:tc>
          <w:tcPr>
            <w:tcW w:w="9719" w:type="dxa"/>
          </w:tcPr>
          <w:p w14:paraId="5FF308DB" w14:textId="18CC855F" w:rsidR="00035BC0" w:rsidRPr="00AE6D6D" w:rsidRDefault="00035BC0" w:rsidP="00D21ECF">
            <w:pPr>
              <w:spacing w:before="240"/>
              <w:rPr>
                <w:b/>
                <w:bCs/>
                <w:lang w:eastAsia="ja-JP"/>
              </w:rPr>
            </w:pPr>
            <w:r w:rsidRPr="00343E4A">
              <w:rPr>
                <w:b/>
                <w:bCs/>
                <w:lang w:eastAsia="ja-JP"/>
              </w:rPr>
              <w:t xml:space="preserve">Recommendation ITU-T </w:t>
            </w:r>
            <w:r w:rsidR="00320E57" w:rsidRPr="00343E4A">
              <w:rPr>
                <w:b/>
                <w:bCs/>
                <w:lang w:eastAsia="ja-JP"/>
              </w:rPr>
              <w:t>P.</w:t>
            </w:r>
            <w:r w:rsidR="008160DE">
              <w:rPr>
                <w:b/>
                <w:bCs/>
                <w:lang w:eastAsia="ja-JP"/>
              </w:rPr>
              <w:t>913</w:t>
            </w:r>
            <w:r w:rsidRPr="00343E4A">
              <w:rPr>
                <w:b/>
                <w:bCs/>
                <w:lang w:eastAsia="ja-JP"/>
              </w:rPr>
              <w:t xml:space="preserve">, </w:t>
            </w:r>
            <w:r w:rsidR="008160DE" w:rsidRPr="008160DE">
              <w:rPr>
                <w:b/>
                <w:bCs/>
                <w:i/>
                <w:iCs/>
                <w:lang w:eastAsia="ja-JP"/>
              </w:rPr>
              <w:t>Methods for the subjective assessment of video quality, audio quality and audiovisual quality of Internet video and distribution quality television in any environment</w:t>
            </w:r>
            <w:r w:rsidRPr="00343E4A">
              <w:rPr>
                <w:b/>
                <w:bCs/>
                <w:lang w:eastAsia="ja-JP"/>
              </w:rPr>
              <w:t xml:space="preserve"> (</w:t>
            </w:r>
            <w:r w:rsidR="008160DE">
              <w:rPr>
                <w:b/>
                <w:bCs/>
                <w:lang w:eastAsia="ja-JP"/>
              </w:rPr>
              <w:t>06</w:t>
            </w:r>
            <w:r w:rsidRPr="00343E4A">
              <w:rPr>
                <w:b/>
                <w:bCs/>
                <w:lang w:eastAsia="ja-JP"/>
              </w:rPr>
              <w:t>/</w:t>
            </w:r>
            <w:r w:rsidR="00320E57" w:rsidRPr="00343E4A">
              <w:rPr>
                <w:b/>
                <w:bCs/>
                <w:lang w:eastAsia="ja-JP"/>
              </w:rPr>
              <w:t>20</w:t>
            </w:r>
            <w:r w:rsidR="008160DE">
              <w:rPr>
                <w:b/>
                <w:bCs/>
                <w:lang w:eastAsia="ja-JP"/>
              </w:rPr>
              <w:t>21</w:t>
            </w:r>
            <w:r w:rsidRPr="00343E4A">
              <w:rPr>
                <w:b/>
                <w:bCs/>
                <w:lang w:eastAsia="ja-JP"/>
              </w:rPr>
              <w:t>)</w:t>
            </w:r>
          </w:p>
        </w:tc>
      </w:tr>
      <w:tr w:rsidR="00035BC0" w:rsidRPr="00AE6D6D" w14:paraId="36D3DBC6" w14:textId="77777777" w:rsidTr="00D21ECF">
        <w:tc>
          <w:tcPr>
            <w:tcW w:w="9719" w:type="dxa"/>
          </w:tcPr>
          <w:p w14:paraId="7D07FF23" w14:textId="77777777" w:rsidR="00035BC0" w:rsidRPr="00AE6D6D" w:rsidRDefault="00035BC0" w:rsidP="00D21ECF">
            <w:pPr>
              <w:rPr>
                <w:i/>
                <w:iCs/>
              </w:rPr>
            </w:pPr>
            <w:r w:rsidRPr="00AE6D6D">
              <w:rPr>
                <w:i/>
                <w:iCs/>
              </w:rPr>
              <w:t>Summary:</w:t>
            </w:r>
          </w:p>
        </w:tc>
      </w:tr>
      <w:tr w:rsidR="00035BC0" w:rsidRPr="00AE6D6D" w14:paraId="22C56239" w14:textId="77777777" w:rsidTr="00D21ECF">
        <w:tc>
          <w:tcPr>
            <w:tcW w:w="9719" w:type="dxa"/>
          </w:tcPr>
          <w:p w14:paraId="78A310B8" w14:textId="0CDC50BA" w:rsidR="00035BC0" w:rsidRPr="00AE6D6D" w:rsidRDefault="008160DE" w:rsidP="00343E4A">
            <w:r w:rsidRPr="008160DE">
              <w:t>Recommendation ITU-T P.913 describes non-interactive subjective assessment methods for evaluating the one-way overall video quality, audio quality and audiovisual quality for applications such as Internet video and distribution quality video. These methods can be used for several different purposes including, but not limited to, comparing the quality of multiple devices, comparing the performance of a device in multiple environments, and for subjective assessment where the quality impact of the device and the audiovisual material is confounded.</w:t>
            </w:r>
          </w:p>
        </w:tc>
      </w:tr>
      <w:tr w:rsidR="00035BC0" w:rsidRPr="00AE6D6D" w14:paraId="41DCA080" w14:textId="77777777" w:rsidTr="00D21ECF">
        <w:tc>
          <w:tcPr>
            <w:tcW w:w="9719" w:type="dxa"/>
          </w:tcPr>
          <w:p w14:paraId="0955F675" w14:textId="160E47CA" w:rsidR="00035BC0" w:rsidRPr="00AE6D6D" w:rsidRDefault="00035BC0" w:rsidP="00D21ECF">
            <w:pPr>
              <w:rPr>
                <w:i/>
                <w:iCs/>
                <w:lang w:eastAsia="ja-JP"/>
              </w:rPr>
            </w:pPr>
            <w:r w:rsidRPr="00AE6D6D">
              <w:rPr>
                <w:i/>
                <w:iCs/>
                <w:lang w:eastAsia="ja-JP"/>
              </w:rPr>
              <w:t>Reasons for the deletion of the Recommendation listed above:</w:t>
            </w:r>
          </w:p>
        </w:tc>
      </w:tr>
      <w:tr w:rsidR="00343E4A" w:rsidRPr="00AE6D6D" w14:paraId="2B800FC1" w14:textId="77777777" w:rsidTr="00D21ECF">
        <w:tc>
          <w:tcPr>
            <w:tcW w:w="9719" w:type="dxa"/>
          </w:tcPr>
          <w:p w14:paraId="3941C71A" w14:textId="1AB4DCF5" w:rsidR="00343E4A" w:rsidRPr="00AE6D6D" w:rsidRDefault="00343E4A" w:rsidP="00D21ECF">
            <w:pPr>
              <w:rPr>
                <w:i/>
                <w:iCs/>
                <w:lang w:eastAsia="ja-JP"/>
              </w:rPr>
            </w:pPr>
            <w:r w:rsidRPr="00343E4A">
              <w:rPr>
                <w:lang w:eastAsia="ja-JP"/>
              </w:rPr>
              <w:t>See reason</w:t>
            </w:r>
            <w:r>
              <w:rPr>
                <w:lang w:eastAsia="ja-JP"/>
              </w:rPr>
              <w:t>s</w:t>
            </w:r>
            <w:r w:rsidRPr="00343E4A">
              <w:rPr>
                <w:lang w:eastAsia="ja-JP"/>
              </w:rPr>
              <w:t xml:space="preserve"> for deletion of </w:t>
            </w:r>
            <w:r w:rsidR="008160DE" w:rsidRPr="00343E4A">
              <w:rPr>
                <w:b/>
                <w:bCs/>
                <w:lang w:eastAsia="ja-JP"/>
              </w:rPr>
              <w:t>Recommendation ITU-T P.</w:t>
            </w:r>
            <w:r w:rsidR="008160DE">
              <w:rPr>
                <w:b/>
                <w:bCs/>
                <w:lang w:eastAsia="ja-JP"/>
              </w:rPr>
              <w:t>911</w:t>
            </w:r>
            <w:r w:rsidR="008160DE" w:rsidRPr="00343E4A">
              <w:rPr>
                <w:b/>
                <w:bCs/>
                <w:lang w:eastAsia="ja-JP"/>
              </w:rPr>
              <w:t xml:space="preserve">, </w:t>
            </w:r>
            <w:r w:rsidR="008160DE" w:rsidRPr="008160DE">
              <w:rPr>
                <w:b/>
                <w:bCs/>
                <w:i/>
                <w:iCs/>
                <w:lang w:eastAsia="ja-JP"/>
              </w:rPr>
              <w:t>Subjective audiovisual quality assessment methods for multimedia applications</w:t>
            </w:r>
            <w:r w:rsidR="008160DE" w:rsidRPr="00343E4A">
              <w:rPr>
                <w:b/>
                <w:bCs/>
                <w:lang w:eastAsia="ja-JP"/>
              </w:rPr>
              <w:t xml:space="preserve"> (</w:t>
            </w:r>
            <w:r w:rsidR="008160DE">
              <w:rPr>
                <w:b/>
                <w:bCs/>
                <w:lang w:eastAsia="ja-JP"/>
              </w:rPr>
              <w:t>12</w:t>
            </w:r>
            <w:r w:rsidR="008160DE" w:rsidRPr="00343E4A">
              <w:rPr>
                <w:b/>
                <w:bCs/>
                <w:lang w:eastAsia="ja-JP"/>
              </w:rPr>
              <w:t>/</w:t>
            </w:r>
            <w:r w:rsidR="008160DE">
              <w:rPr>
                <w:b/>
                <w:bCs/>
                <w:lang w:eastAsia="ja-JP"/>
              </w:rPr>
              <w:t>1998</w:t>
            </w:r>
            <w:r w:rsidR="008160DE" w:rsidRPr="00343E4A">
              <w:rPr>
                <w:b/>
                <w:bCs/>
                <w:lang w:eastAsia="ja-JP"/>
              </w:rPr>
              <w:t>)</w:t>
            </w:r>
            <w:r w:rsidR="008160DE">
              <w:rPr>
                <w:b/>
                <w:bCs/>
                <w:lang w:eastAsia="ja-JP"/>
              </w:rPr>
              <w:t>.</w:t>
            </w:r>
          </w:p>
        </w:tc>
      </w:tr>
    </w:tbl>
    <w:p w14:paraId="18F0353D" w14:textId="3ED5A375" w:rsidR="00633FD9" w:rsidRPr="005F755F" w:rsidRDefault="00633FD9" w:rsidP="00633FD9">
      <w:pPr>
        <w:jc w:val="center"/>
        <w:rPr>
          <w:lang w:eastAsia="ja-JP"/>
        </w:rPr>
      </w:pPr>
    </w:p>
    <w:sectPr w:rsidR="00633FD9" w:rsidRPr="005F755F" w:rsidSect="006D775C">
      <w:headerReference w:type="default" r:id="rId14"/>
      <w:footerReference w:type="default" r:id="rId15"/>
      <w:headerReference w:type="firs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84A4" w14:textId="77777777" w:rsidR="00213A89" w:rsidRDefault="00213A89">
      <w:r>
        <w:separator/>
      </w:r>
    </w:p>
  </w:endnote>
  <w:endnote w:type="continuationSeparator" w:id="0">
    <w:p w14:paraId="79FE89A1" w14:textId="77777777" w:rsidR="00213A89" w:rsidRDefault="00213A89">
      <w:r>
        <w:continuationSeparator/>
      </w:r>
    </w:p>
  </w:endnote>
  <w:endnote w:type="continuationNotice" w:id="1">
    <w:p w14:paraId="648B0075" w14:textId="77777777" w:rsidR="00213A89" w:rsidRDefault="00213A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77777777" w:rsidR="006D775C" w:rsidRDefault="006D775C"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6D775C" w:rsidRPr="00BA1F70" w:rsidRDefault="00D40F22">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7BCA" w14:textId="77777777" w:rsidR="00213A89" w:rsidRDefault="00213A89">
      <w:r>
        <w:t>____________________</w:t>
      </w:r>
    </w:p>
  </w:footnote>
  <w:footnote w:type="continuationSeparator" w:id="0">
    <w:p w14:paraId="53CAD1FD" w14:textId="77777777" w:rsidR="00213A89" w:rsidRDefault="00213A89">
      <w:r>
        <w:continuationSeparator/>
      </w:r>
    </w:p>
  </w:footnote>
  <w:footnote w:type="continuationNotice" w:id="1">
    <w:p w14:paraId="7EEBBB51" w14:textId="77777777" w:rsidR="00213A89" w:rsidRDefault="00213A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36C" w14:textId="37F0973F" w:rsidR="005815AD" w:rsidRDefault="005815A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3C5AE7">
      <w:rPr>
        <w:noProof/>
        <w:sz w:val="18"/>
      </w:rPr>
      <w:t>3</w:t>
    </w:r>
    <w:r w:rsidRPr="00D8656F">
      <w:rPr>
        <w:noProof/>
        <w:sz w:val="18"/>
      </w:rPr>
      <w:fldChar w:fldCharType="end"/>
    </w:r>
    <w:r w:rsidRPr="00D8656F">
      <w:rPr>
        <w:noProof/>
        <w:sz w:val="18"/>
      </w:rPr>
      <w:t xml:space="preserve"> -</w:t>
    </w:r>
    <w:r w:rsidRPr="00D8656F">
      <w:rPr>
        <w:noProof/>
        <w:sz w:val="18"/>
      </w:rPr>
      <w:br/>
    </w:r>
    <w:r w:rsidR="00C978EA">
      <w:rPr>
        <w:sz w:val="18"/>
      </w:rPr>
      <w:fldChar w:fldCharType="begin"/>
    </w:r>
    <w:r w:rsidR="00C978EA">
      <w:rPr>
        <w:sz w:val="18"/>
      </w:rPr>
      <w:instrText xml:space="preserve"> styleref TSBCircNo </w:instrText>
    </w:r>
    <w:r w:rsidR="00C978EA">
      <w:rPr>
        <w:sz w:val="18"/>
      </w:rPr>
      <w:fldChar w:fldCharType="separate"/>
    </w:r>
    <w:r w:rsidR="004F6868">
      <w:rPr>
        <w:noProof/>
        <w:sz w:val="18"/>
      </w:rPr>
      <w:t>TSB Circular 147</w:t>
    </w:r>
    <w:r w:rsidR="00C978EA">
      <w:rPr>
        <w:sz w:val="18"/>
      </w:rPr>
      <w:fldChar w:fldCharType="end"/>
    </w:r>
  </w:p>
  <w:p w14:paraId="048A0CB5" w14:textId="77777777" w:rsidR="006D775C" w:rsidRDefault="006D775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7107ED0C" w14:paraId="66310683" w14:textId="77777777" w:rsidTr="7107ED0C">
      <w:trPr>
        <w:trHeight w:val="300"/>
      </w:trPr>
      <w:tc>
        <w:tcPr>
          <w:tcW w:w="3240" w:type="dxa"/>
        </w:tcPr>
        <w:p w14:paraId="69CDFE52" w14:textId="72F823FA" w:rsidR="7107ED0C" w:rsidRDefault="7107ED0C" w:rsidP="7107ED0C">
          <w:pPr>
            <w:pStyle w:val="Header"/>
            <w:ind w:left="-115"/>
            <w:jc w:val="left"/>
          </w:pPr>
        </w:p>
      </w:tc>
      <w:tc>
        <w:tcPr>
          <w:tcW w:w="3240" w:type="dxa"/>
        </w:tcPr>
        <w:p w14:paraId="5A5C000E" w14:textId="4FE54A74" w:rsidR="7107ED0C" w:rsidRDefault="7107ED0C" w:rsidP="7107ED0C">
          <w:pPr>
            <w:pStyle w:val="Header"/>
          </w:pPr>
        </w:p>
      </w:tc>
      <w:tc>
        <w:tcPr>
          <w:tcW w:w="3240" w:type="dxa"/>
        </w:tcPr>
        <w:p w14:paraId="131562F1" w14:textId="7B0BE499" w:rsidR="7107ED0C" w:rsidRDefault="7107ED0C" w:rsidP="7107ED0C">
          <w:pPr>
            <w:pStyle w:val="Header"/>
            <w:ind w:right="-115"/>
            <w:jc w:val="right"/>
          </w:pPr>
        </w:p>
      </w:tc>
    </w:tr>
  </w:tbl>
  <w:p w14:paraId="7EA74EE4" w14:textId="4998EB6B" w:rsidR="7107ED0C" w:rsidRDefault="7107ED0C" w:rsidP="7107E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C21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41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67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865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AEAF7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C60D5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5206F8"/>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AAD6C"/>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CA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DC8B7C"/>
    <w:lvl w:ilvl="0">
      <w:start w:val="1"/>
      <w:numFmt w:val="bullet"/>
      <w:lvlText w:val="ï‚·"/>
      <w:lvlJc w:val="left"/>
      <w:pPr>
        <w:tabs>
          <w:tab w:val="num" w:pos="360"/>
        </w:tabs>
        <w:ind w:left="360" w:hanging="360"/>
      </w:pPr>
      <w:rPr>
        <w:rFonts w:ascii="Symbol" w:hAnsi="Symbol" w:hint="default"/>
      </w:rPr>
    </w:lvl>
  </w:abstractNum>
  <w:num w:numId="1" w16cid:durableId="126626336">
    <w:abstractNumId w:val="9"/>
  </w:num>
  <w:num w:numId="2" w16cid:durableId="33822063">
    <w:abstractNumId w:val="7"/>
  </w:num>
  <w:num w:numId="3" w16cid:durableId="2081828596">
    <w:abstractNumId w:val="6"/>
  </w:num>
  <w:num w:numId="4" w16cid:durableId="1093747203">
    <w:abstractNumId w:val="5"/>
  </w:num>
  <w:num w:numId="5" w16cid:durableId="1679573341">
    <w:abstractNumId w:val="4"/>
  </w:num>
  <w:num w:numId="6" w16cid:durableId="1850366352">
    <w:abstractNumId w:val="8"/>
  </w:num>
  <w:num w:numId="7" w16cid:durableId="222716763">
    <w:abstractNumId w:val="3"/>
  </w:num>
  <w:num w:numId="8" w16cid:durableId="969094415">
    <w:abstractNumId w:val="2"/>
  </w:num>
  <w:num w:numId="9" w16cid:durableId="1615135447">
    <w:abstractNumId w:val="1"/>
  </w:num>
  <w:num w:numId="10" w16cid:durableId="39886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07ACD"/>
    <w:rsid w:val="000227D6"/>
    <w:rsid w:val="00035BC0"/>
    <w:rsid w:val="00071F8A"/>
    <w:rsid w:val="00084429"/>
    <w:rsid w:val="00092594"/>
    <w:rsid w:val="00096EBE"/>
    <w:rsid w:val="000A0633"/>
    <w:rsid w:val="000C4E32"/>
    <w:rsid w:val="000F6929"/>
    <w:rsid w:val="0012229C"/>
    <w:rsid w:val="001501A1"/>
    <w:rsid w:val="00165A31"/>
    <w:rsid w:val="001D3AD4"/>
    <w:rsid w:val="001D496F"/>
    <w:rsid w:val="001F4E42"/>
    <w:rsid w:val="00213A89"/>
    <w:rsid w:val="00274AB0"/>
    <w:rsid w:val="002C29D2"/>
    <w:rsid w:val="002C6516"/>
    <w:rsid w:val="00311C30"/>
    <w:rsid w:val="00315F99"/>
    <w:rsid w:val="00320E57"/>
    <w:rsid w:val="00343E4A"/>
    <w:rsid w:val="00367459"/>
    <w:rsid w:val="003C5AE7"/>
    <w:rsid w:val="003C757A"/>
    <w:rsid w:val="0041348B"/>
    <w:rsid w:val="004254CA"/>
    <w:rsid w:val="004359A2"/>
    <w:rsid w:val="00451E27"/>
    <w:rsid w:val="00451EB2"/>
    <w:rsid w:val="00473270"/>
    <w:rsid w:val="00473ECD"/>
    <w:rsid w:val="00487E56"/>
    <w:rsid w:val="004C1BA8"/>
    <w:rsid w:val="004C2F91"/>
    <w:rsid w:val="004F6868"/>
    <w:rsid w:val="005308BC"/>
    <w:rsid w:val="00533D70"/>
    <w:rsid w:val="00547E35"/>
    <w:rsid w:val="005638D8"/>
    <w:rsid w:val="005641A3"/>
    <w:rsid w:val="005815AD"/>
    <w:rsid w:val="00592EA7"/>
    <w:rsid w:val="005A5D84"/>
    <w:rsid w:val="005D076C"/>
    <w:rsid w:val="005F755F"/>
    <w:rsid w:val="00602350"/>
    <w:rsid w:val="00631EE3"/>
    <w:rsid w:val="00633FD9"/>
    <w:rsid w:val="00640A58"/>
    <w:rsid w:val="00653A8A"/>
    <w:rsid w:val="00653BB2"/>
    <w:rsid w:val="00686C31"/>
    <w:rsid w:val="00690EE4"/>
    <w:rsid w:val="006D775C"/>
    <w:rsid w:val="006F458F"/>
    <w:rsid w:val="00746EA0"/>
    <w:rsid w:val="00764513"/>
    <w:rsid w:val="00780241"/>
    <w:rsid w:val="007827C2"/>
    <w:rsid w:val="00785CF9"/>
    <w:rsid w:val="00790E09"/>
    <w:rsid w:val="007B10E9"/>
    <w:rsid w:val="007B2E56"/>
    <w:rsid w:val="007C067C"/>
    <w:rsid w:val="007C0DA1"/>
    <w:rsid w:val="007C6A2C"/>
    <w:rsid w:val="007D62C6"/>
    <w:rsid w:val="007F1638"/>
    <w:rsid w:val="008160DE"/>
    <w:rsid w:val="00822DE4"/>
    <w:rsid w:val="00855EAC"/>
    <w:rsid w:val="008A50E0"/>
    <w:rsid w:val="008B00F6"/>
    <w:rsid w:val="008F16B1"/>
    <w:rsid w:val="00904FCA"/>
    <w:rsid w:val="00910DBF"/>
    <w:rsid w:val="00921325"/>
    <w:rsid w:val="009443EA"/>
    <w:rsid w:val="009A552F"/>
    <w:rsid w:val="009A6444"/>
    <w:rsid w:val="009B44E9"/>
    <w:rsid w:val="00A15086"/>
    <w:rsid w:val="00A15CAC"/>
    <w:rsid w:val="00AA4679"/>
    <w:rsid w:val="00AD1682"/>
    <w:rsid w:val="00AE6D6D"/>
    <w:rsid w:val="00B049BB"/>
    <w:rsid w:val="00B213B1"/>
    <w:rsid w:val="00B347F0"/>
    <w:rsid w:val="00B45B51"/>
    <w:rsid w:val="00B53441"/>
    <w:rsid w:val="00BA1F70"/>
    <w:rsid w:val="00BC730F"/>
    <w:rsid w:val="00BD4B85"/>
    <w:rsid w:val="00C02B28"/>
    <w:rsid w:val="00C3125F"/>
    <w:rsid w:val="00C338BE"/>
    <w:rsid w:val="00C8766D"/>
    <w:rsid w:val="00C978EA"/>
    <w:rsid w:val="00CC752A"/>
    <w:rsid w:val="00D07810"/>
    <w:rsid w:val="00D40F22"/>
    <w:rsid w:val="00D82C10"/>
    <w:rsid w:val="00D84BD4"/>
    <w:rsid w:val="00D87885"/>
    <w:rsid w:val="00DC324F"/>
    <w:rsid w:val="00E41008"/>
    <w:rsid w:val="00E42063"/>
    <w:rsid w:val="00E939A5"/>
    <w:rsid w:val="00EB12C2"/>
    <w:rsid w:val="00F24281"/>
    <w:rsid w:val="00F37A64"/>
    <w:rsid w:val="00F441C6"/>
    <w:rsid w:val="00F51780"/>
    <w:rsid w:val="00F7366F"/>
    <w:rsid w:val="00F94B4C"/>
    <w:rsid w:val="00FB1396"/>
    <w:rsid w:val="00FD23E6"/>
    <w:rsid w:val="315C3A3D"/>
    <w:rsid w:val="701521DE"/>
    <w:rsid w:val="7107ED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link w:val="HeadingbChar"/>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customStyle="1" w:styleId="TSBCircNo">
    <w:name w:val="TSBCircNo"/>
    <w:basedOn w:val="Tabletext"/>
    <w:rsid w:val="00C978EA"/>
    <w:pPr>
      <w:framePr w:hSpace="181" w:wrap="around" w:vAnchor="page" w:hAnchor="margin" w:xAlign="center" w:y="664"/>
    </w:pPr>
    <w:rPr>
      <w:b/>
      <w:bCs/>
      <w:sz w:val="22"/>
      <w:szCs w:val="18"/>
    </w:rPr>
  </w:style>
  <w:style w:type="character" w:styleId="Mention">
    <w:name w:val="Mention"/>
    <w:basedOn w:val="DefaultParagraphFont"/>
    <w:uiPriority w:val="99"/>
    <w:unhideWhenUsed/>
    <w:rsid w:val="009A6444"/>
    <w:rPr>
      <w:color w:val="2B579A"/>
      <w:shd w:val="clear" w:color="auto" w:fill="E1DFDD"/>
    </w:rPr>
  </w:style>
  <w:style w:type="table" w:styleId="TableGrid">
    <w:name w:val="Table Grid"/>
    <w:basedOn w:val="TableNormal"/>
    <w:rsid w:val="00AE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0E57"/>
    <w:rPr>
      <w:color w:val="605E5C"/>
      <w:shd w:val="clear" w:color="auto" w:fill="E1DFDD"/>
    </w:rPr>
  </w:style>
  <w:style w:type="character" w:customStyle="1" w:styleId="HeadingbChar">
    <w:name w:val="Heading_b Char"/>
    <w:link w:val="Headingb"/>
    <w:locked/>
    <w:rsid w:val="008160DE"/>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204">
      <w:bodyDiv w:val="1"/>
      <w:marLeft w:val="0"/>
      <w:marRight w:val="0"/>
      <w:marTop w:val="0"/>
      <w:marBottom w:val="0"/>
      <w:divBdr>
        <w:top w:val="none" w:sz="0" w:space="0" w:color="auto"/>
        <w:left w:val="none" w:sz="0" w:space="0" w:color="auto"/>
        <w:bottom w:val="none" w:sz="0" w:space="0" w:color="auto"/>
        <w:right w:val="none" w:sz="0" w:space="0" w:color="auto"/>
      </w:divBdr>
      <w:divsChild>
        <w:div w:id="595093596">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384645023">
      <w:bodyDiv w:val="1"/>
      <w:marLeft w:val="0"/>
      <w:marRight w:val="0"/>
      <w:marTop w:val="0"/>
      <w:marBottom w:val="0"/>
      <w:divBdr>
        <w:top w:val="none" w:sz="0" w:space="0" w:color="auto"/>
        <w:left w:val="none" w:sz="0" w:space="0" w:color="auto"/>
        <w:bottom w:val="none" w:sz="0" w:space="0" w:color="auto"/>
        <w:right w:val="none" w:sz="0" w:space="0" w:color="auto"/>
      </w:divBdr>
      <w:divsChild>
        <w:div w:id="191844424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50544289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7379287">
      <w:bodyDiv w:val="1"/>
      <w:marLeft w:val="0"/>
      <w:marRight w:val="0"/>
      <w:marTop w:val="0"/>
      <w:marBottom w:val="0"/>
      <w:divBdr>
        <w:top w:val="none" w:sz="0" w:space="0" w:color="auto"/>
        <w:left w:val="none" w:sz="0" w:space="0" w:color="auto"/>
        <w:bottom w:val="none" w:sz="0" w:space="0" w:color="auto"/>
        <w:right w:val="none" w:sz="0" w:space="0" w:color="auto"/>
      </w:divBdr>
      <w:divsChild>
        <w:div w:id="816148627">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18909908">
      <w:bodyDiv w:val="1"/>
      <w:marLeft w:val="0"/>
      <w:marRight w:val="0"/>
      <w:marTop w:val="0"/>
      <w:marBottom w:val="0"/>
      <w:divBdr>
        <w:top w:val="none" w:sz="0" w:space="0" w:color="auto"/>
        <w:left w:val="none" w:sz="0" w:space="0" w:color="auto"/>
        <w:bottom w:val="none" w:sz="0" w:space="0" w:color="auto"/>
        <w:right w:val="none" w:sz="0" w:space="0" w:color="auto"/>
      </w:divBdr>
      <w:divsChild>
        <w:div w:id="175512270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158620408">
      <w:bodyDiv w:val="1"/>
      <w:marLeft w:val="0"/>
      <w:marRight w:val="0"/>
      <w:marTop w:val="0"/>
      <w:marBottom w:val="0"/>
      <w:divBdr>
        <w:top w:val="none" w:sz="0" w:space="0" w:color="auto"/>
        <w:left w:val="none" w:sz="0" w:space="0" w:color="auto"/>
        <w:bottom w:val="none" w:sz="0" w:space="0" w:color="auto"/>
        <w:right w:val="none" w:sz="0" w:space="0" w:color="auto"/>
      </w:divBdr>
      <w:divsChild>
        <w:div w:id="208413580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172530945">
      <w:bodyDiv w:val="1"/>
      <w:marLeft w:val="0"/>
      <w:marRight w:val="0"/>
      <w:marTop w:val="0"/>
      <w:marBottom w:val="0"/>
      <w:divBdr>
        <w:top w:val="none" w:sz="0" w:space="0" w:color="auto"/>
        <w:left w:val="none" w:sz="0" w:space="0" w:color="auto"/>
        <w:bottom w:val="none" w:sz="0" w:space="0" w:color="auto"/>
        <w:right w:val="none" w:sz="0" w:space="0" w:color="auto"/>
      </w:divBdr>
      <w:divsChild>
        <w:div w:id="246426813">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418208792">
      <w:bodyDiv w:val="1"/>
      <w:marLeft w:val="0"/>
      <w:marRight w:val="0"/>
      <w:marTop w:val="0"/>
      <w:marBottom w:val="0"/>
      <w:divBdr>
        <w:top w:val="none" w:sz="0" w:space="0" w:color="auto"/>
        <w:left w:val="none" w:sz="0" w:space="0" w:color="auto"/>
        <w:bottom w:val="none" w:sz="0" w:space="0" w:color="auto"/>
        <w:right w:val="none" w:sz="0" w:space="0" w:color="auto"/>
      </w:divBdr>
      <w:divsChild>
        <w:div w:id="2030909990">
          <w:marLeft w:val="0"/>
          <w:marRight w:val="0"/>
          <w:marTop w:val="0"/>
          <w:marBottom w:val="0"/>
          <w:divBdr>
            <w:top w:val="single" w:sz="6" w:space="0" w:color="808080"/>
            <w:left w:val="single" w:sz="6" w:space="4" w:color="808080"/>
            <w:bottom w:val="single" w:sz="6" w:space="0" w:color="808080"/>
            <w:right w:val="single" w:sz="6" w:space="4" w:color="808080"/>
          </w:divBdr>
        </w:div>
      </w:divsChild>
    </w:div>
    <w:div w:id="162137345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56">
          <w:marLeft w:val="0"/>
          <w:marRight w:val="0"/>
          <w:marTop w:val="0"/>
          <w:marBottom w:val="0"/>
          <w:divBdr>
            <w:top w:val="single" w:sz="6" w:space="0" w:color="808080"/>
            <w:left w:val="single" w:sz="6" w:space="4" w:color="808080"/>
            <w:bottom w:val="single" w:sz="6" w:space="0"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sg12@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tu.i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38c2fb-f919-419c-a17c-617fee3c8b80">
      <Terms xmlns="http://schemas.microsoft.com/office/infopath/2007/PartnerControls"/>
    </lcf76f155ced4ddcb4097134ff3c332f>
    <TaxCatchAll xmlns="fb0eb7e9-6560-4c49-b26e-dd8179726d23" xsi:nil="true"/>
    <SharedWithUsers xmlns="fb0eb7e9-6560-4c49-b26e-dd8179726d23">
      <UserInfo>
        <DisplayName>Labare, Emmanuelle</DisplayName>
        <AccountId>11</AccountId>
        <AccountType/>
      </UserInfo>
      <UserInfo>
        <DisplayName>Makamara, Gillian</DisplayName>
        <AccountId>13</AccountId>
        <AccountType/>
      </UserInfo>
      <UserInfo>
        <DisplayName>Adolph, Martin</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6" ma:contentTypeDescription="Create a new document." ma:contentTypeScope="" ma:versionID="463a2058ef5439e219e7795073e524eb">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22722f72ad472454eb5cc3ac0f4dd3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0b6a4b-c6cc-465e-bfc3-b9bfd64cd6e2}" ma:internalName="TaxCatchAll" ma:showField="CatchAllData" ma:web="fb0eb7e9-6560-4c49-b26e-dd817972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673D7-7EDE-42DA-B306-6F990909AE49}">
  <ds:schemaRefs>
    <ds:schemaRef ds:uri="http://schemas.microsoft.com/office/2006/metadata/properties"/>
    <ds:schemaRef ds:uri="http://schemas.microsoft.com/office/infopath/2007/PartnerControls"/>
    <ds:schemaRef ds:uri="1238c2fb-f919-419c-a17c-617fee3c8b80"/>
    <ds:schemaRef ds:uri="fb0eb7e9-6560-4c49-b26e-dd8179726d23"/>
  </ds:schemaRefs>
</ds:datastoreItem>
</file>

<file path=customXml/itemProps2.xml><?xml version="1.0" encoding="utf-8"?>
<ds:datastoreItem xmlns:ds="http://schemas.openxmlformats.org/officeDocument/2006/customXml" ds:itemID="{B515DE4B-CF4C-4D5D-B6F0-EB903DC6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77CA2-4BF7-45BF-82C4-4A107FB7C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Braud, Olivia</cp:lastModifiedBy>
  <cp:revision>9</cp:revision>
  <cp:lastPrinted>2023-10-31T12:23:00Z</cp:lastPrinted>
  <dcterms:created xsi:type="dcterms:W3CDTF">2023-10-30T09:23:00Z</dcterms:created>
  <dcterms:modified xsi:type="dcterms:W3CDTF">2023-10-31T12:24:00Z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ediaServiceImageTags">
    <vt:lpwstr/>
  </property>
</Properties>
</file>