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6957BC" w14:paraId="4FC72EF9" w14:textId="77777777" w:rsidTr="7107ED0C">
        <w:trPr>
          <w:trHeight w:val="1282"/>
          <w:jc w:val="center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37BCF" w:rsidRDefault="00B049BB" w:rsidP="00C978EA">
            <w:pPr>
              <w:pStyle w:val="Tabletext"/>
              <w:jc w:val="center"/>
              <w:rPr>
                <w:lang w:val="ru-RU"/>
              </w:rPr>
            </w:pPr>
            <w:r w:rsidRPr="00D37BCF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37BCF" w:rsidRDefault="00D40F22" w:rsidP="00C978EA">
            <w:pPr>
              <w:spacing w:before="0"/>
              <w:rPr>
                <w:rFonts w:cs="Times New Roman Bold"/>
                <w:b/>
                <w:bCs/>
                <w:smallCaps/>
                <w:sz w:val="36"/>
                <w:szCs w:val="36"/>
                <w:lang w:val="ru-RU"/>
              </w:rPr>
            </w:pPr>
            <w:r w:rsidRPr="00D37BCF">
              <w:rPr>
                <w:b/>
                <w:bCs/>
                <w:sz w:val="36"/>
                <w:szCs w:val="36"/>
                <w:lang w:val="ru-RU"/>
              </w:rPr>
              <w:t>Международный союз электросвязи</w:t>
            </w:r>
          </w:p>
          <w:p w14:paraId="2B359B3B" w14:textId="77777777" w:rsidR="006D775C" w:rsidRPr="00D37BCF" w:rsidRDefault="00D40F22" w:rsidP="00C978EA">
            <w:pPr>
              <w:spacing w:before="0"/>
              <w:rPr>
                <w:rFonts w:ascii="Verdana" w:hAnsi="Verdana"/>
                <w:color w:val="FFFFFF"/>
                <w:sz w:val="28"/>
                <w:szCs w:val="28"/>
                <w:lang w:val="ru-RU"/>
              </w:rPr>
            </w:pPr>
            <w:r w:rsidRPr="00D37BCF">
              <w:rPr>
                <w:b/>
                <w:bCs/>
                <w:sz w:val="28"/>
                <w:szCs w:val="28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D37BCF" w:rsidRDefault="006D775C" w:rsidP="315C3A3D">
            <w:pPr>
              <w:spacing w:before="0"/>
              <w:jc w:val="right"/>
              <w:rPr>
                <w:lang w:val="ru-RU"/>
              </w:rPr>
            </w:pPr>
          </w:p>
        </w:tc>
      </w:tr>
      <w:tr w:rsidR="006D775C" w:rsidRPr="00D37BCF" w14:paraId="12328938" w14:textId="77777777" w:rsidTr="7107ED0C">
        <w:trPr>
          <w:trHeight w:val="80"/>
          <w:jc w:val="center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37BCF" w:rsidRDefault="006D775C" w:rsidP="00C978EA">
            <w:pPr>
              <w:pStyle w:val="Tabletext"/>
              <w:jc w:val="right"/>
              <w:rPr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530E0E4" w:rsidR="006D775C" w:rsidRPr="00D37BCF" w:rsidRDefault="00746EA0" w:rsidP="00C978EA">
            <w:pPr>
              <w:pStyle w:val="Tabletext"/>
              <w:spacing w:before="120" w:after="120"/>
              <w:rPr>
                <w:szCs w:val="18"/>
                <w:lang w:val="ru-RU"/>
              </w:rPr>
            </w:pPr>
            <w:r w:rsidRPr="00D37BCF">
              <w:rPr>
                <w:lang w:val="ru-RU"/>
              </w:rPr>
              <w:t>Женева, 1 ноября 2023 года</w:t>
            </w:r>
          </w:p>
        </w:tc>
      </w:tr>
      <w:tr w:rsidR="006D775C" w:rsidRPr="006957BC" w14:paraId="2822328E" w14:textId="77777777" w:rsidTr="7107ED0C">
        <w:trPr>
          <w:trHeight w:val="746"/>
          <w:jc w:val="center"/>
        </w:trPr>
        <w:tc>
          <w:tcPr>
            <w:tcW w:w="1276" w:type="dxa"/>
          </w:tcPr>
          <w:p w14:paraId="37C6E0B7" w14:textId="5210AD04" w:rsidR="006D775C" w:rsidRPr="00D37BCF" w:rsidRDefault="00D40F22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Осн.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63A7AF3C" w14:textId="55A13092" w:rsidR="006D775C" w:rsidRPr="00D37BCF" w:rsidRDefault="00D40F22" w:rsidP="7107ED0C">
            <w:pPr>
              <w:pStyle w:val="TSBCircNo"/>
              <w:framePr w:hSpace="0" w:wrap="auto" w:vAnchor="margin" w:hAnchor="text" w:xAlign="left" w:yAlign="inline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Циркуляр 147 БСЭ</w:t>
            </w:r>
          </w:p>
          <w:p w14:paraId="32FA7A12" w14:textId="787E963F" w:rsidR="006D775C" w:rsidRPr="00D37BCF" w:rsidRDefault="00CC4595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SG12/MA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37BCF" w:rsidRDefault="00315F99" w:rsidP="00F22697">
            <w:pPr>
              <w:pStyle w:val="Tabletext"/>
              <w:jc w:val="lef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Кому</w:t>
            </w:r>
            <w:r w:rsidRPr="00D37BCF">
              <w:rPr>
                <w:szCs w:val="22"/>
                <w:lang w:val="ru-RU"/>
              </w:rPr>
              <w:t>:</w:t>
            </w:r>
          </w:p>
          <w:p w14:paraId="3103D493" w14:textId="17E1EFB8" w:rsidR="006D775C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315F99" w:rsidRPr="00D37BCF">
              <w:rPr>
                <w:szCs w:val="22"/>
                <w:lang w:val="ru-RU"/>
              </w:rPr>
              <w:t>Администрациям Государств – Членов Союза</w:t>
            </w:r>
          </w:p>
          <w:p w14:paraId="7AFED833" w14:textId="77777777" w:rsidR="00165A31" w:rsidRPr="00D37BCF" w:rsidRDefault="00165A31" w:rsidP="00F22697">
            <w:pPr>
              <w:pStyle w:val="Tabletext"/>
              <w:jc w:val="lef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Копии</w:t>
            </w:r>
            <w:r w:rsidRPr="00D37BCF">
              <w:rPr>
                <w:szCs w:val="22"/>
                <w:lang w:val="ru-RU"/>
              </w:rPr>
              <w:t>:</w:t>
            </w:r>
          </w:p>
          <w:p w14:paraId="1DB923B3" w14:textId="2495993A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Членам Сектора МСЭ-Т</w:t>
            </w:r>
          </w:p>
          <w:p w14:paraId="629B5794" w14:textId="4245118E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Ассоциированным членам, участвующим в работе 12-й Исследовательской комиссии</w:t>
            </w:r>
            <w:r w:rsidRPr="00D37BCF">
              <w:rPr>
                <w:szCs w:val="22"/>
                <w:lang w:val="ru-RU"/>
              </w:rPr>
              <w:t> </w:t>
            </w:r>
            <w:r w:rsidR="00165A31" w:rsidRPr="00D37BCF">
              <w:rPr>
                <w:szCs w:val="22"/>
                <w:lang w:val="ru-RU"/>
              </w:rPr>
              <w:t>МСЭ</w:t>
            </w:r>
            <w:r w:rsidRPr="00D37BCF">
              <w:rPr>
                <w:szCs w:val="22"/>
                <w:lang w:val="ru-RU"/>
              </w:rPr>
              <w:noBreakHyphen/>
            </w:r>
            <w:r w:rsidR="00165A31" w:rsidRPr="00D37BCF">
              <w:rPr>
                <w:szCs w:val="22"/>
                <w:lang w:val="ru-RU"/>
              </w:rPr>
              <w:t>Т</w:t>
            </w:r>
          </w:p>
          <w:p w14:paraId="7C7BA287" w14:textId="63DB944E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Академическим организациям – Членам МСЭ</w:t>
            </w:r>
          </w:p>
          <w:p w14:paraId="2E17061C" w14:textId="29E2C276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Председателю и заместителям председателя 12</w:t>
            </w:r>
            <w:r w:rsidR="00F22697" w:rsidRPr="00D37BCF">
              <w:rPr>
                <w:szCs w:val="22"/>
                <w:lang w:val="ru-RU"/>
              </w:rPr>
              <w:noBreakHyphen/>
            </w:r>
            <w:r w:rsidR="00165A31" w:rsidRPr="00D37BCF">
              <w:rPr>
                <w:szCs w:val="22"/>
                <w:lang w:val="ru-RU"/>
              </w:rPr>
              <w:t>й Исследовательской комиссии МСЭ-Т</w:t>
            </w:r>
          </w:p>
          <w:p w14:paraId="44523DC2" w14:textId="6263D53D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Директору Бюро развития электросвязи</w:t>
            </w:r>
          </w:p>
          <w:p w14:paraId="3872D355" w14:textId="5600CA7E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Директору Бюро радиосвязи</w:t>
            </w:r>
          </w:p>
        </w:tc>
      </w:tr>
      <w:tr w:rsidR="00315F99" w:rsidRPr="00D37BCF" w14:paraId="22805FF0" w14:textId="77777777" w:rsidTr="7107ED0C">
        <w:trPr>
          <w:trHeight w:val="221"/>
          <w:jc w:val="center"/>
        </w:trPr>
        <w:tc>
          <w:tcPr>
            <w:tcW w:w="1276" w:type="dxa"/>
          </w:tcPr>
          <w:p w14:paraId="42FA40C9" w14:textId="77777777" w:rsidR="00315F99" w:rsidRPr="00D37BCF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Тел.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59438A3" w14:textId="3C5A0232" w:rsidR="00315F99" w:rsidRPr="00D37BCF" w:rsidRDefault="00315F99" w:rsidP="00C978EA">
            <w:pPr>
              <w:pStyle w:val="Tabletext"/>
              <w:rPr>
                <w:b/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+41 22 730 6828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D37BCF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315F99" w:rsidRPr="00D37BCF" w14:paraId="2525B5C0" w14:textId="77777777" w:rsidTr="7107ED0C">
        <w:trPr>
          <w:trHeight w:val="2435"/>
          <w:jc w:val="center"/>
        </w:trPr>
        <w:tc>
          <w:tcPr>
            <w:tcW w:w="1276" w:type="dxa"/>
          </w:tcPr>
          <w:p w14:paraId="3899C144" w14:textId="77777777" w:rsidR="00315F99" w:rsidRPr="00D37BCF" w:rsidRDefault="00315F99" w:rsidP="00C978EA">
            <w:pPr>
              <w:pStyle w:val="Tabletext"/>
              <w:rPr>
                <w:b/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Факс</w:t>
            </w:r>
            <w:r w:rsidRPr="00D37BCF">
              <w:rPr>
                <w:szCs w:val="22"/>
                <w:lang w:val="ru-RU"/>
              </w:rPr>
              <w:t>:</w:t>
            </w:r>
          </w:p>
          <w:p w14:paraId="31ED4771" w14:textId="7D981B1A" w:rsidR="00165A31" w:rsidRPr="00D37BCF" w:rsidRDefault="00165A31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Эл. почта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97301F7" w14:textId="7FE45C2E" w:rsidR="00315F99" w:rsidRPr="00D37BCF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+41 22 730 5853</w:t>
            </w:r>
          </w:p>
          <w:p w14:paraId="76DA77F0" w14:textId="549226A9" w:rsidR="00165A31" w:rsidRPr="00D37BCF" w:rsidRDefault="00000000" w:rsidP="00C978EA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="00CC4595" w:rsidRPr="00D37BCF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D37BCF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6D775C" w:rsidRPr="006957BC" w14:paraId="1F5DA09D" w14:textId="77777777" w:rsidTr="7107ED0C">
        <w:trPr>
          <w:trHeight w:val="854"/>
          <w:jc w:val="center"/>
        </w:trPr>
        <w:tc>
          <w:tcPr>
            <w:tcW w:w="1276" w:type="dxa"/>
          </w:tcPr>
          <w:p w14:paraId="06A023BE" w14:textId="77777777" w:rsidR="006D775C" w:rsidRPr="00D37BCF" w:rsidRDefault="00D40F22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Предмет:</w:t>
            </w:r>
          </w:p>
        </w:tc>
        <w:tc>
          <w:tcPr>
            <w:tcW w:w="8647" w:type="dxa"/>
            <w:gridSpan w:val="4"/>
          </w:tcPr>
          <w:p w14:paraId="4887DE07" w14:textId="51AB52D2" w:rsidR="006D775C" w:rsidRPr="00D37BCF" w:rsidRDefault="00D40F22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Предлагаемое аннулирование Рекомендаций МСЭ-Т P.911 и P.913, согласованное на собрании ИК12 МСЭ-Т в Мехико, 19−28 сентября 2023 года</w:t>
            </w:r>
          </w:p>
        </w:tc>
      </w:tr>
    </w:tbl>
    <w:p w14:paraId="1A7DF95A" w14:textId="255AC5ED" w:rsidR="00C978EA" w:rsidRPr="00D37BCF" w:rsidRDefault="00C978EA" w:rsidP="00F22697">
      <w:pPr>
        <w:spacing w:before="240"/>
        <w:jc w:val="left"/>
        <w:rPr>
          <w:szCs w:val="18"/>
          <w:lang w:val="ru-RU"/>
        </w:rPr>
      </w:pPr>
      <w:r w:rsidRPr="00D37BCF">
        <w:rPr>
          <w:lang w:val="ru-RU"/>
        </w:rPr>
        <w:t>Уважаемая госпожа,</w:t>
      </w:r>
      <w:r w:rsidR="00CC4595" w:rsidRPr="00D37BCF">
        <w:rPr>
          <w:lang w:val="ru-RU"/>
        </w:rPr>
        <w:br/>
      </w:r>
      <w:r w:rsidRPr="00D37BCF">
        <w:rPr>
          <w:lang w:val="ru-RU"/>
        </w:rPr>
        <w:t>уважаемый господин,</w:t>
      </w:r>
    </w:p>
    <w:p w14:paraId="6DD3B98D" w14:textId="4522A2F1" w:rsidR="00C978EA" w:rsidRPr="00D37BCF" w:rsidRDefault="00C978EA" w:rsidP="00071F8A">
      <w:pPr>
        <w:rPr>
          <w:szCs w:val="18"/>
          <w:lang w:val="ru-RU"/>
        </w:rPr>
      </w:pPr>
      <w:r w:rsidRPr="00D37BCF">
        <w:rPr>
          <w:lang w:val="ru-RU"/>
        </w:rPr>
        <w:t>1</w:t>
      </w:r>
      <w:r w:rsidRPr="00D37BCF">
        <w:rPr>
          <w:lang w:val="ru-RU"/>
        </w:rPr>
        <w:tab/>
        <w:t>По просьбе Председателя 12-й Исследовательской комиссии (Показатели работы, качество обслуживания (QoS) и оценка пользователем качества услуги (QoE)) сообщаем вам, что указанная исследовательская комиссия на своем собрании, состоявшемся в Мехико 19–28 сентября 2023 года, приняла решение инициировать аннулирование вышеупомянутых Рекомендаций МСЭ-Т в соответствии с положениями п.</w:t>
      </w:r>
      <w:r w:rsidR="00E42D33" w:rsidRPr="00D37BCF">
        <w:rPr>
          <w:lang w:val="ru-RU"/>
        </w:rPr>
        <w:t xml:space="preserve"> </w:t>
      </w:r>
      <w:r w:rsidRPr="00D37BCF">
        <w:rPr>
          <w:lang w:val="ru-RU"/>
        </w:rPr>
        <w:t>9.8.2.1 Резолюции 1 ВАСЭ (Пересм. Женева, 2022 г.). Договоренность была достигнута при отсутствии возражений представленных на собрании Государств-Членов и Членов Сектора, действующих от имени Государств-Членов в соответствии с п. 239 Конвенции</w:t>
      </w:r>
      <w:r w:rsidR="00E42D33" w:rsidRPr="00D37BCF">
        <w:rPr>
          <w:lang w:val="ru-RU"/>
        </w:rPr>
        <w:t xml:space="preserve"> МСЭ</w:t>
      </w:r>
      <w:r w:rsidRPr="00D37BCF">
        <w:rPr>
          <w:lang w:val="ru-RU"/>
        </w:rPr>
        <w:t>.</w:t>
      </w:r>
    </w:p>
    <w:p w14:paraId="6E82377A" w14:textId="77777777" w:rsidR="00C978EA" w:rsidRPr="00D37BCF" w:rsidRDefault="00C978EA" w:rsidP="00C978EA">
      <w:pPr>
        <w:rPr>
          <w:szCs w:val="18"/>
          <w:lang w:val="ru-RU"/>
        </w:rPr>
      </w:pPr>
      <w:r w:rsidRPr="00D37BCF">
        <w:rPr>
          <w:lang w:val="ru-RU"/>
        </w:rPr>
        <w:t>2</w:t>
      </w:r>
      <w:r w:rsidRPr="00D37BCF">
        <w:rPr>
          <w:lang w:val="ru-RU"/>
        </w:rPr>
        <w:tab/>
        <w:t xml:space="preserve">В </w:t>
      </w:r>
      <w:r w:rsidRPr="00D37BCF">
        <w:rPr>
          <w:b/>
          <w:bCs/>
          <w:lang w:val="ru-RU"/>
        </w:rPr>
        <w:t>Приложении</w:t>
      </w:r>
      <w:r w:rsidRPr="00D37BCF">
        <w:rPr>
          <w:lang w:val="ru-RU"/>
        </w:rPr>
        <w:t xml:space="preserve"> </w:t>
      </w:r>
      <w:r w:rsidRPr="00D37BCF">
        <w:rPr>
          <w:b/>
          <w:bCs/>
          <w:lang w:val="ru-RU"/>
        </w:rPr>
        <w:t xml:space="preserve">1 </w:t>
      </w:r>
      <w:r w:rsidRPr="00D37BCF">
        <w:rPr>
          <w:lang w:val="ru-RU"/>
        </w:rPr>
        <w:t>содержится информация о достигнутой договоренности, в том числе краткое изложение оснований для аннулирования.</w:t>
      </w:r>
    </w:p>
    <w:p w14:paraId="14973AD5" w14:textId="64A4BB45" w:rsidR="00C978EA" w:rsidRPr="00D37BCF" w:rsidRDefault="00C978EA" w:rsidP="00631EE3">
      <w:pPr>
        <w:rPr>
          <w:szCs w:val="18"/>
          <w:lang w:val="ru-RU"/>
        </w:rPr>
      </w:pPr>
      <w:r w:rsidRPr="00D37BCF">
        <w:rPr>
          <w:lang w:val="ru-RU"/>
        </w:rPr>
        <w:t>3</w:t>
      </w:r>
      <w:r w:rsidRPr="00D37BCF">
        <w:rPr>
          <w:lang w:val="ru-RU"/>
        </w:rPr>
        <w:tab/>
        <w:t>В соответствии с разделом 9.8.2.1 Резолюции 1 аннулирование вступит в силу, если не будет получено возражений против этого аннулировани</w:t>
      </w:r>
      <w:r w:rsidR="00E42D33" w:rsidRPr="00D37BCF">
        <w:rPr>
          <w:lang w:val="ru-RU"/>
        </w:rPr>
        <w:t>я</w:t>
      </w:r>
      <w:r w:rsidRPr="00D37BCF">
        <w:rPr>
          <w:lang w:val="ru-RU"/>
        </w:rPr>
        <w:t xml:space="preserve"> до 23 час. 59 мин. UTC </w:t>
      </w:r>
      <w:r w:rsidRPr="00D37BCF">
        <w:rPr>
          <w:b/>
          <w:bCs/>
          <w:lang w:val="ru-RU"/>
        </w:rPr>
        <w:t>1 февраля 2024 года</w:t>
      </w:r>
      <w:r w:rsidRPr="00D37BCF">
        <w:rPr>
          <w:lang w:val="ru-RU"/>
        </w:rPr>
        <w:t>.</w:t>
      </w:r>
    </w:p>
    <w:p w14:paraId="08B8CC6F" w14:textId="4B86BEC2" w:rsidR="00C978EA" w:rsidRPr="00D37BCF" w:rsidRDefault="00C978EA" w:rsidP="00C978EA">
      <w:pPr>
        <w:rPr>
          <w:lang w:val="ru-RU"/>
        </w:rPr>
      </w:pPr>
      <w:r w:rsidRPr="00D37BCF">
        <w:rPr>
          <w:lang w:val="ru-RU"/>
        </w:rPr>
        <w:tab/>
        <w:t>Если какие-либо Государства-Члены или Члены Сектора, действующие от имени Государств-Членов в соответствии с п. 239 Конвенции МСЭ, сочтут, что давать согласие на аннулирование не следует, им необходимо сообщить о причинах такого несогласия, и данный вопрос будет вновь передан в исследовательскую комиссию.</w:t>
      </w:r>
    </w:p>
    <w:p w14:paraId="0D5A0D0C" w14:textId="17AA132E" w:rsidR="008D10EA" w:rsidRPr="00D37BCF" w:rsidRDefault="008D10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18"/>
          <w:lang w:val="ru-RU"/>
        </w:rPr>
      </w:pPr>
      <w:r w:rsidRPr="00D37BCF">
        <w:rPr>
          <w:szCs w:val="18"/>
          <w:lang w:val="ru-RU"/>
        </w:rPr>
        <w:br w:type="page"/>
      </w:r>
    </w:p>
    <w:p w14:paraId="348763A4" w14:textId="32C22F6D" w:rsidR="00C978EA" w:rsidRPr="00D37BCF" w:rsidRDefault="00C978EA" w:rsidP="00C978EA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Cs w:val="18"/>
          <w:lang w:val="ru-RU"/>
        </w:rPr>
      </w:pPr>
      <w:r w:rsidRPr="00D37BCF">
        <w:rPr>
          <w:lang w:val="ru-RU"/>
        </w:rPr>
        <w:lastRenderedPageBreak/>
        <w:t>4</w:t>
      </w:r>
      <w:r w:rsidRPr="00D37BCF">
        <w:rPr>
          <w:lang w:val="ru-RU"/>
        </w:rPr>
        <w:tab/>
        <w:t>Результаты этих консультаций будут объявлены вскоре после истечения предельного срока Циркуляром БСЭ и опубликованы в Оперативном бюллетене МСЭ.</w:t>
      </w:r>
    </w:p>
    <w:p w14:paraId="49064F96" w14:textId="3FD866F3" w:rsidR="00C978EA" w:rsidRPr="00D37BCF" w:rsidRDefault="00C978EA" w:rsidP="00C978EA">
      <w:pPr>
        <w:keepNext/>
        <w:keepLines/>
        <w:spacing w:before="240"/>
        <w:rPr>
          <w:szCs w:val="18"/>
          <w:lang w:val="ru-RU"/>
        </w:rPr>
      </w:pPr>
      <w:r w:rsidRPr="00D37BCF">
        <w:rPr>
          <w:lang w:val="ru-RU"/>
        </w:rPr>
        <w:t>С уважением,</w:t>
      </w:r>
    </w:p>
    <w:p w14:paraId="3B841DE7" w14:textId="349E0CCB" w:rsidR="00E42D33" w:rsidRPr="00D37BCF" w:rsidRDefault="00E42D33" w:rsidP="008D10EA">
      <w:pPr>
        <w:keepNext/>
        <w:keepLines/>
        <w:spacing w:before="480"/>
        <w:rPr>
          <w:i/>
          <w:iCs/>
          <w:lang w:val="ru-RU"/>
        </w:rPr>
      </w:pPr>
      <w:r w:rsidRPr="00D37BCF">
        <w:rPr>
          <w:lang w:val="ru-RU"/>
        </w:rPr>
        <w:t>(</w:t>
      </w:r>
      <w:r w:rsidRPr="00D37BCF">
        <w:rPr>
          <w:i/>
          <w:iCs/>
          <w:lang w:val="ru-RU"/>
        </w:rPr>
        <w:t>подпись</w:t>
      </w:r>
      <w:r w:rsidRPr="00D37BCF">
        <w:rPr>
          <w:lang w:val="ru-RU"/>
        </w:rPr>
        <w:t>)</w:t>
      </w:r>
    </w:p>
    <w:p w14:paraId="12281280" w14:textId="47C4AAB0" w:rsidR="00C978EA" w:rsidRPr="00D37BCF" w:rsidRDefault="004F6868" w:rsidP="008D10EA">
      <w:pPr>
        <w:keepNext/>
        <w:keepLines/>
        <w:spacing w:before="480"/>
        <w:jc w:val="left"/>
        <w:rPr>
          <w:szCs w:val="18"/>
          <w:lang w:val="ru-RU"/>
        </w:rPr>
      </w:pPr>
      <w:r w:rsidRPr="00D37BCF">
        <w:rPr>
          <w:lang w:val="ru-RU"/>
        </w:rPr>
        <w:t>Сейдзо Оноэ</w:t>
      </w:r>
      <w:r w:rsidR="00CC4595" w:rsidRPr="00D37BCF">
        <w:rPr>
          <w:lang w:val="ru-RU"/>
        </w:rPr>
        <w:br/>
      </w:r>
      <w:r w:rsidRPr="00D37BCF">
        <w:rPr>
          <w:lang w:val="ru-RU"/>
        </w:rPr>
        <w:t>Директор Бюро стандартизации электросвязи</w:t>
      </w:r>
    </w:p>
    <w:p w14:paraId="265A6648" w14:textId="77777777" w:rsidR="00C978EA" w:rsidRPr="00D37BCF" w:rsidRDefault="00C978EA" w:rsidP="008D10EA">
      <w:pPr>
        <w:spacing w:before="1440"/>
        <w:rPr>
          <w:b/>
          <w:szCs w:val="18"/>
          <w:lang w:val="ru-RU"/>
        </w:rPr>
      </w:pPr>
      <w:r w:rsidRPr="00D37BCF">
        <w:rPr>
          <w:b/>
          <w:bCs/>
          <w:lang w:val="ru-RU"/>
        </w:rPr>
        <w:t>Приложение</w:t>
      </w:r>
      <w:r w:rsidRPr="00D37BCF">
        <w:rPr>
          <w:lang w:val="ru-RU"/>
        </w:rPr>
        <w:t>: 1</w:t>
      </w:r>
    </w:p>
    <w:p w14:paraId="72519382" w14:textId="77777777" w:rsidR="00C978EA" w:rsidRPr="00D37BCF" w:rsidRDefault="00C978EA" w:rsidP="00C978EA">
      <w:pPr>
        <w:rPr>
          <w:lang w:val="ru-RU"/>
        </w:rPr>
      </w:pPr>
      <w:r w:rsidRPr="00D37BCF">
        <w:rPr>
          <w:lang w:val="ru-RU"/>
        </w:rPr>
        <w:br w:type="page"/>
      </w:r>
    </w:p>
    <w:p w14:paraId="5F24D1C0" w14:textId="77777777" w:rsidR="0096770E" w:rsidRPr="00D37BCF" w:rsidRDefault="005638D8" w:rsidP="0096770E">
      <w:pPr>
        <w:pStyle w:val="AnnexNo"/>
        <w:rPr>
          <w:lang w:val="ru-RU"/>
        </w:rPr>
      </w:pPr>
      <w:r w:rsidRPr="00D37BCF">
        <w:rPr>
          <w:lang w:val="ru-RU"/>
        </w:rPr>
        <w:lastRenderedPageBreak/>
        <w:t>Приложение 1</w:t>
      </w:r>
    </w:p>
    <w:p w14:paraId="0EE3A17F" w14:textId="60F98309" w:rsidR="00315F99" w:rsidRPr="00D37BCF" w:rsidRDefault="005638D8" w:rsidP="0096770E">
      <w:pPr>
        <w:pStyle w:val="Annextitle"/>
        <w:rPr>
          <w:szCs w:val="22"/>
          <w:lang w:val="ru-RU"/>
        </w:rPr>
      </w:pPr>
      <w:r w:rsidRPr="00D37BCF">
        <w:rPr>
          <w:lang w:val="ru-RU"/>
        </w:rPr>
        <w:t>Рекомендации, предложенные для аннулирования: МСЭ-T P.911, МСЭ-T P.913</w:t>
      </w: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AE6D6D" w:rsidRPr="006957BC" w14:paraId="2AB8F7CE" w14:textId="77777777" w:rsidTr="0096770E">
        <w:tc>
          <w:tcPr>
            <w:tcW w:w="9719" w:type="dxa"/>
          </w:tcPr>
          <w:p w14:paraId="67A47212" w14:textId="16C123CE" w:rsidR="00AE6D6D" w:rsidRPr="00D37BCF" w:rsidRDefault="00AE6D6D" w:rsidP="00D37BCF">
            <w:pPr>
              <w:spacing w:before="40" w:after="40"/>
              <w:jc w:val="left"/>
              <w:rPr>
                <w:b/>
                <w:bCs/>
                <w:lang w:val="ru-RU"/>
              </w:rPr>
            </w:pPr>
            <w:r w:rsidRPr="00D37BCF">
              <w:rPr>
                <w:b/>
                <w:bCs/>
                <w:lang w:val="ru-RU"/>
              </w:rPr>
              <w:t xml:space="preserve">Рекомендация МСЭ-T P.911, </w:t>
            </w:r>
            <w:r w:rsidRPr="00D37BCF">
              <w:rPr>
                <w:b/>
                <w:bCs/>
                <w:i/>
                <w:iCs/>
                <w:lang w:val="ru-RU"/>
              </w:rPr>
              <w:t xml:space="preserve">Методы субъективной оценки </w:t>
            </w:r>
            <w:r w:rsidR="00E42D33" w:rsidRPr="00D37BCF">
              <w:rPr>
                <w:b/>
                <w:bCs/>
                <w:i/>
                <w:iCs/>
                <w:lang w:val="ru-RU"/>
              </w:rPr>
              <w:t xml:space="preserve">аудиовизуального качества </w:t>
            </w:r>
            <w:r w:rsidRPr="00D37BCF">
              <w:rPr>
                <w:b/>
                <w:bCs/>
                <w:i/>
                <w:iCs/>
                <w:lang w:val="ru-RU"/>
              </w:rPr>
              <w:t>для мультимедийных приложений</w:t>
            </w:r>
            <w:r w:rsidRPr="00D37BCF">
              <w:rPr>
                <w:b/>
                <w:bCs/>
                <w:lang w:val="ru-RU"/>
              </w:rPr>
              <w:t xml:space="preserve"> (12/1998)</w:t>
            </w:r>
          </w:p>
        </w:tc>
      </w:tr>
      <w:tr w:rsidR="00AE6D6D" w:rsidRPr="00D37BCF" w14:paraId="7F0676E6" w14:textId="77777777" w:rsidTr="0096770E">
        <w:tc>
          <w:tcPr>
            <w:tcW w:w="9719" w:type="dxa"/>
          </w:tcPr>
          <w:p w14:paraId="08E2C75A" w14:textId="337F4B8C" w:rsidR="00AE6D6D" w:rsidRPr="00D37BCF" w:rsidRDefault="00AE6D6D" w:rsidP="00D37BCF">
            <w:pPr>
              <w:spacing w:before="40" w:after="40"/>
              <w:jc w:val="left"/>
              <w:rPr>
                <w:i/>
                <w:iCs/>
                <w:lang w:val="ru-RU"/>
              </w:rPr>
            </w:pPr>
            <w:r w:rsidRPr="00D37BCF">
              <w:rPr>
                <w:i/>
                <w:iCs/>
                <w:lang w:val="ru-RU"/>
              </w:rPr>
              <w:t>Резюме</w:t>
            </w:r>
          </w:p>
        </w:tc>
      </w:tr>
      <w:tr w:rsidR="00AE6D6D" w:rsidRPr="006957BC" w14:paraId="0F012ABB" w14:textId="77777777" w:rsidTr="0096770E">
        <w:tc>
          <w:tcPr>
            <w:tcW w:w="9719" w:type="dxa"/>
          </w:tcPr>
          <w:p w14:paraId="360C4007" w14:textId="59DC53C0" w:rsidR="00AE6D6D" w:rsidRPr="00D37BCF" w:rsidRDefault="008160DE" w:rsidP="00D37BCF">
            <w:pPr>
              <w:spacing w:before="40" w:after="40"/>
              <w:jc w:val="left"/>
              <w:rPr>
                <w:lang w:val="ru-RU"/>
              </w:rPr>
            </w:pPr>
            <w:r w:rsidRPr="00D37BCF">
              <w:rPr>
                <w:lang w:val="ru-RU"/>
              </w:rPr>
              <w:t>В данной Рекомендации описаны неинтерактивные субъективные методы оценки общего качества при односторонней передаче видеоизображений для мультимедийных приложений, таких как видеоконференц-связь, хранение и извлечение видеозаписей, телемедицина и т. п. Эти методы можно использовать для разнообразных целей, в том числе для выбора алгоритмов, классификации рабочих характеристик системы и оценки уровня качества во время видеосвязи. При</w:t>
            </w:r>
            <w:r w:rsidR="0096770E" w:rsidRPr="00D37BCF">
              <w:rPr>
                <w:lang w:val="ru-RU"/>
              </w:rPr>
              <w:t> </w:t>
            </w:r>
            <w:r w:rsidRPr="00D37BCF">
              <w:rPr>
                <w:lang w:val="ru-RU"/>
              </w:rPr>
              <w:t>оценке интерактивных аспектов следует использовать методы тестирования диалога, описанные в Рекомендации P.920. В данной Рекомендации также описаны характеристики исходных последовательностей, которые предполагается использовать, такие как длительность, тип контента, количество последовательностей и т. д. Помимо этого, в ней приведены указания на связь между качеством звука, изображения и аудиовизуальной информации, полученные по результатам испытаний, проведенных независимо друг от друга в различных лабораториях.</w:t>
            </w:r>
          </w:p>
        </w:tc>
      </w:tr>
      <w:tr w:rsidR="00AE6D6D" w:rsidRPr="006957BC" w14:paraId="0024077B" w14:textId="77777777" w:rsidTr="0096770E">
        <w:tc>
          <w:tcPr>
            <w:tcW w:w="9719" w:type="dxa"/>
          </w:tcPr>
          <w:p w14:paraId="3AD107C6" w14:textId="6940A378" w:rsidR="00AE6D6D" w:rsidRPr="00D37BCF" w:rsidRDefault="00AE6D6D" w:rsidP="00D37BCF">
            <w:pPr>
              <w:spacing w:before="40" w:after="40"/>
              <w:jc w:val="left"/>
              <w:rPr>
                <w:i/>
                <w:iCs/>
                <w:lang w:val="ru-RU"/>
              </w:rPr>
            </w:pPr>
            <w:r w:rsidRPr="00D37BCF">
              <w:rPr>
                <w:i/>
                <w:iCs/>
                <w:lang w:val="ru-RU"/>
              </w:rPr>
              <w:t>Основания для аннулирования указанной выше Рекомендации</w:t>
            </w:r>
          </w:p>
        </w:tc>
      </w:tr>
      <w:tr w:rsidR="00AE6D6D" w:rsidRPr="006957BC" w14:paraId="0466DE1D" w14:textId="77777777" w:rsidTr="0096770E">
        <w:tc>
          <w:tcPr>
            <w:tcW w:w="9719" w:type="dxa"/>
          </w:tcPr>
          <w:p w14:paraId="7062FBB8" w14:textId="29BA0AE2" w:rsidR="008160DE" w:rsidRPr="00D37BCF" w:rsidRDefault="008160DE" w:rsidP="00D37BCF">
            <w:pPr>
              <w:pStyle w:val="Headingb"/>
              <w:spacing w:before="40" w:after="40"/>
              <w:jc w:val="left"/>
              <w:rPr>
                <w:b w:val="0"/>
                <w:bCs/>
                <w:szCs w:val="24"/>
                <w:lang w:val="ru-RU"/>
              </w:rPr>
            </w:pPr>
            <w:r w:rsidRPr="00D37BCF">
              <w:rPr>
                <w:b w:val="0"/>
                <w:bCs/>
                <w:lang w:val="ru-RU"/>
              </w:rPr>
              <w:t>Рекомендация МСЭ-T P.910 "Методы субъективной оценки качества видеоизображения для мультимедийных приложений" была пересмотрена на предмет включения содержания Рекомендаций МСЭ-T P.911 "Методы субъективной оценки аудиовизуального качества для мультимедийных приложений" и МСЭ-T P.913 "Методы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среде".</w:t>
            </w:r>
          </w:p>
          <w:p w14:paraId="013FB747" w14:textId="2A73D201" w:rsidR="00AE6D6D" w:rsidRPr="00D37BCF" w:rsidRDefault="008160DE" w:rsidP="00D37BCF">
            <w:pPr>
              <w:pStyle w:val="Headingb"/>
              <w:spacing w:before="40" w:after="40"/>
              <w:jc w:val="left"/>
              <w:rPr>
                <w:lang w:val="ru-RU"/>
              </w:rPr>
            </w:pPr>
            <w:r w:rsidRPr="00D37BCF">
              <w:rPr>
                <w:b w:val="0"/>
                <w:bCs/>
                <w:lang w:val="ru-RU"/>
              </w:rPr>
              <w:t>После утверждения пересмотренной Рекомендации МСЭ-Т P.910 (октябрь 2023 г.) Рекомендации</w:t>
            </w:r>
            <w:r w:rsidR="0096770E" w:rsidRPr="00D37BCF">
              <w:rPr>
                <w:b w:val="0"/>
                <w:bCs/>
                <w:lang w:val="ru-RU"/>
              </w:rPr>
              <w:t> </w:t>
            </w:r>
            <w:r w:rsidRPr="00D37BCF">
              <w:rPr>
                <w:b w:val="0"/>
                <w:bCs/>
                <w:lang w:val="ru-RU"/>
              </w:rPr>
              <w:t>МСЭ-T P.911 и МСЭ-T P.913 предлагается аннулировать.</w:t>
            </w:r>
          </w:p>
        </w:tc>
      </w:tr>
    </w:tbl>
    <w:p w14:paraId="28F34D7B" w14:textId="77777777" w:rsidR="005F755F" w:rsidRPr="00D37BCF" w:rsidRDefault="005F755F" w:rsidP="00D37BCF">
      <w:pPr>
        <w:spacing w:before="0"/>
        <w:jc w:val="left"/>
        <w:rPr>
          <w:lang w:val="ru-RU" w:eastAsia="ja-JP"/>
        </w:rPr>
      </w:pP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035BC0" w:rsidRPr="006957BC" w14:paraId="09A794E6" w14:textId="77777777" w:rsidTr="00474C5F">
        <w:tc>
          <w:tcPr>
            <w:tcW w:w="9719" w:type="dxa"/>
          </w:tcPr>
          <w:p w14:paraId="5FF308DB" w14:textId="18CC855F" w:rsidR="00035BC0" w:rsidRPr="00D37BCF" w:rsidRDefault="00035BC0" w:rsidP="00D37BCF">
            <w:pPr>
              <w:spacing w:before="40" w:after="40"/>
              <w:jc w:val="left"/>
              <w:rPr>
                <w:b/>
                <w:bCs/>
                <w:lang w:val="ru-RU"/>
              </w:rPr>
            </w:pPr>
            <w:r w:rsidRPr="00D37BCF">
              <w:rPr>
                <w:b/>
                <w:bCs/>
                <w:lang w:val="ru-RU"/>
              </w:rPr>
              <w:t xml:space="preserve">Рекомендация МСЭ-T P.913, </w:t>
            </w:r>
            <w:r w:rsidRPr="00D37BCF">
              <w:rPr>
                <w:b/>
                <w:bCs/>
                <w:i/>
                <w:iCs/>
                <w:lang w:val="ru-RU"/>
              </w:rPr>
      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      </w:r>
            <w:r w:rsidRPr="00D37BCF">
              <w:rPr>
                <w:b/>
                <w:bCs/>
                <w:lang w:val="ru-RU"/>
              </w:rPr>
              <w:t xml:space="preserve"> (06/2021)</w:t>
            </w:r>
          </w:p>
        </w:tc>
      </w:tr>
      <w:tr w:rsidR="00035BC0" w:rsidRPr="00D37BCF" w14:paraId="36D3DBC6" w14:textId="77777777" w:rsidTr="00474C5F">
        <w:tc>
          <w:tcPr>
            <w:tcW w:w="9719" w:type="dxa"/>
          </w:tcPr>
          <w:p w14:paraId="7D07FF23" w14:textId="79D5E943" w:rsidR="00035BC0" w:rsidRPr="00D37BCF" w:rsidRDefault="00035BC0" w:rsidP="00D37BCF">
            <w:pPr>
              <w:spacing w:before="40" w:after="40"/>
              <w:jc w:val="left"/>
              <w:rPr>
                <w:i/>
                <w:iCs/>
                <w:lang w:val="ru-RU"/>
              </w:rPr>
            </w:pPr>
            <w:r w:rsidRPr="00D37BCF">
              <w:rPr>
                <w:i/>
                <w:iCs/>
                <w:lang w:val="ru-RU"/>
              </w:rPr>
              <w:t>Резюме</w:t>
            </w:r>
          </w:p>
        </w:tc>
      </w:tr>
      <w:tr w:rsidR="00035BC0" w:rsidRPr="006957BC" w14:paraId="22C56239" w14:textId="77777777" w:rsidTr="00474C5F">
        <w:tc>
          <w:tcPr>
            <w:tcW w:w="9719" w:type="dxa"/>
          </w:tcPr>
          <w:p w14:paraId="78A310B8" w14:textId="0CDC50BA" w:rsidR="00035BC0" w:rsidRPr="00D37BCF" w:rsidRDefault="008160DE" w:rsidP="00D37BCF">
            <w:pPr>
              <w:spacing w:before="40" w:after="40"/>
              <w:jc w:val="left"/>
              <w:rPr>
                <w:lang w:val="ru-RU"/>
              </w:rPr>
            </w:pPr>
            <w:r w:rsidRPr="00D37BCF">
              <w:rPr>
                <w:lang w:val="ru-RU"/>
              </w:rPr>
              <w:t>В Рекомендации МСЭ-Т P.913 описаны неинтерактивные субъективные методы оценки общего качества при односторонней передаче видеосигнала, звукового сигналов и/или аудиовизуального качества для таких приложений, как интернет-видео и распределение высококачественных видеопрограмм. Эти методы возможно использовать для решения различных задач, включая, в том числе, сравнение качества нескольких устройств, сравнение рабочих характеристик устройств в различных средах, а также субъективные оценки, в случаях общего влияния на показатели качества устройства и аудиовизуального материала.</w:t>
            </w:r>
          </w:p>
        </w:tc>
      </w:tr>
      <w:tr w:rsidR="00035BC0" w:rsidRPr="006957BC" w14:paraId="41DCA080" w14:textId="77777777" w:rsidTr="00474C5F">
        <w:tc>
          <w:tcPr>
            <w:tcW w:w="9719" w:type="dxa"/>
          </w:tcPr>
          <w:p w14:paraId="0955F675" w14:textId="6D0F8F59" w:rsidR="00035BC0" w:rsidRPr="00D37BCF" w:rsidRDefault="00035BC0" w:rsidP="00D37BCF">
            <w:pPr>
              <w:spacing w:before="40" w:after="40"/>
              <w:jc w:val="left"/>
              <w:rPr>
                <w:i/>
                <w:iCs/>
                <w:lang w:val="ru-RU"/>
              </w:rPr>
            </w:pPr>
            <w:r w:rsidRPr="00D37BCF">
              <w:rPr>
                <w:i/>
                <w:iCs/>
                <w:lang w:val="ru-RU"/>
              </w:rPr>
              <w:t>Основания для аннулирования вышеуказанной Рекомендации</w:t>
            </w:r>
          </w:p>
        </w:tc>
      </w:tr>
      <w:tr w:rsidR="00343E4A" w:rsidRPr="006957BC" w14:paraId="2B800FC1" w14:textId="77777777" w:rsidTr="00474C5F">
        <w:tc>
          <w:tcPr>
            <w:tcW w:w="9719" w:type="dxa"/>
          </w:tcPr>
          <w:p w14:paraId="3941C71A" w14:textId="47C23FD0" w:rsidR="00343E4A" w:rsidRPr="00D37BCF" w:rsidRDefault="00343E4A" w:rsidP="00D37BCF">
            <w:pPr>
              <w:spacing w:before="40" w:after="40"/>
              <w:jc w:val="left"/>
              <w:rPr>
                <w:i/>
                <w:iCs/>
                <w:lang w:val="ru-RU"/>
              </w:rPr>
            </w:pPr>
            <w:r w:rsidRPr="00D37BCF">
              <w:rPr>
                <w:lang w:val="ru-RU"/>
              </w:rPr>
              <w:t xml:space="preserve">См. основания для аннулирования </w:t>
            </w:r>
            <w:r w:rsidRPr="00D37BCF">
              <w:rPr>
                <w:b/>
                <w:bCs/>
                <w:lang w:val="ru-RU"/>
              </w:rPr>
              <w:t xml:space="preserve">Рекомендации МСЭ-T P.911 </w:t>
            </w:r>
            <w:r w:rsidRPr="00D37BCF">
              <w:rPr>
                <w:b/>
                <w:bCs/>
                <w:i/>
                <w:iCs/>
                <w:lang w:val="ru-RU"/>
              </w:rPr>
              <w:t>Методы субъективной оценки аудиовизуального качества для мультимедийных приложений</w:t>
            </w:r>
            <w:r w:rsidRPr="00D37BCF">
              <w:rPr>
                <w:b/>
                <w:bCs/>
                <w:lang w:val="ru-RU"/>
              </w:rPr>
              <w:t xml:space="preserve"> (12/1998)</w:t>
            </w:r>
          </w:p>
        </w:tc>
      </w:tr>
    </w:tbl>
    <w:p w14:paraId="18F0353D" w14:textId="457A887E" w:rsidR="00633FD9" w:rsidRPr="00D37BCF" w:rsidRDefault="00474C5F" w:rsidP="00D37BCF">
      <w:pPr>
        <w:spacing w:before="600"/>
        <w:jc w:val="center"/>
        <w:rPr>
          <w:lang w:val="ru-RU" w:eastAsia="ja-JP"/>
        </w:rPr>
      </w:pPr>
      <w:r w:rsidRPr="00D37BCF">
        <w:rPr>
          <w:lang w:val="ru-RU" w:eastAsia="ja-JP"/>
        </w:rPr>
        <w:t>________________</w:t>
      </w:r>
    </w:p>
    <w:sectPr w:rsidR="00633FD9" w:rsidRPr="00D37BCF" w:rsidSect="006675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DD96" w14:textId="77777777" w:rsidR="008F191B" w:rsidRDefault="008F191B">
      <w:r>
        <w:separator/>
      </w:r>
    </w:p>
  </w:endnote>
  <w:endnote w:type="continuationSeparator" w:id="0">
    <w:p w14:paraId="4B5699CF" w14:textId="77777777" w:rsidR="008F191B" w:rsidRDefault="008F191B">
      <w:r>
        <w:continuationSeparator/>
      </w:r>
    </w:p>
  </w:endnote>
  <w:endnote w:type="continuationNotice" w:id="1">
    <w:p w14:paraId="3908C0F2" w14:textId="77777777" w:rsidR="008F191B" w:rsidRDefault="008F19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FFA0" w14:textId="77777777" w:rsidR="006957BC" w:rsidRDefault="00695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293204D" w:rsidR="006D775C" w:rsidRPr="006957BC" w:rsidRDefault="006D775C" w:rsidP="00695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42D08A33" w:rsidR="006D775C" w:rsidRPr="00BA1F70" w:rsidRDefault="0096770E">
    <w:pPr>
      <w:pStyle w:val="FirstFooter"/>
      <w:ind w:left="-397" w:right="-397"/>
      <w:jc w:val="center"/>
      <w:rPr>
        <w:color w:val="0070C0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0F38" w14:textId="77777777" w:rsidR="008F191B" w:rsidRDefault="008F191B">
      <w:r>
        <w:t>____________________</w:t>
      </w:r>
    </w:p>
  </w:footnote>
  <w:footnote w:type="continuationSeparator" w:id="0">
    <w:p w14:paraId="4CA8F816" w14:textId="77777777" w:rsidR="008F191B" w:rsidRDefault="008F191B">
      <w:r>
        <w:continuationSeparator/>
      </w:r>
    </w:p>
  </w:footnote>
  <w:footnote w:type="continuationNotice" w:id="1">
    <w:p w14:paraId="4BC9B761" w14:textId="77777777" w:rsidR="008F191B" w:rsidRDefault="008F19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B608" w14:textId="77777777" w:rsidR="006957BC" w:rsidRDefault="00695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3BF50E4E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7950DB">
      <w:rPr>
        <w:noProof/>
        <w:sz w:val="18"/>
      </w:rPr>
      <w:t>Циркуляр 147 БСЭ</w:t>
    </w:r>
    <w:r w:rsidR="00C978EA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DCCB" w14:textId="77777777" w:rsidR="006957BC" w:rsidRDefault="00695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C8B7C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227D6"/>
    <w:rsid w:val="00035BC0"/>
    <w:rsid w:val="0006329F"/>
    <w:rsid w:val="00071F8A"/>
    <w:rsid w:val="00084429"/>
    <w:rsid w:val="00092594"/>
    <w:rsid w:val="00096EBE"/>
    <w:rsid w:val="000A0633"/>
    <w:rsid w:val="000C4E32"/>
    <w:rsid w:val="000F6929"/>
    <w:rsid w:val="0012229C"/>
    <w:rsid w:val="001501A1"/>
    <w:rsid w:val="00165A31"/>
    <w:rsid w:val="001D3AD4"/>
    <w:rsid w:val="001D496F"/>
    <w:rsid w:val="001F4E42"/>
    <w:rsid w:val="00200B85"/>
    <w:rsid w:val="00213A89"/>
    <w:rsid w:val="00274AB0"/>
    <w:rsid w:val="002C29D2"/>
    <w:rsid w:val="002C6516"/>
    <w:rsid w:val="00311C30"/>
    <w:rsid w:val="00315F99"/>
    <w:rsid w:val="00320E57"/>
    <w:rsid w:val="00343E4A"/>
    <w:rsid w:val="00367459"/>
    <w:rsid w:val="003C5AE7"/>
    <w:rsid w:val="003C757A"/>
    <w:rsid w:val="0041348B"/>
    <w:rsid w:val="004254CA"/>
    <w:rsid w:val="004359A2"/>
    <w:rsid w:val="00451E27"/>
    <w:rsid w:val="00451EB2"/>
    <w:rsid w:val="00473270"/>
    <w:rsid w:val="00473ECD"/>
    <w:rsid w:val="00474C5F"/>
    <w:rsid w:val="00487E56"/>
    <w:rsid w:val="004C1BA8"/>
    <w:rsid w:val="004C2F91"/>
    <w:rsid w:val="004F6868"/>
    <w:rsid w:val="005308BC"/>
    <w:rsid w:val="00533D70"/>
    <w:rsid w:val="00547E35"/>
    <w:rsid w:val="005638D8"/>
    <w:rsid w:val="005641A3"/>
    <w:rsid w:val="005815AD"/>
    <w:rsid w:val="00592EA7"/>
    <w:rsid w:val="005A5D84"/>
    <w:rsid w:val="005D076C"/>
    <w:rsid w:val="005F755F"/>
    <w:rsid w:val="00602350"/>
    <w:rsid w:val="00631EE3"/>
    <w:rsid w:val="00633FD9"/>
    <w:rsid w:val="00640A58"/>
    <w:rsid w:val="00653A8A"/>
    <w:rsid w:val="00653BB2"/>
    <w:rsid w:val="00667586"/>
    <w:rsid w:val="00686C31"/>
    <w:rsid w:val="00690EE4"/>
    <w:rsid w:val="006957BC"/>
    <w:rsid w:val="006D775C"/>
    <w:rsid w:val="006F458F"/>
    <w:rsid w:val="00746EA0"/>
    <w:rsid w:val="00764513"/>
    <w:rsid w:val="00780241"/>
    <w:rsid w:val="007827C2"/>
    <w:rsid w:val="00785CF9"/>
    <w:rsid w:val="00790E09"/>
    <w:rsid w:val="007950DB"/>
    <w:rsid w:val="007B10E9"/>
    <w:rsid w:val="007B2E56"/>
    <w:rsid w:val="007C067C"/>
    <w:rsid w:val="007C0DA1"/>
    <w:rsid w:val="007C6A2C"/>
    <w:rsid w:val="007D62C6"/>
    <w:rsid w:val="007F1638"/>
    <w:rsid w:val="008160DE"/>
    <w:rsid w:val="00822DE4"/>
    <w:rsid w:val="00855EAC"/>
    <w:rsid w:val="008A50E0"/>
    <w:rsid w:val="008B00F6"/>
    <w:rsid w:val="008D10EA"/>
    <w:rsid w:val="008F16B1"/>
    <w:rsid w:val="008F191B"/>
    <w:rsid w:val="00904FCA"/>
    <w:rsid w:val="00910DBF"/>
    <w:rsid w:val="00921325"/>
    <w:rsid w:val="009443EA"/>
    <w:rsid w:val="0096770E"/>
    <w:rsid w:val="009A552F"/>
    <w:rsid w:val="009A621B"/>
    <w:rsid w:val="009A6444"/>
    <w:rsid w:val="009B44E9"/>
    <w:rsid w:val="00A15086"/>
    <w:rsid w:val="00A15CAC"/>
    <w:rsid w:val="00AA4679"/>
    <w:rsid w:val="00AD1682"/>
    <w:rsid w:val="00AE6D6D"/>
    <w:rsid w:val="00B049BB"/>
    <w:rsid w:val="00B213B1"/>
    <w:rsid w:val="00B226BA"/>
    <w:rsid w:val="00B347F0"/>
    <w:rsid w:val="00B45B51"/>
    <w:rsid w:val="00B53441"/>
    <w:rsid w:val="00BA1F70"/>
    <w:rsid w:val="00BC730F"/>
    <w:rsid w:val="00BD4B85"/>
    <w:rsid w:val="00C02B28"/>
    <w:rsid w:val="00C3125F"/>
    <w:rsid w:val="00C338BE"/>
    <w:rsid w:val="00C8766D"/>
    <w:rsid w:val="00C978EA"/>
    <w:rsid w:val="00CC4595"/>
    <w:rsid w:val="00CC752A"/>
    <w:rsid w:val="00CE4888"/>
    <w:rsid w:val="00D07810"/>
    <w:rsid w:val="00D37BCF"/>
    <w:rsid w:val="00D40F22"/>
    <w:rsid w:val="00D82C10"/>
    <w:rsid w:val="00D84BD4"/>
    <w:rsid w:val="00D87885"/>
    <w:rsid w:val="00D94EA2"/>
    <w:rsid w:val="00DC324F"/>
    <w:rsid w:val="00E41008"/>
    <w:rsid w:val="00E42063"/>
    <w:rsid w:val="00E42D33"/>
    <w:rsid w:val="00E939A5"/>
    <w:rsid w:val="00EB12C2"/>
    <w:rsid w:val="00F22697"/>
    <w:rsid w:val="00F24281"/>
    <w:rsid w:val="00F37A64"/>
    <w:rsid w:val="00F441C6"/>
    <w:rsid w:val="00F51780"/>
    <w:rsid w:val="00F7366F"/>
    <w:rsid w:val="00F94B4C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0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rsid w:val="00AE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E57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8160DE"/>
    <w:rPr>
      <w:rFonts w:ascii="Calibri" w:hAnsi="Calibri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1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7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Maguire, Mairéad</cp:lastModifiedBy>
  <cp:revision>2</cp:revision>
  <cp:lastPrinted>2023-10-31T12:23:00Z</cp:lastPrinted>
  <dcterms:created xsi:type="dcterms:W3CDTF">2023-11-22T15:10:00Z</dcterms:created>
  <dcterms:modified xsi:type="dcterms:W3CDTF">2023-11-22T15:10:00Z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</vt:lpwstr>
  </property>
  <property fmtid="{D5CDD505-2E9C-101B-9397-08002B2CF9AE}" pid="9" name="GeneratedDate">
    <vt:lpwstr>11/16/2023 07:30:28</vt:lpwstr>
  </property>
  <property fmtid="{D5CDD505-2E9C-101B-9397-08002B2CF9AE}" pid="10" name="OriginalDocID">
    <vt:lpwstr>1a8155dd-b9b3-43ea-ba9b-eaf21b94cb64</vt:lpwstr>
  </property>
</Properties>
</file>