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1276"/>
        <w:gridCol w:w="142"/>
        <w:gridCol w:w="3402"/>
        <w:gridCol w:w="3119"/>
        <w:gridCol w:w="1984"/>
      </w:tblGrid>
      <w:tr w:rsidR="006D775C" w:rsidRPr="00CE1425" w14:paraId="4FC72EF9" w14:textId="77777777" w:rsidTr="7107ED0C">
        <w:trPr>
          <w:trHeight w:val="1282"/>
          <w:jc w:val="center"/>
        </w:trPr>
        <w:tc>
          <w:tcPr>
            <w:tcW w:w="1418" w:type="dxa"/>
            <w:gridSpan w:val="2"/>
            <w:shd w:val="clear" w:color="auto" w:fill="auto"/>
            <w:tcMar>
              <w:left w:w="0" w:type="dxa"/>
              <w:right w:w="0" w:type="dxa"/>
            </w:tcMar>
            <w:vAlign w:val="center"/>
          </w:tcPr>
          <w:p w14:paraId="6303E10F" w14:textId="77777777" w:rsidR="006D775C" w:rsidRPr="00DC324F" w:rsidRDefault="00B049BB" w:rsidP="00C978EA">
            <w:pPr>
              <w:pStyle w:val="Tabletext"/>
              <w:jc w:val="center"/>
            </w:pPr>
            <w:r w:rsidRPr="00DC324F">
              <w:rPr>
                <w:noProof/>
                <w:lang w:val="en-US" w:eastAsia="zh-CN"/>
              </w:rPr>
              <w:drawing>
                <wp:inline distT="0" distB="0" distL="0" distR="0" wp14:anchorId="52372410" wp14:editId="286F532B">
                  <wp:extent cx="805815" cy="805815"/>
                  <wp:effectExtent l="0" t="0" r="0" b="0"/>
                  <wp:docPr id="4" name="Picture 4" descr="The International Teleocmmunication Union - Connecting the World." title="ITU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Pr="00FA2CE2" w:rsidRDefault="00D40F22" w:rsidP="00C978EA">
            <w:pPr>
              <w:spacing w:before="0"/>
              <w:rPr>
                <w:rFonts w:cs="Times New Roman Bold"/>
                <w:b/>
                <w:bCs/>
                <w:smallCaps/>
                <w:sz w:val="26"/>
                <w:szCs w:val="26"/>
                <w:lang w:val="es-ES"/>
              </w:rPr>
            </w:pPr>
            <w:r>
              <w:rPr>
                <w:b/>
                <w:bCs/>
                <w:lang w:val="es-ES"/>
              </w:rPr>
              <w:t>Unión Internacional de Telecomunicaciones</w:t>
            </w:r>
          </w:p>
          <w:p w14:paraId="2B359B3B" w14:textId="77777777" w:rsidR="006D775C" w:rsidRPr="00FA2CE2" w:rsidRDefault="00D40F22" w:rsidP="00C978EA">
            <w:pPr>
              <w:spacing w:before="0"/>
              <w:rPr>
                <w:rFonts w:ascii="Verdana" w:hAnsi="Verdana"/>
                <w:color w:val="FFFFFF"/>
                <w:sz w:val="26"/>
                <w:szCs w:val="26"/>
                <w:lang w:val="es-ES"/>
              </w:rPr>
            </w:pPr>
            <w:r>
              <w:rPr>
                <w:b/>
                <w:bCs/>
                <w:lang w:val="es-ES"/>
              </w:rPr>
              <w:t>Oficina de Normalización de las Telecomunicaciones</w:t>
            </w:r>
          </w:p>
        </w:tc>
        <w:tc>
          <w:tcPr>
            <w:tcW w:w="1984" w:type="dxa"/>
            <w:shd w:val="clear" w:color="auto" w:fill="auto"/>
            <w:vAlign w:val="center"/>
          </w:tcPr>
          <w:p w14:paraId="42910059" w14:textId="08EC01DC" w:rsidR="006D775C" w:rsidRPr="00FA2CE2" w:rsidRDefault="006D775C" w:rsidP="315C3A3D">
            <w:pPr>
              <w:spacing w:before="0"/>
              <w:jc w:val="right"/>
              <w:rPr>
                <w:lang w:val="es-ES"/>
              </w:rPr>
            </w:pPr>
          </w:p>
        </w:tc>
      </w:tr>
      <w:tr w:rsidR="006D775C" w:rsidRPr="00DC324F" w14:paraId="12328938" w14:textId="77777777" w:rsidTr="7107ED0C">
        <w:trPr>
          <w:trHeight w:val="80"/>
          <w:jc w:val="center"/>
        </w:trPr>
        <w:tc>
          <w:tcPr>
            <w:tcW w:w="4820" w:type="dxa"/>
            <w:gridSpan w:val="3"/>
            <w:vAlign w:val="center"/>
          </w:tcPr>
          <w:p w14:paraId="2761DBBA" w14:textId="77777777" w:rsidR="006D775C" w:rsidRPr="00FA2CE2" w:rsidRDefault="006D775C" w:rsidP="00C978EA">
            <w:pPr>
              <w:pStyle w:val="Tabletext"/>
              <w:jc w:val="right"/>
              <w:rPr>
                <w:sz w:val="22"/>
                <w:szCs w:val="18"/>
                <w:lang w:val="es-ES"/>
              </w:rPr>
            </w:pPr>
          </w:p>
        </w:tc>
        <w:tc>
          <w:tcPr>
            <w:tcW w:w="5103" w:type="dxa"/>
            <w:gridSpan w:val="2"/>
            <w:vAlign w:val="center"/>
          </w:tcPr>
          <w:p w14:paraId="70373D2B" w14:textId="0530E0E4" w:rsidR="006D775C" w:rsidRPr="00DC324F" w:rsidRDefault="00746EA0" w:rsidP="00C978EA">
            <w:pPr>
              <w:pStyle w:val="Tabletext"/>
              <w:spacing w:before="120" w:after="120"/>
              <w:rPr>
                <w:sz w:val="22"/>
                <w:szCs w:val="18"/>
              </w:rPr>
            </w:pPr>
            <w:r>
              <w:rPr>
                <w:lang w:val="es-ES"/>
              </w:rPr>
              <w:t>Ginebra, 1 de noviembre de 2023</w:t>
            </w:r>
          </w:p>
        </w:tc>
      </w:tr>
      <w:tr w:rsidR="006D775C" w:rsidRPr="00CE1425" w14:paraId="2822328E" w14:textId="77777777" w:rsidTr="7107ED0C">
        <w:trPr>
          <w:trHeight w:val="746"/>
          <w:jc w:val="center"/>
        </w:trPr>
        <w:tc>
          <w:tcPr>
            <w:tcW w:w="1276" w:type="dxa"/>
          </w:tcPr>
          <w:p w14:paraId="37C6E0B7" w14:textId="5210AD04" w:rsidR="006D775C" w:rsidRPr="00DC324F" w:rsidRDefault="00D40F22" w:rsidP="00C978EA">
            <w:pPr>
              <w:pStyle w:val="Tabletext"/>
              <w:rPr>
                <w:sz w:val="22"/>
                <w:szCs w:val="18"/>
              </w:rPr>
            </w:pPr>
            <w:r>
              <w:rPr>
                <w:b/>
                <w:bCs/>
                <w:lang w:val="es-ES"/>
              </w:rPr>
              <w:t>Ref.:</w:t>
            </w:r>
          </w:p>
        </w:tc>
        <w:tc>
          <w:tcPr>
            <w:tcW w:w="3544" w:type="dxa"/>
            <w:gridSpan w:val="2"/>
          </w:tcPr>
          <w:p w14:paraId="63A7AF3C" w14:textId="55A13092" w:rsidR="006D775C" w:rsidRPr="00DC324F" w:rsidRDefault="00D40F22" w:rsidP="7107ED0C">
            <w:pPr>
              <w:pStyle w:val="TSBCircNo"/>
              <w:framePr w:hSpace="0" w:wrap="auto" w:vAnchor="margin" w:hAnchor="text" w:xAlign="left" w:yAlign="inline"/>
            </w:pPr>
            <w:r>
              <w:rPr>
                <w:lang w:val="es-ES"/>
              </w:rPr>
              <w:t>Circular TSB 147</w:t>
            </w:r>
          </w:p>
          <w:p w14:paraId="32FA7A12" w14:textId="5E39E674" w:rsidR="006D775C" w:rsidRPr="00DC324F" w:rsidRDefault="00315F99" w:rsidP="00C978EA">
            <w:pPr>
              <w:pStyle w:val="Tabletext"/>
              <w:rPr>
                <w:sz w:val="22"/>
                <w:szCs w:val="18"/>
              </w:rPr>
            </w:pPr>
            <w:r>
              <w:rPr>
                <w:lang w:val="es-ES"/>
              </w:rPr>
              <w:t>CE 12/MA</w:t>
            </w:r>
          </w:p>
        </w:tc>
        <w:tc>
          <w:tcPr>
            <w:tcW w:w="5103" w:type="dxa"/>
            <w:gridSpan w:val="2"/>
            <w:vMerge w:val="restart"/>
          </w:tcPr>
          <w:p w14:paraId="4E29E63F" w14:textId="77777777" w:rsidR="00315F99" w:rsidRPr="00FA2CE2" w:rsidRDefault="00315F99" w:rsidP="00C978EA">
            <w:pPr>
              <w:pStyle w:val="Tabletext"/>
              <w:rPr>
                <w:sz w:val="22"/>
                <w:szCs w:val="18"/>
                <w:lang w:val="es-ES"/>
              </w:rPr>
            </w:pPr>
            <w:r>
              <w:rPr>
                <w:b/>
                <w:bCs/>
                <w:lang w:val="es-ES"/>
              </w:rPr>
              <w:t>A:</w:t>
            </w:r>
          </w:p>
          <w:p w14:paraId="3103D493" w14:textId="1CF93EAC" w:rsidR="006D775C" w:rsidRPr="00FA2CE2" w:rsidRDefault="006D431C" w:rsidP="00C978EA">
            <w:pPr>
              <w:pStyle w:val="Tabletext"/>
              <w:ind w:left="283" w:hanging="283"/>
              <w:rPr>
                <w:sz w:val="22"/>
                <w:szCs w:val="18"/>
                <w:lang w:val="es-ES"/>
              </w:rPr>
            </w:pPr>
            <w:r w:rsidRPr="006D431C">
              <w:rPr>
                <w:lang w:val="es-ES"/>
              </w:rPr>
              <w:t>–</w:t>
            </w:r>
            <w:r>
              <w:rPr>
                <w:lang w:val="es-ES"/>
              </w:rPr>
              <w:tab/>
            </w:r>
            <w:r w:rsidR="00315F99">
              <w:rPr>
                <w:lang w:val="es-ES"/>
              </w:rPr>
              <w:t>las Administraciones de los Estados Miembros de la Unión;</w:t>
            </w:r>
          </w:p>
          <w:p w14:paraId="7AFED833" w14:textId="77777777" w:rsidR="00165A31" w:rsidRPr="006D431C" w:rsidRDefault="00165A31" w:rsidP="00C978EA">
            <w:pPr>
              <w:pStyle w:val="Tabletext"/>
              <w:rPr>
                <w:sz w:val="22"/>
                <w:szCs w:val="18"/>
                <w:lang w:val="es-ES"/>
              </w:rPr>
            </w:pPr>
            <w:r>
              <w:rPr>
                <w:b/>
                <w:bCs/>
                <w:lang w:val="es-ES"/>
              </w:rPr>
              <w:t>Copia:</w:t>
            </w:r>
          </w:p>
          <w:p w14:paraId="1DB923B3" w14:textId="39B0288D" w:rsidR="00165A31" w:rsidRPr="00445490" w:rsidRDefault="006D431C" w:rsidP="00C978EA">
            <w:pPr>
              <w:pStyle w:val="Tabletext"/>
              <w:ind w:left="283" w:hanging="283"/>
              <w:rPr>
                <w:sz w:val="22"/>
                <w:szCs w:val="18"/>
                <w:lang w:val="es-ES"/>
              </w:rPr>
            </w:pPr>
            <w:r w:rsidRPr="006D431C">
              <w:rPr>
                <w:rFonts w:cstheme="minorHAnsi"/>
                <w:sz w:val="22"/>
                <w:szCs w:val="22"/>
                <w:lang w:val="es-ES"/>
              </w:rPr>
              <w:t>–</w:t>
            </w:r>
            <w:r w:rsidRPr="006D431C">
              <w:rPr>
                <w:rFonts w:cstheme="minorHAnsi"/>
                <w:sz w:val="22"/>
                <w:szCs w:val="22"/>
                <w:lang w:val="es-ES"/>
              </w:rPr>
              <w:tab/>
            </w:r>
            <w:r>
              <w:rPr>
                <w:rFonts w:cstheme="minorHAnsi"/>
                <w:sz w:val="22"/>
                <w:szCs w:val="22"/>
                <w:lang w:val="es-ES"/>
              </w:rPr>
              <w:t xml:space="preserve">A </w:t>
            </w:r>
            <w:r w:rsidR="00165A31">
              <w:rPr>
                <w:lang w:val="es-ES"/>
              </w:rPr>
              <w:t>los Miembros de Sector del UIT-T;</w:t>
            </w:r>
          </w:p>
          <w:p w14:paraId="629B5794" w14:textId="70D53D4D" w:rsidR="00165A31" w:rsidRPr="00445490" w:rsidRDefault="006D431C" w:rsidP="00C978EA">
            <w:pPr>
              <w:pStyle w:val="Tabletext"/>
              <w:ind w:left="283" w:hanging="283"/>
              <w:rPr>
                <w:sz w:val="22"/>
                <w:szCs w:val="18"/>
                <w:lang w:val="es-ES"/>
              </w:rPr>
            </w:pPr>
            <w:r w:rsidRPr="006D431C">
              <w:rPr>
                <w:lang w:val="es-ES"/>
              </w:rPr>
              <w:t>–</w:t>
            </w:r>
            <w:r>
              <w:rPr>
                <w:lang w:val="es-ES"/>
              </w:rPr>
              <w:tab/>
              <w:t xml:space="preserve">A los </w:t>
            </w:r>
            <w:r w:rsidR="00165A31">
              <w:rPr>
                <w:lang w:val="es-ES"/>
              </w:rPr>
              <w:t xml:space="preserve">Asociados de la Comisión de Estudio 12 del UIT–T; </w:t>
            </w:r>
          </w:p>
          <w:p w14:paraId="7C7BA287" w14:textId="12B7AAD7" w:rsidR="00165A31" w:rsidRPr="00445490" w:rsidRDefault="006D431C" w:rsidP="00C978EA">
            <w:pPr>
              <w:pStyle w:val="Tabletext"/>
              <w:ind w:left="283" w:hanging="283"/>
              <w:rPr>
                <w:sz w:val="22"/>
                <w:szCs w:val="18"/>
                <w:lang w:val="es-ES"/>
              </w:rPr>
            </w:pPr>
            <w:r w:rsidRPr="006D431C">
              <w:rPr>
                <w:lang w:val="es-ES"/>
              </w:rPr>
              <w:t>–</w:t>
            </w:r>
            <w:r>
              <w:rPr>
                <w:lang w:val="es-ES"/>
              </w:rPr>
              <w:tab/>
              <w:t xml:space="preserve">A las </w:t>
            </w:r>
            <w:r w:rsidR="00165A31">
              <w:rPr>
                <w:lang w:val="es-ES"/>
              </w:rPr>
              <w:t>Instituciones Académicas de la UIT;</w:t>
            </w:r>
          </w:p>
          <w:p w14:paraId="2E17061C" w14:textId="1590DDFD" w:rsidR="00165A31" w:rsidRPr="00445490" w:rsidRDefault="006D431C" w:rsidP="00C978EA">
            <w:pPr>
              <w:pStyle w:val="Tabletext"/>
              <w:ind w:left="283" w:hanging="283"/>
              <w:rPr>
                <w:sz w:val="22"/>
                <w:szCs w:val="18"/>
                <w:lang w:val="es-ES"/>
              </w:rPr>
            </w:pPr>
            <w:r w:rsidRPr="006D431C">
              <w:rPr>
                <w:lang w:val="es-ES"/>
              </w:rPr>
              <w:t>–</w:t>
            </w:r>
            <w:r>
              <w:rPr>
                <w:lang w:val="es-ES"/>
              </w:rPr>
              <w:tab/>
              <w:t xml:space="preserve">Al </w:t>
            </w:r>
            <w:r w:rsidR="00165A31">
              <w:rPr>
                <w:lang w:val="es-ES"/>
              </w:rPr>
              <w:t>Presidente y a los Vicepresidentes de la Comisión de Estudio 12 del UIT–T;</w:t>
            </w:r>
          </w:p>
          <w:p w14:paraId="44523DC2" w14:textId="5C79B1B1" w:rsidR="00165A31" w:rsidRPr="00445490" w:rsidRDefault="006D431C" w:rsidP="00C978EA">
            <w:pPr>
              <w:pStyle w:val="Tabletext"/>
              <w:ind w:left="283" w:hanging="283"/>
              <w:rPr>
                <w:sz w:val="22"/>
                <w:szCs w:val="18"/>
                <w:lang w:val="es-ES"/>
              </w:rPr>
            </w:pPr>
            <w:r w:rsidRPr="006D431C">
              <w:rPr>
                <w:lang w:val="es-ES"/>
              </w:rPr>
              <w:t>–</w:t>
            </w:r>
            <w:r>
              <w:rPr>
                <w:lang w:val="es-ES"/>
              </w:rPr>
              <w:tab/>
              <w:t>A</w:t>
            </w:r>
            <w:r w:rsidR="00165A31">
              <w:rPr>
                <w:lang w:val="es-ES"/>
              </w:rPr>
              <w:t>l Director de la Oficina de Desarrollo de las Telecomunicaciones;</w:t>
            </w:r>
          </w:p>
          <w:p w14:paraId="3872D355" w14:textId="51FD534C" w:rsidR="00165A31" w:rsidRPr="00FA2CE2" w:rsidRDefault="006D431C" w:rsidP="00C978EA">
            <w:pPr>
              <w:pStyle w:val="Tabletext"/>
              <w:ind w:left="283" w:hanging="283"/>
              <w:rPr>
                <w:sz w:val="22"/>
                <w:szCs w:val="18"/>
                <w:lang w:val="es-ES"/>
              </w:rPr>
            </w:pPr>
            <w:r w:rsidRPr="006D431C">
              <w:rPr>
                <w:lang w:val="es-ES"/>
              </w:rPr>
              <w:t>–</w:t>
            </w:r>
            <w:r>
              <w:rPr>
                <w:lang w:val="es-ES"/>
              </w:rPr>
              <w:tab/>
              <w:t>A</w:t>
            </w:r>
            <w:r w:rsidR="00165A31">
              <w:rPr>
                <w:lang w:val="es-ES"/>
              </w:rPr>
              <w:t>l Director de la Oficina de Radiocomunicaciones.</w:t>
            </w:r>
          </w:p>
        </w:tc>
      </w:tr>
      <w:tr w:rsidR="00315F99" w:rsidRPr="00DC324F" w14:paraId="22805FF0" w14:textId="77777777" w:rsidTr="7107ED0C">
        <w:trPr>
          <w:trHeight w:val="221"/>
          <w:jc w:val="center"/>
        </w:trPr>
        <w:tc>
          <w:tcPr>
            <w:tcW w:w="1276" w:type="dxa"/>
          </w:tcPr>
          <w:p w14:paraId="42FA40C9" w14:textId="77777777" w:rsidR="00315F99" w:rsidRPr="00DC324F" w:rsidRDefault="00315F99" w:rsidP="00C978EA">
            <w:pPr>
              <w:pStyle w:val="Tabletext"/>
              <w:rPr>
                <w:sz w:val="22"/>
                <w:szCs w:val="18"/>
              </w:rPr>
            </w:pPr>
            <w:r>
              <w:rPr>
                <w:b/>
                <w:bCs/>
                <w:lang w:val="es-ES"/>
              </w:rPr>
              <w:t>Tel.:</w:t>
            </w:r>
          </w:p>
        </w:tc>
        <w:tc>
          <w:tcPr>
            <w:tcW w:w="3544" w:type="dxa"/>
            <w:gridSpan w:val="2"/>
          </w:tcPr>
          <w:p w14:paraId="159438A3" w14:textId="3C5A0232" w:rsidR="00315F99" w:rsidRPr="00DC324F" w:rsidRDefault="00315F99" w:rsidP="00C978EA">
            <w:pPr>
              <w:pStyle w:val="Tabletext"/>
              <w:rPr>
                <w:b/>
                <w:sz w:val="22"/>
                <w:szCs w:val="18"/>
              </w:rPr>
            </w:pPr>
            <w:r>
              <w:rPr>
                <w:lang w:val="es-ES"/>
              </w:rPr>
              <w:t>+41 22 730 6828</w:t>
            </w:r>
          </w:p>
        </w:tc>
        <w:tc>
          <w:tcPr>
            <w:tcW w:w="5103" w:type="dxa"/>
            <w:gridSpan w:val="2"/>
            <w:vMerge/>
          </w:tcPr>
          <w:p w14:paraId="724D81FB" w14:textId="77777777" w:rsidR="00315F99" w:rsidRPr="00DC324F" w:rsidRDefault="00315F99" w:rsidP="00C978EA">
            <w:pPr>
              <w:pStyle w:val="Tabletext"/>
              <w:ind w:left="142" w:hanging="142"/>
              <w:rPr>
                <w:sz w:val="22"/>
                <w:szCs w:val="18"/>
              </w:rPr>
            </w:pPr>
          </w:p>
        </w:tc>
      </w:tr>
      <w:tr w:rsidR="00315F99" w:rsidRPr="00DC324F" w14:paraId="2525B5C0" w14:textId="77777777" w:rsidTr="7107ED0C">
        <w:trPr>
          <w:trHeight w:val="2435"/>
          <w:jc w:val="center"/>
        </w:trPr>
        <w:tc>
          <w:tcPr>
            <w:tcW w:w="1276" w:type="dxa"/>
          </w:tcPr>
          <w:p w14:paraId="3899C144" w14:textId="77777777" w:rsidR="00315F99" w:rsidRPr="00DC324F" w:rsidRDefault="00315F99" w:rsidP="00C978EA">
            <w:pPr>
              <w:pStyle w:val="Tabletext"/>
              <w:rPr>
                <w:b/>
                <w:sz w:val="22"/>
                <w:szCs w:val="18"/>
              </w:rPr>
            </w:pPr>
            <w:r>
              <w:rPr>
                <w:b/>
                <w:bCs/>
                <w:lang w:val="es-ES"/>
              </w:rPr>
              <w:t>Fax:</w:t>
            </w:r>
          </w:p>
          <w:p w14:paraId="31ED4771" w14:textId="7D981B1A" w:rsidR="00165A31" w:rsidRPr="00DC324F" w:rsidRDefault="00165A31" w:rsidP="00C978EA">
            <w:pPr>
              <w:pStyle w:val="Tabletext"/>
              <w:rPr>
                <w:sz w:val="22"/>
                <w:szCs w:val="18"/>
              </w:rPr>
            </w:pPr>
            <w:r>
              <w:rPr>
                <w:b/>
                <w:bCs/>
                <w:lang w:val="es-ES"/>
              </w:rPr>
              <w:t>Correo-e:</w:t>
            </w:r>
          </w:p>
        </w:tc>
        <w:tc>
          <w:tcPr>
            <w:tcW w:w="3544" w:type="dxa"/>
            <w:gridSpan w:val="2"/>
          </w:tcPr>
          <w:p w14:paraId="197301F7" w14:textId="7FE45C2E" w:rsidR="00315F99" w:rsidRPr="00DC324F" w:rsidRDefault="00315F99" w:rsidP="00C978EA">
            <w:pPr>
              <w:pStyle w:val="Tabletext"/>
              <w:rPr>
                <w:sz w:val="22"/>
                <w:szCs w:val="18"/>
              </w:rPr>
            </w:pPr>
            <w:r>
              <w:rPr>
                <w:lang w:val="es-ES"/>
              </w:rPr>
              <w:t>+41 22 730 5853</w:t>
            </w:r>
          </w:p>
          <w:p w14:paraId="76DA77F0" w14:textId="67511906" w:rsidR="00165A31" w:rsidRPr="00DC324F" w:rsidRDefault="00000000" w:rsidP="00C978EA">
            <w:pPr>
              <w:pStyle w:val="Tabletext"/>
              <w:rPr>
                <w:b/>
                <w:sz w:val="22"/>
                <w:szCs w:val="18"/>
              </w:rPr>
            </w:pPr>
            <w:hyperlink r:id="rId12" w:history="1">
              <w:r w:rsidR="004F6868">
                <w:rPr>
                  <w:u w:val="single"/>
                </w:rPr>
                <w:t>tsbsg12@itu.int</w:t>
              </w:r>
            </w:hyperlink>
          </w:p>
        </w:tc>
        <w:tc>
          <w:tcPr>
            <w:tcW w:w="5103" w:type="dxa"/>
            <w:gridSpan w:val="2"/>
            <w:vMerge/>
          </w:tcPr>
          <w:p w14:paraId="363833BD" w14:textId="77777777" w:rsidR="00315F99" w:rsidRPr="00DC324F" w:rsidRDefault="00315F99" w:rsidP="00C978EA">
            <w:pPr>
              <w:pStyle w:val="Tabletext"/>
              <w:ind w:left="142" w:hanging="142"/>
              <w:rPr>
                <w:sz w:val="22"/>
                <w:szCs w:val="18"/>
              </w:rPr>
            </w:pPr>
          </w:p>
        </w:tc>
      </w:tr>
      <w:tr w:rsidR="006D775C" w:rsidRPr="00CE1425" w14:paraId="1F5DA09D" w14:textId="77777777" w:rsidTr="7107ED0C">
        <w:trPr>
          <w:trHeight w:val="854"/>
          <w:jc w:val="center"/>
        </w:trPr>
        <w:tc>
          <w:tcPr>
            <w:tcW w:w="1276" w:type="dxa"/>
          </w:tcPr>
          <w:p w14:paraId="06A023BE" w14:textId="77777777" w:rsidR="006D775C" w:rsidRPr="00320E57" w:rsidRDefault="00D40F22" w:rsidP="00C978EA">
            <w:pPr>
              <w:pStyle w:val="Tabletext"/>
              <w:rPr>
                <w:sz w:val="22"/>
                <w:szCs w:val="18"/>
              </w:rPr>
            </w:pPr>
            <w:r>
              <w:rPr>
                <w:b/>
                <w:bCs/>
                <w:lang w:val="es-ES"/>
              </w:rPr>
              <w:t>Asunto:</w:t>
            </w:r>
          </w:p>
        </w:tc>
        <w:tc>
          <w:tcPr>
            <w:tcW w:w="8647" w:type="dxa"/>
            <w:gridSpan w:val="4"/>
          </w:tcPr>
          <w:p w14:paraId="4887DE07" w14:textId="7D50173A" w:rsidR="006D775C" w:rsidRPr="00FA2CE2" w:rsidRDefault="00D40F22" w:rsidP="00C978EA">
            <w:pPr>
              <w:pStyle w:val="Tabletext"/>
              <w:rPr>
                <w:sz w:val="22"/>
                <w:szCs w:val="18"/>
                <w:lang w:val="es-ES"/>
              </w:rPr>
            </w:pPr>
            <w:r>
              <w:rPr>
                <w:b/>
                <w:bCs/>
                <w:lang w:val="es-ES"/>
              </w:rPr>
              <w:t>Propuesta de supresión de las Recomendaciones UIT-T P.911 y P.913 acordada por la CE 12 del UIT-T en su reunión celebrada en Ciudad de México del 19 al 28 de septiembre de 2023</w:t>
            </w:r>
          </w:p>
        </w:tc>
      </w:tr>
    </w:tbl>
    <w:p w14:paraId="1A7DF95A" w14:textId="10F45A0A" w:rsidR="00C978EA" w:rsidRPr="00FA2CE2" w:rsidRDefault="00C978EA" w:rsidP="00C978EA">
      <w:pPr>
        <w:rPr>
          <w:sz w:val="22"/>
          <w:szCs w:val="18"/>
          <w:lang w:val="es-ES"/>
        </w:rPr>
      </w:pPr>
      <w:r>
        <w:rPr>
          <w:lang w:val="es-ES"/>
        </w:rPr>
        <w:t>Muy Señora mía/Muy Señor mío:</w:t>
      </w:r>
    </w:p>
    <w:p w14:paraId="6DD3B98D" w14:textId="5F0406EC" w:rsidR="00C978EA" w:rsidRPr="00FA2CE2" w:rsidRDefault="00C978EA" w:rsidP="00071F8A">
      <w:pPr>
        <w:rPr>
          <w:sz w:val="22"/>
          <w:szCs w:val="18"/>
          <w:lang w:val="es-ES"/>
        </w:rPr>
      </w:pPr>
      <w:r>
        <w:rPr>
          <w:lang w:val="es-ES"/>
        </w:rPr>
        <w:t>1</w:t>
      </w:r>
      <w:r>
        <w:rPr>
          <w:lang w:val="es-ES"/>
        </w:rPr>
        <w:tab/>
        <w:t>A petición del Presidente de la Comisión de Estudio 12 (Calidad de funcionamiento, calidad de servicio (QoS) y calidad percibida (QoE)), tengo el honor de informarle que dicha Comisión de Estudio, en su reunión celebrada en la Ciudad de México del 19 al 28 de septiembre de 2023, acordó iniciar la supresión de las Recomendaciones UIT-T mencionadas arriba, de conformidad con lo dispuesto en la cláusula 9.8.2.1 de la Resolución 1 de la AMNT (Rev. 2022). Este acuerdo se alcanzó sin la oposición de los Estados Miembros o Miembros de Sector presentes en la reunión que actúan en nombre de los Estados Miembros en virtud del número 239 del Convenio de la UIT.</w:t>
      </w:r>
    </w:p>
    <w:p w14:paraId="6E82377A" w14:textId="77777777" w:rsidR="00C978EA" w:rsidRPr="00FA2CE2" w:rsidRDefault="00C978EA" w:rsidP="00C978EA">
      <w:pPr>
        <w:rPr>
          <w:sz w:val="22"/>
          <w:szCs w:val="18"/>
          <w:lang w:val="es-ES"/>
        </w:rPr>
      </w:pPr>
      <w:r>
        <w:rPr>
          <w:lang w:val="es-ES"/>
        </w:rPr>
        <w:t>2</w:t>
      </w:r>
      <w:r>
        <w:rPr>
          <w:lang w:val="es-ES"/>
        </w:rPr>
        <w:tab/>
        <w:t xml:space="preserve">En el </w:t>
      </w:r>
      <w:r w:rsidRPr="00FA2CE2">
        <w:rPr>
          <w:b/>
          <w:bCs/>
          <w:lang w:val="es-ES"/>
        </w:rPr>
        <w:t>Anexo 1</w:t>
      </w:r>
      <w:r>
        <w:rPr>
          <w:lang w:val="es-ES"/>
        </w:rPr>
        <w:t xml:space="preserve"> se facilita información sobre este acuerdo, incluido un resumen explicativo acerca de los motivos de la supresión.</w:t>
      </w:r>
    </w:p>
    <w:p w14:paraId="14973AD5" w14:textId="187411C0" w:rsidR="00C978EA" w:rsidRPr="00FA2CE2" w:rsidRDefault="00C978EA" w:rsidP="00631EE3">
      <w:pPr>
        <w:rPr>
          <w:sz w:val="22"/>
          <w:szCs w:val="18"/>
          <w:lang w:val="es-ES"/>
        </w:rPr>
      </w:pPr>
      <w:r>
        <w:rPr>
          <w:lang w:val="es-ES"/>
        </w:rPr>
        <w:t>3</w:t>
      </w:r>
      <w:r>
        <w:rPr>
          <w:lang w:val="es-ES"/>
        </w:rPr>
        <w:tab/>
        <w:t xml:space="preserve">De conformidad con la cláusula 9.8.2.1 de la Resolución 1, la supresión entrará en vigor si no se recibe ninguna objeción a la supresión antes de las 23.59 horas UTC del </w:t>
      </w:r>
      <w:r w:rsidRPr="00FA2CE2">
        <w:rPr>
          <w:b/>
          <w:bCs/>
          <w:lang w:val="es-ES"/>
        </w:rPr>
        <w:t>1 de febrero de 2024</w:t>
      </w:r>
      <w:r>
        <w:rPr>
          <w:lang w:val="es-ES"/>
        </w:rPr>
        <w:t>.</w:t>
      </w:r>
    </w:p>
    <w:p w14:paraId="08B8CC6F" w14:textId="4B86BEC2" w:rsidR="00C978EA" w:rsidRPr="00445490" w:rsidRDefault="00C978EA" w:rsidP="00C978EA">
      <w:pPr>
        <w:rPr>
          <w:sz w:val="22"/>
          <w:szCs w:val="18"/>
          <w:lang w:val="es-ES"/>
        </w:rPr>
      </w:pPr>
      <w:r>
        <w:rPr>
          <w:lang w:val="es-ES"/>
        </w:rPr>
        <w:tab/>
        <w:t>Si algunos Estados Miembros o Miembros de Sector que actúan en nombre de los Estados Miembros en virtud del número 239 del Convenio de la UIT consideran que no debe aceptarse la supresión, deberán comunicar los motivos de su oposición, tras lo cual el asunto volverá a la Comisión de Estudio.</w:t>
      </w:r>
    </w:p>
    <w:p w14:paraId="348763A4" w14:textId="59D6931B" w:rsidR="00C978EA" w:rsidRDefault="00C978EA" w:rsidP="00C978EA">
      <w:pPr>
        <w:tabs>
          <w:tab w:val="left" w:pos="1296"/>
          <w:tab w:val="left" w:pos="2160"/>
          <w:tab w:val="left" w:pos="3024"/>
          <w:tab w:val="left" w:pos="7056"/>
          <w:tab w:val="left" w:pos="8496"/>
        </w:tabs>
        <w:rPr>
          <w:lang w:val="es-ES"/>
        </w:rPr>
      </w:pPr>
      <w:r>
        <w:rPr>
          <w:lang w:val="es-ES"/>
        </w:rPr>
        <w:t>4</w:t>
      </w:r>
      <w:r>
        <w:rPr>
          <w:lang w:val="es-ES"/>
        </w:rPr>
        <w:tab/>
        <w:t>El resultado de esta consulta se comunicará poco después de la fecha límite mediante Circular TSB y se publicará en el Boletín de Explotación de la UIT.</w:t>
      </w:r>
    </w:p>
    <w:p w14:paraId="43CA6269" w14:textId="77777777" w:rsidR="009F6035" w:rsidRDefault="009F6035" w:rsidP="009F6035">
      <w:pPr>
        <w:spacing w:before="240"/>
        <w:rPr>
          <w:sz w:val="22"/>
          <w:szCs w:val="18"/>
          <w:lang w:val="es-ES"/>
        </w:rPr>
      </w:pPr>
    </w:p>
    <w:p w14:paraId="2E8C6112" w14:textId="614C3642" w:rsidR="009F6035" w:rsidRPr="00FA2CE2" w:rsidRDefault="00C978EA" w:rsidP="009F6035">
      <w:pPr>
        <w:spacing w:before="960"/>
        <w:rPr>
          <w:lang w:val="es-ES"/>
        </w:rPr>
      </w:pPr>
      <w:r>
        <w:rPr>
          <w:lang w:val="es-ES"/>
        </w:rPr>
        <w:lastRenderedPageBreak/>
        <w:t>Le saluda atentamente</w:t>
      </w:r>
      <w:r w:rsidR="009F6035">
        <w:rPr>
          <w:lang w:val="es-ES"/>
        </w:rPr>
        <w:t>,</w:t>
      </w:r>
      <w:r w:rsidR="009F6035" w:rsidRPr="00397966">
        <w:rPr>
          <w:noProof/>
          <w:szCs w:val="22"/>
        </w:rPr>
        <w:drawing>
          <wp:anchor distT="0" distB="0" distL="114300" distR="114300" simplePos="0" relativeHeight="251659264" behindDoc="1" locked="0" layoutInCell="1" allowOverlap="1" wp14:anchorId="0EC0E5AC" wp14:editId="798D746E">
            <wp:simplePos x="0" y="0"/>
            <wp:positionH relativeFrom="margin">
              <wp:align>left</wp:align>
            </wp:positionH>
            <wp:positionV relativeFrom="paragraph">
              <wp:posOffset>266700</wp:posOffset>
            </wp:positionV>
            <wp:extent cx="711835" cy="320675"/>
            <wp:effectExtent l="0" t="0" r="0" b="3175"/>
            <wp:wrapNone/>
            <wp:docPr id="1" name="Picture 1"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logo, graphics, whit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11835" cy="320675"/>
                    </a:xfrm>
                    <a:prstGeom prst="rect">
                      <a:avLst/>
                    </a:prstGeom>
                  </pic:spPr>
                </pic:pic>
              </a:graphicData>
            </a:graphic>
            <wp14:sizeRelH relativeFrom="margin">
              <wp14:pctWidth>0</wp14:pctWidth>
            </wp14:sizeRelH>
            <wp14:sizeRelV relativeFrom="margin">
              <wp14:pctHeight>0</wp14:pctHeight>
            </wp14:sizeRelV>
          </wp:anchor>
        </w:drawing>
      </w:r>
    </w:p>
    <w:p w14:paraId="12281280" w14:textId="53C0C5D9" w:rsidR="00C978EA" w:rsidRPr="00FA2CE2" w:rsidRDefault="009F6035" w:rsidP="009F6035">
      <w:pPr>
        <w:spacing w:before="960"/>
        <w:rPr>
          <w:lang w:val="es-ES"/>
        </w:rPr>
      </w:pPr>
      <w:r w:rsidRPr="009F6035">
        <w:rPr>
          <w:lang w:val="es-ES"/>
        </w:rPr>
        <w:t>Seizo Onoe</w:t>
      </w:r>
      <w:r w:rsidRPr="009F6035">
        <w:rPr>
          <w:lang w:val="es-ES"/>
        </w:rPr>
        <w:br/>
        <w:t>Director de la Oficina de</w:t>
      </w:r>
      <w:r w:rsidRPr="009F6035">
        <w:rPr>
          <w:lang w:val="es-ES"/>
        </w:rPr>
        <w:br/>
      </w:r>
      <w:r w:rsidRPr="009F6035">
        <w:rPr>
          <w:szCs w:val="22"/>
          <w:lang w:val="es-ES"/>
        </w:rPr>
        <w:t>Normalización de las Telecomunicaciones</w:t>
      </w:r>
      <w:r>
        <w:rPr>
          <w:lang w:val="es-ES"/>
        </w:rPr>
        <w:t xml:space="preserve"> </w:t>
      </w:r>
      <w:r w:rsidR="004F6868">
        <w:rPr>
          <w:lang w:val="es-ES"/>
        </w:rPr>
        <w:t>de las Telecomunicaciones</w:t>
      </w:r>
    </w:p>
    <w:p w14:paraId="2BA21AB4" w14:textId="4448D638" w:rsidR="009F6035" w:rsidRPr="009F6035" w:rsidRDefault="00C978EA" w:rsidP="009F6035">
      <w:pPr>
        <w:spacing w:before="360"/>
        <w:rPr>
          <w:lang w:val="es-ES"/>
        </w:rPr>
      </w:pPr>
      <w:r w:rsidRPr="00FA2CE2">
        <w:rPr>
          <w:b/>
          <w:bCs/>
          <w:lang w:val="es-ES"/>
        </w:rPr>
        <w:t>Anexo:</w:t>
      </w:r>
      <w:r>
        <w:rPr>
          <w:lang w:val="es-ES"/>
        </w:rPr>
        <w:t xml:space="preserve"> 1</w:t>
      </w:r>
    </w:p>
    <w:p w14:paraId="317E1BDF" w14:textId="762CFC1E" w:rsidR="009F6035" w:rsidRPr="00445490" w:rsidRDefault="00C978EA" w:rsidP="00C978EA">
      <w:pPr>
        <w:rPr>
          <w:lang w:val="es-ES"/>
        </w:rPr>
      </w:pPr>
      <w:r w:rsidRPr="00445490">
        <w:rPr>
          <w:lang w:val="es-ES"/>
        </w:rPr>
        <w:br w:type="page"/>
      </w:r>
    </w:p>
    <w:p w14:paraId="2B01A3BE" w14:textId="4229DB03" w:rsidR="00FA2CE2" w:rsidRDefault="005638D8" w:rsidP="00092594">
      <w:pPr>
        <w:jc w:val="center"/>
        <w:rPr>
          <w:b/>
          <w:bCs/>
          <w:lang w:val="es-ES"/>
        </w:rPr>
      </w:pPr>
      <w:r>
        <w:rPr>
          <w:b/>
          <w:bCs/>
          <w:lang w:val="es-ES"/>
        </w:rPr>
        <w:lastRenderedPageBreak/>
        <w:t>Anexo 1</w:t>
      </w:r>
    </w:p>
    <w:p w14:paraId="0EE3A17F" w14:textId="19BAB6C0" w:rsidR="00315F99" w:rsidRPr="00445490" w:rsidRDefault="005638D8" w:rsidP="00092594">
      <w:pPr>
        <w:jc w:val="center"/>
        <w:rPr>
          <w:b/>
          <w:bCs/>
          <w:sz w:val="28"/>
          <w:szCs w:val="22"/>
          <w:lang w:val="es-ES"/>
        </w:rPr>
      </w:pPr>
      <w:r>
        <w:rPr>
          <w:b/>
          <w:bCs/>
          <w:lang w:val="es-ES"/>
        </w:rPr>
        <w:t>Recomendaci</w:t>
      </w:r>
      <w:r w:rsidR="00FA2CE2">
        <w:rPr>
          <w:b/>
          <w:bCs/>
          <w:lang w:val="es-ES"/>
        </w:rPr>
        <w:t>ones</w:t>
      </w:r>
      <w:r>
        <w:rPr>
          <w:b/>
          <w:bCs/>
          <w:lang w:val="es-ES"/>
        </w:rPr>
        <w:t xml:space="preserve"> cuya supresión se ha propuesto: UIT-T P.911, UIT-T P.913</w:t>
      </w:r>
    </w:p>
    <w:p w14:paraId="26EEA9BD" w14:textId="77777777" w:rsidR="00F94B4C" w:rsidRPr="00445490" w:rsidRDefault="00F94B4C" w:rsidP="00092594">
      <w:pPr>
        <w:jc w:val="center"/>
        <w:rPr>
          <w:lang w:val="es-ES" w:eastAsia="ja-JP"/>
        </w:rPr>
      </w:pPr>
    </w:p>
    <w:tbl>
      <w:tblPr>
        <w:tblStyle w:val="TableGrid"/>
        <w:tblW w:w="0" w:type="auto"/>
        <w:tblLayout w:type="fixed"/>
        <w:tblLook w:val="04A0" w:firstRow="1" w:lastRow="0" w:firstColumn="1" w:lastColumn="0" w:noHBand="0" w:noVBand="1"/>
      </w:tblPr>
      <w:tblGrid>
        <w:gridCol w:w="9719"/>
      </w:tblGrid>
      <w:tr w:rsidR="00AE6D6D" w:rsidRPr="00CE1425" w14:paraId="2AB8F7CE" w14:textId="77777777" w:rsidTr="00AE6D6D">
        <w:tc>
          <w:tcPr>
            <w:tcW w:w="9719" w:type="dxa"/>
          </w:tcPr>
          <w:p w14:paraId="67A47212" w14:textId="1E9B4A79" w:rsidR="00AE6D6D" w:rsidRPr="00FA2CE2" w:rsidRDefault="00AE6D6D" w:rsidP="00035BC0">
            <w:pPr>
              <w:spacing w:before="240"/>
              <w:rPr>
                <w:b/>
                <w:bCs/>
                <w:lang w:val="es-ES"/>
              </w:rPr>
            </w:pPr>
            <w:r>
              <w:rPr>
                <w:b/>
                <w:bCs/>
                <w:lang w:val="es-ES"/>
              </w:rPr>
              <w:t>Recomendación UIT-T P.911, Métodos de evaluación subjetiva de la calidad audiovisual para aplicaciones multimedios (12/1998).</w:t>
            </w:r>
          </w:p>
        </w:tc>
      </w:tr>
      <w:tr w:rsidR="00AE6D6D" w:rsidRPr="00AE6D6D" w14:paraId="7F0676E6" w14:textId="77777777" w:rsidTr="00AE6D6D">
        <w:tc>
          <w:tcPr>
            <w:tcW w:w="9719" w:type="dxa"/>
          </w:tcPr>
          <w:p w14:paraId="08E2C75A" w14:textId="1FA81ADD" w:rsidR="00AE6D6D" w:rsidRPr="00AE6D6D" w:rsidRDefault="00AE6D6D" w:rsidP="00DA4BB4">
            <w:pPr>
              <w:rPr>
                <w:i/>
                <w:iCs/>
              </w:rPr>
            </w:pPr>
            <w:r>
              <w:rPr>
                <w:i/>
                <w:iCs/>
                <w:lang w:val="es-ES"/>
              </w:rPr>
              <w:t>Resumen:</w:t>
            </w:r>
          </w:p>
        </w:tc>
      </w:tr>
      <w:tr w:rsidR="00AE6D6D" w:rsidRPr="00CE1425" w14:paraId="0F012ABB" w14:textId="77777777" w:rsidTr="00AE6D6D">
        <w:tc>
          <w:tcPr>
            <w:tcW w:w="9719" w:type="dxa"/>
          </w:tcPr>
          <w:p w14:paraId="360C4007" w14:textId="32252130" w:rsidR="00AE6D6D" w:rsidRPr="00445490" w:rsidRDefault="008160DE" w:rsidP="00343E4A">
            <w:pPr>
              <w:rPr>
                <w:lang w:val="es-ES"/>
              </w:rPr>
            </w:pPr>
            <w:r>
              <w:rPr>
                <w:lang w:val="es-ES"/>
              </w:rPr>
              <w:t>En esta Recomendación se describen métodos de evaluación subjetiva no interactivos para determinar la calidad general de vídeo unidireccional en aplicaciones multimedios tales como la videoconferencia, el de almacenamiento con recuperación, la telemedicina, etc. Estos métodos pueden ser utilizados para diversos fines incluidos, entre otros, la selección de algoritmos, la clasificación de la calidad de funcionamiento de sistemas audiovisuales y la evaluación del nivel de calidad durante una conexión audiovisual. Cuando haya que evaluar aspectos interactivos, deben utilizarse los métodos de prueba de conversación descritos en la Recomendación P.920. Esta Recomendación también describe las características de las secuencias fuente que han de utilizarse, como duración, tipo de contenido, número de secuencias, etc. Por último, proporciona indicaciones sobre la relación entre la calidad de audio, vídeo y audiovisual, tal y como se obtuvieron de los resultados de pruebas realizadas de forma independiente en diferentes laboratorios.</w:t>
            </w:r>
          </w:p>
        </w:tc>
      </w:tr>
      <w:tr w:rsidR="00AE6D6D" w:rsidRPr="00CE1425" w14:paraId="0024077B" w14:textId="77777777" w:rsidTr="00AE6D6D">
        <w:tc>
          <w:tcPr>
            <w:tcW w:w="9719" w:type="dxa"/>
          </w:tcPr>
          <w:p w14:paraId="3AD107C6" w14:textId="76869041" w:rsidR="00AE6D6D" w:rsidRPr="00FA2CE2" w:rsidRDefault="00AE6D6D" w:rsidP="00AE6D6D">
            <w:pPr>
              <w:rPr>
                <w:i/>
                <w:iCs/>
                <w:lang w:val="es-ES"/>
              </w:rPr>
            </w:pPr>
            <w:r>
              <w:rPr>
                <w:i/>
                <w:iCs/>
                <w:lang w:val="es-ES"/>
              </w:rPr>
              <w:t>Motivos para suprimir la Recomendación arriba indicada:</w:t>
            </w:r>
          </w:p>
        </w:tc>
      </w:tr>
      <w:tr w:rsidR="00AE6D6D" w:rsidRPr="00CE1425" w14:paraId="0466DE1D" w14:textId="77777777" w:rsidTr="00AE6D6D">
        <w:tc>
          <w:tcPr>
            <w:tcW w:w="9719" w:type="dxa"/>
          </w:tcPr>
          <w:p w14:paraId="7062FBB8" w14:textId="29BA0AE2" w:rsidR="008160DE" w:rsidRPr="00FA2CE2" w:rsidRDefault="008160DE" w:rsidP="008160DE">
            <w:pPr>
              <w:pStyle w:val="Headingb"/>
              <w:spacing w:before="120"/>
              <w:rPr>
                <w:b w:val="0"/>
                <w:bCs/>
                <w:szCs w:val="24"/>
                <w:lang w:val="es-ES"/>
              </w:rPr>
            </w:pPr>
            <w:r w:rsidRPr="00FA2CE2">
              <w:rPr>
                <w:b w:val="0"/>
                <w:bCs/>
                <w:lang w:val="es-ES"/>
              </w:rPr>
              <w:t>Se revisó la Recomendación UIT-T P.910, "Métodos de evaluación subjetiva de la calidad de vídeo para aplicaciones multimedios", incorporando el contenido de las Recomendaciones UIT-T P.911, "Métodos de evaluación subjetiva de la calidad audiovisual para aplicaciones multimedios", y UIT-T P.913, "Métodos para la evaluación subjetiva de la calidad de vídeo, la calidad de audio y audiovisual del vídeo por Internet y la calidad de distribución de televisión en cualquier entorno".</w:t>
            </w:r>
          </w:p>
          <w:p w14:paraId="013FB747" w14:textId="7499ED06" w:rsidR="00AE6D6D" w:rsidRPr="00FA2CE2" w:rsidRDefault="008160DE" w:rsidP="008160DE">
            <w:pPr>
              <w:pStyle w:val="Headingb"/>
              <w:spacing w:before="120"/>
              <w:rPr>
                <w:b w:val="0"/>
                <w:bCs/>
                <w:lang w:val="es-ES"/>
              </w:rPr>
            </w:pPr>
            <w:r w:rsidRPr="00FA2CE2">
              <w:rPr>
                <w:b w:val="0"/>
                <w:bCs/>
                <w:lang w:val="es-ES"/>
              </w:rPr>
              <w:t>Tras la aprobación de la Recomendación UIT-T P.910 revisada (octubre de 2023), se propone la supresión de las Recomendaciones UIT-T P.911 y UIT-T P.913.</w:t>
            </w:r>
          </w:p>
        </w:tc>
      </w:tr>
    </w:tbl>
    <w:p w14:paraId="28F34D7B" w14:textId="77777777" w:rsidR="005F755F" w:rsidRPr="00FA2CE2" w:rsidRDefault="005F755F" w:rsidP="005F755F">
      <w:pPr>
        <w:rPr>
          <w:lang w:val="es-ES" w:eastAsia="ja-JP"/>
        </w:rPr>
      </w:pPr>
    </w:p>
    <w:tbl>
      <w:tblPr>
        <w:tblStyle w:val="TableGrid"/>
        <w:tblW w:w="0" w:type="auto"/>
        <w:tblLayout w:type="fixed"/>
        <w:tblLook w:val="04A0" w:firstRow="1" w:lastRow="0" w:firstColumn="1" w:lastColumn="0" w:noHBand="0" w:noVBand="1"/>
      </w:tblPr>
      <w:tblGrid>
        <w:gridCol w:w="9719"/>
      </w:tblGrid>
      <w:tr w:rsidR="00035BC0" w:rsidRPr="00CE1425" w14:paraId="09A794E6" w14:textId="77777777" w:rsidTr="00D21ECF">
        <w:tc>
          <w:tcPr>
            <w:tcW w:w="9719" w:type="dxa"/>
          </w:tcPr>
          <w:p w14:paraId="5FF308DB" w14:textId="18CC855F" w:rsidR="00035BC0" w:rsidRPr="00FA2CE2" w:rsidRDefault="00035BC0" w:rsidP="00D21ECF">
            <w:pPr>
              <w:spacing w:before="240"/>
              <w:rPr>
                <w:b/>
                <w:bCs/>
                <w:lang w:val="es-ES"/>
              </w:rPr>
            </w:pPr>
            <w:r>
              <w:rPr>
                <w:b/>
                <w:bCs/>
                <w:lang w:val="es-ES"/>
              </w:rPr>
              <w:t>ITU-T P.913 (06/2021): Métodos para la evaluación subjetiva de la calidad de vídeo, la calidad de audio, la calidad audiovisual del vídeo por Internet y la calidad de distribución de televisión en cualquier entorno</w:t>
            </w:r>
          </w:p>
        </w:tc>
      </w:tr>
      <w:tr w:rsidR="00035BC0" w:rsidRPr="00AE6D6D" w14:paraId="36D3DBC6" w14:textId="77777777" w:rsidTr="00D21ECF">
        <w:tc>
          <w:tcPr>
            <w:tcW w:w="9719" w:type="dxa"/>
          </w:tcPr>
          <w:p w14:paraId="7D07FF23" w14:textId="77777777" w:rsidR="00035BC0" w:rsidRPr="00AE6D6D" w:rsidRDefault="00035BC0" w:rsidP="00D21ECF">
            <w:pPr>
              <w:rPr>
                <w:i/>
                <w:iCs/>
              </w:rPr>
            </w:pPr>
            <w:r>
              <w:rPr>
                <w:i/>
                <w:iCs/>
                <w:lang w:val="es-ES"/>
              </w:rPr>
              <w:t>Resumen:</w:t>
            </w:r>
          </w:p>
        </w:tc>
      </w:tr>
      <w:tr w:rsidR="00035BC0" w:rsidRPr="00CE1425" w14:paraId="22C56239" w14:textId="77777777" w:rsidTr="00D21ECF">
        <w:tc>
          <w:tcPr>
            <w:tcW w:w="9719" w:type="dxa"/>
          </w:tcPr>
          <w:p w14:paraId="78A310B8" w14:textId="0CDC50BA" w:rsidR="00035BC0" w:rsidRPr="00FA2CE2" w:rsidRDefault="008160DE" w:rsidP="00343E4A">
            <w:pPr>
              <w:rPr>
                <w:lang w:val="es-ES"/>
              </w:rPr>
            </w:pPr>
            <w:r>
              <w:rPr>
                <w:lang w:val="es-ES"/>
              </w:rPr>
              <w:t>En la Recomendación UIT-T P.913 se describen métodos de evaluación subjetiva no interactivos, destinados a evaluar en términos generales la calidad de vídeo, la calidad de audio y la calidad audiovisual en un sentido unidireccional, para aplicaciones tales como las de vídeo por Internet y las de vídeo de calidad de distribución. Estos métodos se pueden utilizar con diversos fines, por ejemplo, comparar la calidad de múltiples dispositivos, comparar el rendimiento de un dispositivo en varios entornos y llevar a cabo una evaluación subjetiva cuando se confundan las repercusiones del dispositivo y del material audiovisual sobre la calidad, entre otros.</w:t>
            </w:r>
          </w:p>
        </w:tc>
      </w:tr>
      <w:tr w:rsidR="00035BC0" w:rsidRPr="00CE1425" w14:paraId="41DCA080" w14:textId="77777777" w:rsidTr="00D21ECF">
        <w:tc>
          <w:tcPr>
            <w:tcW w:w="9719" w:type="dxa"/>
          </w:tcPr>
          <w:p w14:paraId="0955F675" w14:textId="160E47CA" w:rsidR="00035BC0" w:rsidRPr="00FA2CE2" w:rsidRDefault="00035BC0" w:rsidP="00D21ECF">
            <w:pPr>
              <w:rPr>
                <w:i/>
                <w:iCs/>
                <w:lang w:val="es-ES"/>
              </w:rPr>
            </w:pPr>
            <w:r>
              <w:rPr>
                <w:i/>
                <w:iCs/>
                <w:lang w:val="es-ES"/>
              </w:rPr>
              <w:t>Motivos para suprimir la Recomendación arriba indicada:</w:t>
            </w:r>
          </w:p>
        </w:tc>
      </w:tr>
      <w:tr w:rsidR="00343E4A" w:rsidRPr="00CE1425" w14:paraId="2B800FC1" w14:textId="77777777" w:rsidTr="00D21ECF">
        <w:tc>
          <w:tcPr>
            <w:tcW w:w="9719" w:type="dxa"/>
          </w:tcPr>
          <w:p w14:paraId="3941C71A" w14:textId="1AB4DCF5" w:rsidR="00343E4A" w:rsidRPr="00FA2CE2" w:rsidRDefault="00343E4A" w:rsidP="00D21ECF">
            <w:pPr>
              <w:rPr>
                <w:i/>
                <w:iCs/>
                <w:lang w:val="es-ES"/>
              </w:rPr>
            </w:pPr>
            <w:r>
              <w:rPr>
                <w:lang w:val="es-ES"/>
              </w:rPr>
              <w:t xml:space="preserve">Véanse los motivos para suprimir la </w:t>
            </w:r>
            <w:r w:rsidRPr="00FA2CE2">
              <w:rPr>
                <w:b/>
                <w:bCs/>
                <w:lang w:val="es-ES"/>
              </w:rPr>
              <w:t>Recomendación UIT-T P.911, Métodos de evaluación subjetiva de la calidad audiovisual para aplicaciones multimedios (12/1998)</w:t>
            </w:r>
            <w:r>
              <w:rPr>
                <w:lang w:val="es-ES"/>
              </w:rPr>
              <w:t>.</w:t>
            </w:r>
          </w:p>
        </w:tc>
      </w:tr>
    </w:tbl>
    <w:p w14:paraId="1F85754D" w14:textId="77777777" w:rsidR="00B67CF7" w:rsidRDefault="00B67CF7">
      <w:pPr>
        <w:jc w:val="center"/>
      </w:pPr>
      <w:r>
        <w:t>______________</w:t>
      </w:r>
    </w:p>
    <w:sectPr w:rsidR="00B67CF7" w:rsidSect="006D775C">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49A9" w14:textId="77777777" w:rsidR="000A4844" w:rsidRDefault="000A4844">
      <w:r>
        <w:separator/>
      </w:r>
    </w:p>
  </w:endnote>
  <w:endnote w:type="continuationSeparator" w:id="0">
    <w:p w14:paraId="4C63AD5E" w14:textId="77777777" w:rsidR="000A4844" w:rsidRDefault="000A4844">
      <w:r>
        <w:continuationSeparator/>
      </w:r>
    </w:p>
  </w:endnote>
  <w:endnote w:type="continuationNotice" w:id="1">
    <w:p w14:paraId="19824BCA" w14:textId="77777777" w:rsidR="000A4844" w:rsidRDefault="000A48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5BEA" w14:textId="77777777" w:rsidR="00CE1425" w:rsidRDefault="00CE1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5B6" w14:textId="11242350" w:rsidR="006D775C" w:rsidRPr="00CE1425" w:rsidRDefault="006D775C" w:rsidP="00CE1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6D775C" w:rsidRPr="00FA2CE2" w:rsidRDefault="00D40F22">
    <w:pPr>
      <w:pStyle w:val="FirstFooter"/>
      <w:ind w:left="-397" w:right="-397"/>
      <w:jc w:val="center"/>
      <w:rPr>
        <w:color w:val="0070C0"/>
        <w:lang w:val="es-ES"/>
      </w:rPr>
    </w:pPr>
    <w:r>
      <w:rPr>
        <w:lang w:val="es-ES"/>
      </w:rPr>
      <w:t>Unión Internacional de Telecomunicaciones • Place des Nations • CH-1211 Ginebra 20 Suiza Tel: +41 22 730 5111 • Fax: +41 22 733 7256 • Correo electrónico: itumail@itu.int •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5AC3" w14:textId="77777777" w:rsidR="000A4844" w:rsidRDefault="000A4844">
      <w:r>
        <w:t>____________________</w:t>
      </w:r>
    </w:p>
  </w:footnote>
  <w:footnote w:type="continuationSeparator" w:id="0">
    <w:p w14:paraId="1E664780" w14:textId="77777777" w:rsidR="000A4844" w:rsidRDefault="000A4844">
      <w:r>
        <w:continuationSeparator/>
      </w:r>
    </w:p>
  </w:footnote>
  <w:footnote w:type="continuationNotice" w:id="1">
    <w:p w14:paraId="0BA09C17" w14:textId="77777777" w:rsidR="000A4844" w:rsidRDefault="000A48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7B60" w14:textId="77777777" w:rsidR="00CE1425" w:rsidRDefault="00CE1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36C" w14:textId="0BA1D898" w:rsidR="005815AD" w:rsidRDefault="005815A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00C978EA">
      <w:rPr>
        <w:sz w:val="18"/>
      </w:rPr>
      <w:fldChar w:fldCharType="begin"/>
    </w:r>
    <w:r w:rsidR="00C978EA">
      <w:rPr>
        <w:sz w:val="18"/>
      </w:rPr>
      <w:instrText xml:space="preserve"> styleref TSBCircNo </w:instrText>
    </w:r>
    <w:r w:rsidR="00C978EA">
      <w:rPr>
        <w:sz w:val="18"/>
      </w:rPr>
      <w:fldChar w:fldCharType="separate"/>
    </w:r>
    <w:r w:rsidR="003E570F">
      <w:rPr>
        <w:noProof/>
        <w:sz w:val="18"/>
      </w:rPr>
      <w:t>Circular TSB 147</w:t>
    </w:r>
    <w:r w:rsidR="00C978EA">
      <w:rPr>
        <w:sz w:val="18"/>
      </w:rPr>
      <w:fldChar w:fldCharType="end"/>
    </w:r>
  </w:p>
  <w:p w14:paraId="048A0CB5" w14:textId="77777777" w:rsidR="006D775C" w:rsidRDefault="006D775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7107ED0C" w14:paraId="66310683" w14:textId="77777777" w:rsidTr="7107ED0C">
      <w:trPr>
        <w:trHeight w:val="300"/>
      </w:trPr>
      <w:tc>
        <w:tcPr>
          <w:tcW w:w="3240" w:type="dxa"/>
        </w:tcPr>
        <w:p w14:paraId="69CDFE52" w14:textId="72F823FA" w:rsidR="7107ED0C" w:rsidRDefault="7107ED0C" w:rsidP="7107ED0C">
          <w:pPr>
            <w:pStyle w:val="Header"/>
            <w:ind w:left="-115"/>
            <w:jc w:val="left"/>
          </w:pPr>
        </w:p>
      </w:tc>
      <w:tc>
        <w:tcPr>
          <w:tcW w:w="3240" w:type="dxa"/>
        </w:tcPr>
        <w:p w14:paraId="5A5C000E" w14:textId="4FE54A74" w:rsidR="7107ED0C" w:rsidRDefault="7107ED0C" w:rsidP="7107ED0C">
          <w:pPr>
            <w:pStyle w:val="Header"/>
          </w:pPr>
        </w:p>
      </w:tc>
      <w:tc>
        <w:tcPr>
          <w:tcW w:w="3240" w:type="dxa"/>
        </w:tcPr>
        <w:p w14:paraId="131562F1" w14:textId="7B0BE499" w:rsidR="7107ED0C" w:rsidRDefault="7107ED0C" w:rsidP="7107ED0C">
          <w:pPr>
            <w:pStyle w:val="Header"/>
            <w:ind w:right="-115"/>
            <w:jc w:val="right"/>
          </w:pPr>
        </w:p>
      </w:tc>
    </w:tr>
  </w:tbl>
  <w:p w14:paraId="7EA74EE4" w14:textId="4998EB6B" w:rsidR="7107ED0C" w:rsidRDefault="7107ED0C" w:rsidP="7107E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C21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41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67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865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AEAF7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C60D5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5206F8"/>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AAD6C"/>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CA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C8B7C"/>
    <w:lvl w:ilvl="0">
      <w:start w:val="1"/>
      <w:numFmt w:val="bullet"/>
      <w:lvlText w:val="ï‚·"/>
      <w:lvlJc w:val="left"/>
      <w:pPr>
        <w:tabs>
          <w:tab w:val="num" w:pos="360"/>
        </w:tabs>
        <w:ind w:left="360" w:hanging="360"/>
      </w:pPr>
      <w:rPr>
        <w:rFonts w:ascii="Symbol" w:hAnsi="Symbol" w:hint="default"/>
      </w:rPr>
    </w:lvl>
  </w:abstractNum>
  <w:num w:numId="1" w16cid:durableId="689526884">
    <w:abstractNumId w:val="9"/>
  </w:num>
  <w:num w:numId="2" w16cid:durableId="1818642893">
    <w:abstractNumId w:val="7"/>
  </w:num>
  <w:num w:numId="3" w16cid:durableId="1835215777">
    <w:abstractNumId w:val="6"/>
  </w:num>
  <w:num w:numId="4" w16cid:durableId="1000812980">
    <w:abstractNumId w:val="5"/>
  </w:num>
  <w:num w:numId="5" w16cid:durableId="1880316908">
    <w:abstractNumId w:val="4"/>
  </w:num>
  <w:num w:numId="6" w16cid:durableId="807550346">
    <w:abstractNumId w:val="8"/>
  </w:num>
  <w:num w:numId="7" w16cid:durableId="1873229556">
    <w:abstractNumId w:val="3"/>
  </w:num>
  <w:num w:numId="8" w16cid:durableId="1330981040">
    <w:abstractNumId w:val="2"/>
  </w:num>
  <w:num w:numId="9" w16cid:durableId="1531457797">
    <w:abstractNumId w:val="1"/>
  </w:num>
  <w:num w:numId="10" w16cid:durableId="29880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07ACD"/>
    <w:rsid w:val="000227D6"/>
    <w:rsid w:val="00031AA9"/>
    <w:rsid w:val="00035BC0"/>
    <w:rsid w:val="00071F8A"/>
    <w:rsid w:val="00084429"/>
    <w:rsid w:val="00092594"/>
    <w:rsid w:val="00096EBE"/>
    <w:rsid w:val="000A0633"/>
    <w:rsid w:val="000A4844"/>
    <w:rsid w:val="000C4E32"/>
    <w:rsid w:val="000F6929"/>
    <w:rsid w:val="0012229C"/>
    <w:rsid w:val="001501A1"/>
    <w:rsid w:val="00165A31"/>
    <w:rsid w:val="001D3AD4"/>
    <w:rsid w:val="001D496F"/>
    <w:rsid w:val="001F1D25"/>
    <w:rsid w:val="001F4E42"/>
    <w:rsid w:val="00213A89"/>
    <w:rsid w:val="00274AB0"/>
    <w:rsid w:val="002C29D2"/>
    <w:rsid w:val="002C6516"/>
    <w:rsid w:val="00311C30"/>
    <w:rsid w:val="00315F99"/>
    <w:rsid w:val="00320E57"/>
    <w:rsid w:val="00343E4A"/>
    <w:rsid w:val="00367459"/>
    <w:rsid w:val="003C5AE7"/>
    <w:rsid w:val="003C757A"/>
    <w:rsid w:val="003E570F"/>
    <w:rsid w:val="0041348B"/>
    <w:rsid w:val="004238DB"/>
    <w:rsid w:val="004254CA"/>
    <w:rsid w:val="004359A2"/>
    <w:rsid w:val="00445490"/>
    <w:rsid w:val="00451E27"/>
    <w:rsid w:val="00451EB2"/>
    <w:rsid w:val="00473270"/>
    <w:rsid w:val="00473ECD"/>
    <w:rsid w:val="00487E56"/>
    <w:rsid w:val="004C1BA8"/>
    <w:rsid w:val="004C2F91"/>
    <w:rsid w:val="004F6868"/>
    <w:rsid w:val="005308BC"/>
    <w:rsid w:val="00533D70"/>
    <w:rsid w:val="00547E35"/>
    <w:rsid w:val="005638D8"/>
    <w:rsid w:val="005641A3"/>
    <w:rsid w:val="005815AD"/>
    <w:rsid w:val="00592EA7"/>
    <w:rsid w:val="005A5D84"/>
    <w:rsid w:val="005D076C"/>
    <w:rsid w:val="005F755F"/>
    <w:rsid w:val="00602350"/>
    <w:rsid w:val="00631EE3"/>
    <w:rsid w:val="00633FD9"/>
    <w:rsid w:val="00640A58"/>
    <w:rsid w:val="00653A8A"/>
    <w:rsid w:val="00653BB2"/>
    <w:rsid w:val="00686C31"/>
    <w:rsid w:val="00690EE4"/>
    <w:rsid w:val="006D431C"/>
    <w:rsid w:val="006D775C"/>
    <w:rsid w:val="006F458F"/>
    <w:rsid w:val="00746EA0"/>
    <w:rsid w:val="00764513"/>
    <w:rsid w:val="00780241"/>
    <w:rsid w:val="007827C2"/>
    <w:rsid w:val="00785CF9"/>
    <w:rsid w:val="00790E09"/>
    <w:rsid w:val="007B10E9"/>
    <w:rsid w:val="007B2E56"/>
    <w:rsid w:val="007C067C"/>
    <w:rsid w:val="007C0DA1"/>
    <w:rsid w:val="007C6A2C"/>
    <w:rsid w:val="007D62C6"/>
    <w:rsid w:val="007F1638"/>
    <w:rsid w:val="007F1692"/>
    <w:rsid w:val="008160DE"/>
    <w:rsid w:val="00822DE4"/>
    <w:rsid w:val="00855EAC"/>
    <w:rsid w:val="008A50E0"/>
    <w:rsid w:val="008B00F6"/>
    <w:rsid w:val="008F16B1"/>
    <w:rsid w:val="00904FCA"/>
    <w:rsid w:val="00910DBF"/>
    <w:rsid w:val="00921325"/>
    <w:rsid w:val="00934E13"/>
    <w:rsid w:val="009443EA"/>
    <w:rsid w:val="009A552F"/>
    <w:rsid w:val="009A6444"/>
    <w:rsid w:val="009B44E9"/>
    <w:rsid w:val="009F6035"/>
    <w:rsid w:val="00A15086"/>
    <w:rsid w:val="00A15CAC"/>
    <w:rsid w:val="00AA41EA"/>
    <w:rsid w:val="00AA4679"/>
    <w:rsid w:val="00AD1682"/>
    <w:rsid w:val="00AE6D6D"/>
    <w:rsid w:val="00B049BB"/>
    <w:rsid w:val="00B213B1"/>
    <w:rsid w:val="00B347F0"/>
    <w:rsid w:val="00B45B51"/>
    <w:rsid w:val="00B53441"/>
    <w:rsid w:val="00B67CF7"/>
    <w:rsid w:val="00BA1F70"/>
    <w:rsid w:val="00BC730F"/>
    <w:rsid w:val="00BD4B85"/>
    <w:rsid w:val="00C02B28"/>
    <w:rsid w:val="00C3125F"/>
    <w:rsid w:val="00C338BE"/>
    <w:rsid w:val="00C8766D"/>
    <w:rsid w:val="00C978EA"/>
    <w:rsid w:val="00CC752A"/>
    <w:rsid w:val="00CE1425"/>
    <w:rsid w:val="00D07810"/>
    <w:rsid w:val="00D40F22"/>
    <w:rsid w:val="00D82C10"/>
    <w:rsid w:val="00D84BD4"/>
    <w:rsid w:val="00D87885"/>
    <w:rsid w:val="00DC324F"/>
    <w:rsid w:val="00E41008"/>
    <w:rsid w:val="00E42063"/>
    <w:rsid w:val="00E939A5"/>
    <w:rsid w:val="00EB12C2"/>
    <w:rsid w:val="00F24281"/>
    <w:rsid w:val="00F37A64"/>
    <w:rsid w:val="00F441C6"/>
    <w:rsid w:val="00F51780"/>
    <w:rsid w:val="00F7366F"/>
    <w:rsid w:val="00F94B4C"/>
    <w:rsid w:val="00FA2CE2"/>
    <w:rsid w:val="00FB1396"/>
    <w:rsid w:val="00FD23E6"/>
    <w:rsid w:val="00FD7C3A"/>
    <w:rsid w:val="315C3A3D"/>
    <w:rsid w:val="701521DE"/>
    <w:rsid w:val="7107ED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E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link w:val="HeadingbChar"/>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E63C59"/>
    <w:pPr>
      <w:keepNext/>
      <w:keepLines/>
      <w:spacing w:before="480" w:after="80"/>
      <w:jc w:val="center"/>
    </w:pPr>
    <w:rPr>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paragraph" w:customStyle="1" w:styleId="TSBCircNo">
    <w:name w:val="TSBCircNo"/>
    <w:basedOn w:val="Tabletext"/>
    <w:rsid w:val="00C978EA"/>
    <w:pPr>
      <w:framePr w:hSpace="181" w:wrap="around" w:vAnchor="page" w:hAnchor="margin" w:xAlign="center" w:y="664"/>
    </w:pPr>
    <w:rPr>
      <w:b/>
      <w:bCs/>
      <w:sz w:val="22"/>
      <w:szCs w:val="18"/>
    </w:rPr>
  </w:style>
  <w:style w:type="character" w:styleId="Mention">
    <w:name w:val="Mention"/>
    <w:basedOn w:val="DefaultParagraphFont"/>
    <w:uiPriority w:val="99"/>
    <w:unhideWhenUsed/>
    <w:rsid w:val="009A6444"/>
    <w:rPr>
      <w:color w:val="2B579A"/>
      <w:shd w:val="clear" w:color="auto" w:fill="E1DFDD"/>
    </w:rPr>
  </w:style>
  <w:style w:type="table" w:styleId="TableGrid">
    <w:name w:val="Table Grid"/>
    <w:basedOn w:val="TableNormal"/>
    <w:rsid w:val="00AE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0E57"/>
    <w:rPr>
      <w:color w:val="605E5C"/>
      <w:shd w:val="clear" w:color="auto" w:fill="E1DFDD"/>
    </w:rPr>
  </w:style>
  <w:style w:type="character" w:customStyle="1" w:styleId="HeadingbChar">
    <w:name w:val="Heading_b Char"/>
    <w:link w:val="Headingb"/>
    <w:locked/>
    <w:rsid w:val="008160DE"/>
    <w:rPr>
      <w:rFonts w:ascii="Calibri" w:hAnsi="Calibri"/>
      <w:b/>
      <w:sz w:val="24"/>
      <w:lang w:eastAsia="en-US"/>
    </w:rPr>
  </w:style>
  <w:style w:type="paragraph" w:styleId="ListParagraph">
    <w:name w:val="List Paragraph"/>
    <w:basedOn w:val="Normal"/>
    <w:qFormat/>
    <w:rsid w:val="009F6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204">
      <w:bodyDiv w:val="1"/>
      <w:marLeft w:val="0"/>
      <w:marRight w:val="0"/>
      <w:marTop w:val="0"/>
      <w:marBottom w:val="0"/>
      <w:divBdr>
        <w:top w:val="none" w:sz="0" w:space="0" w:color="auto"/>
        <w:left w:val="none" w:sz="0" w:space="0" w:color="auto"/>
        <w:bottom w:val="none" w:sz="0" w:space="0" w:color="auto"/>
        <w:right w:val="none" w:sz="0" w:space="0" w:color="auto"/>
      </w:divBdr>
      <w:divsChild>
        <w:div w:id="59509359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384645023">
      <w:bodyDiv w:val="1"/>
      <w:marLeft w:val="0"/>
      <w:marRight w:val="0"/>
      <w:marTop w:val="0"/>
      <w:marBottom w:val="0"/>
      <w:divBdr>
        <w:top w:val="none" w:sz="0" w:space="0" w:color="auto"/>
        <w:left w:val="none" w:sz="0" w:space="0" w:color="auto"/>
        <w:bottom w:val="none" w:sz="0" w:space="0" w:color="auto"/>
        <w:right w:val="none" w:sz="0" w:space="0" w:color="auto"/>
      </w:divBdr>
      <w:divsChild>
        <w:div w:id="191844424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50544289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7379287">
      <w:bodyDiv w:val="1"/>
      <w:marLeft w:val="0"/>
      <w:marRight w:val="0"/>
      <w:marTop w:val="0"/>
      <w:marBottom w:val="0"/>
      <w:divBdr>
        <w:top w:val="none" w:sz="0" w:space="0" w:color="auto"/>
        <w:left w:val="none" w:sz="0" w:space="0" w:color="auto"/>
        <w:bottom w:val="none" w:sz="0" w:space="0" w:color="auto"/>
        <w:right w:val="none" w:sz="0" w:space="0" w:color="auto"/>
      </w:divBdr>
      <w:divsChild>
        <w:div w:id="816148627">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18909908">
      <w:bodyDiv w:val="1"/>
      <w:marLeft w:val="0"/>
      <w:marRight w:val="0"/>
      <w:marTop w:val="0"/>
      <w:marBottom w:val="0"/>
      <w:divBdr>
        <w:top w:val="none" w:sz="0" w:space="0" w:color="auto"/>
        <w:left w:val="none" w:sz="0" w:space="0" w:color="auto"/>
        <w:bottom w:val="none" w:sz="0" w:space="0" w:color="auto"/>
        <w:right w:val="none" w:sz="0" w:space="0" w:color="auto"/>
      </w:divBdr>
      <w:divsChild>
        <w:div w:id="175512270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158620408">
      <w:bodyDiv w:val="1"/>
      <w:marLeft w:val="0"/>
      <w:marRight w:val="0"/>
      <w:marTop w:val="0"/>
      <w:marBottom w:val="0"/>
      <w:divBdr>
        <w:top w:val="none" w:sz="0" w:space="0" w:color="auto"/>
        <w:left w:val="none" w:sz="0" w:space="0" w:color="auto"/>
        <w:bottom w:val="none" w:sz="0" w:space="0" w:color="auto"/>
        <w:right w:val="none" w:sz="0" w:space="0" w:color="auto"/>
      </w:divBdr>
      <w:divsChild>
        <w:div w:id="208413580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172530945">
      <w:bodyDiv w:val="1"/>
      <w:marLeft w:val="0"/>
      <w:marRight w:val="0"/>
      <w:marTop w:val="0"/>
      <w:marBottom w:val="0"/>
      <w:divBdr>
        <w:top w:val="none" w:sz="0" w:space="0" w:color="auto"/>
        <w:left w:val="none" w:sz="0" w:space="0" w:color="auto"/>
        <w:bottom w:val="none" w:sz="0" w:space="0" w:color="auto"/>
        <w:right w:val="none" w:sz="0" w:space="0" w:color="auto"/>
      </w:divBdr>
      <w:divsChild>
        <w:div w:id="24642681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418208792">
      <w:bodyDiv w:val="1"/>
      <w:marLeft w:val="0"/>
      <w:marRight w:val="0"/>
      <w:marTop w:val="0"/>
      <w:marBottom w:val="0"/>
      <w:divBdr>
        <w:top w:val="none" w:sz="0" w:space="0" w:color="auto"/>
        <w:left w:val="none" w:sz="0" w:space="0" w:color="auto"/>
        <w:bottom w:val="none" w:sz="0" w:space="0" w:color="auto"/>
        <w:right w:val="none" w:sz="0" w:space="0" w:color="auto"/>
      </w:divBdr>
      <w:divsChild>
        <w:div w:id="203090999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62137345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56">
          <w:marLeft w:val="0"/>
          <w:marRight w:val="0"/>
          <w:marTop w:val="0"/>
          <w:marBottom w:val="0"/>
          <w:divBdr>
            <w:top w:val="single" w:sz="6" w:space="0" w:color="808080"/>
            <w:left w:val="single" w:sz="6" w:space="4" w:color="808080"/>
            <w:bottom w:val="single" w:sz="6" w:space="0" w:color="808080"/>
            <w:right w:val="single" w:sz="6" w:space="4" w:color="80808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sbsg12@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itu.in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63a2058ef5439e219e7795073e524eb">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22722f72ad472454eb5cc3ac0f4dd3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SharedWithUsers xmlns="fb0eb7e9-6560-4c49-b26e-dd8179726d23">
      <UserInfo>
        <DisplayName>Labare, Emmanuelle</DisplayName>
        <AccountId>11</AccountId>
        <AccountType/>
      </UserInfo>
      <UserInfo>
        <DisplayName>Makamara, Gillian</DisplayName>
        <AccountId>13</AccountId>
        <AccountType/>
      </UserInfo>
      <UserInfo>
        <DisplayName>Adolph, Martin</DisplayName>
        <AccountId>10</AccountId>
        <AccountType/>
      </UserInfo>
    </SharedWithUsers>
  </documentManagement>
</p:properties>
</file>

<file path=customXml/itemProps1.xml><?xml version="1.0" encoding="utf-8"?>
<ds:datastoreItem xmlns:ds="http://schemas.openxmlformats.org/officeDocument/2006/customXml" ds:itemID="{B515DE4B-CF4C-4D5D-B6F0-EB903DC6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77CA2-4BF7-45BF-82C4-4A107FB7C9EF}">
  <ds:schemaRefs>
    <ds:schemaRef ds:uri="http://schemas.microsoft.com/sharepoint/v3/contenttype/forms"/>
  </ds:schemaRefs>
</ds:datastoreItem>
</file>

<file path=customXml/itemProps3.xml><?xml version="1.0" encoding="utf-8"?>
<ds:datastoreItem xmlns:ds="http://schemas.openxmlformats.org/officeDocument/2006/customXml" ds:itemID="{ED0673D7-7EDE-42DA-B306-6F990909AE49}">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Maguire, Mairéad</cp:lastModifiedBy>
  <cp:revision>2</cp:revision>
  <cp:lastPrinted>2023-10-31T12:23:00Z</cp:lastPrinted>
  <dcterms:created xsi:type="dcterms:W3CDTF">2023-11-22T15:08:00Z</dcterms:created>
  <dcterms:modified xsi:type="dcterms:W3CDTF">2023-11-22T15:08:00Z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lilian.satorre</vt:lpwstr>
  </property>
  <property fmtid="{D5CDD505-2E9C-101B-9397-08002B2CF9AE}" pid="9" name="GeneratedDate">
    <vt:lpwstr>11/06/2023 06:28:44</vt:lpwstr>
  </property>
  <property fmtid="{D5CDD505-2E9C-101B-9397-08002B2CF9AE}" pid="10" name="OriginalDocID">
    <vt:lpwstr>e8d89e48-2e2b-4b44-9421-bff784edbd3b</vt:lpwstr>
  </property>
</Properties>
</file>