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284"/>
        <w:gridCol w:w="3260"/>
        <w:gridCol w:w="3119"/>
        <w:gridCol w:w="1984"/>
      </w:tblGrid>
      <w:tr w:rsidR="00036B70" w:rsidRPr="002C3B32" w14:paraId="55381D21" w14:textId="77777777" w:rsidTr="008B2FBA">
        <w:trPr>
          <w:cantSplit/>
          <w:jc w:val="center"/>
        </w:trPr>
        <w:tc>
          <w:tcPr>
            <w:tcW w:w="1418" w:type="dxa"/>
            <w:gridSpan w:val="3"/>
            <w:vAlign w:val="center"/>
          </w:tcPr>
          <w:p w14:paraId="56744256" w14:textId="77777777" w:rsidR="00036B70" w:rsidRPr="002C3B32" w:rsidRDefault="00036B70" w:rsidP="00134365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bookmarkStart w:id="0" w:name="StartTyping_F"/>
            <w:bookmarkEnd w:id="0"/>
            <w:r w:rsidRPr="002C3B32">
              <w:rPr>
                <w:noProof/>
              </w:rPr>
              <w:drawing>
                <wp:inline distT="0" distB="0" distL="0" distR="0" wp14:anchorId="1E09F28C" wp14:editId="7EAAA66B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4521C52B" w14:textId="77777777" w:rsidR="00036B70" w:rsidRPr="002C3B32" w:rsidRDefault="00036B70" w:rsidP="00134365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2C3B32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3B95D9FD" w14:textId="28CF2615" w:rsidR="00036B70" w:rsidRPr="002C3B32" w:rsidRDefault="00036B70" w:rsidP="00134365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2C3B3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2C3B32">
              <w:rPr>
                <w:b/>
                <w:bCs/>
                <w:iCs/>
                <w:smallCaps/>
                <w:sz w:val="28"/>
                <w:szCs w:val="28"/>
              </w:rPr>
              <w:t xml:space="preserve">ureau de la </w:t>
            </w:r>
            <w:r w:rsidR="00E2755C" w:rsidRPr="002C3B32">
              <w:rPr>
                <w:b/>
                <w:bCs/>
                <w:iCs/>
                <w:smallCaps/>
                <w:sz w:val="28"/>
                <w:szCs w:val="28"/>
              </w:rPr>
              <w:t>n</w:t>
            </w:r>
            <w:r w:rsidRPr="002C3B32">
              <w:rPr>
                <w:b/>
                <w:bCs/>
                <w:iCs/>
                <w:smallCaps/>
                <w:sz w:val="28"/>
                <w:szCs w:val="28"/>
              </w:rPr>
              <w:t xml:space="preserve">ormalisation des </w:t>
            </w:r>
            <w:r w:rsidR="00E2755C" w:rsidRPr="002C3B32">
              <w:rPr>
                <w:b/>
                <w:bCs/>
                <w:iCs/>
                <w:smallCaps/>
                <w:sz w:val="28"/>
                <w:szCs w:val="28"/>
              </w:rPr>
              <w:t>t</w:t>
            </w:r>
            <w:r w:rsidRPr="002C3B32">
              <w:rPr>
                <w:b/>
                <w:bCs/>
                <w:iCs/>
                <w:smallCaps/>
                <w:sz w:val="28"/>
                <w:szCs w:val="28"/>
              </w:rPr>
              <w:t>élécommunications</w:t>
            </w:r>
          </w:p>
        </w:tc>
        <w:tc>
          <w:tcPr>
            <w:tcW w:w="1984" w:type="dxa"/>
            <w:vAlign w:val="center"/>
          </w:tcPr>
          <w:p w14:paraId="7ED890CE" w14:textId="77777777" w:rsidR="00036B70" w:rsidRPr="002C3B32" w:rsidRDefault="00036B70" w:rsidP="00134365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B70" w:rsidRPr="002C3B32" w14:paraId="7436AAAB" w14:textId="77777777" w:rsidTr="00CF2383">
        <w:trPr>
          <w:gridBefore w:val="1"/>
          <w:wBefore w:w="8" w:type="dxa"/>
          <w:cantSplit/>
          <w:trHeight w:val="413"/>
          <w:jc w:val="center"/>
        </w:trPr>
        <w:tc>
          <w:tcPr>
            <w:tcW w:w="1126" w:type="dxa"/>
          </w:tcPr>
          <w:p w14:paraId="64C26336" w14:textId="77777777" w:rsidR="00036B70" w:rsidRPr="002C3B32" w:rsidRDefault="00036B70" w:rsidP="00134365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544" w:type="dxa"/>
            <w:gridSpan w:val="2"/>
          </w:tcPr>
          <w:p w14:paraId="106501DC" w14:textId="77777777" w:rsidR="00036B70" w:rsidRPr="002C3B32" w:rsidRDefault="00036B70" w:rsidP="00134365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</w:p>
        </w:tc>
        <w:tc>
          <w:tcPr>
            <w:tcW w:w="5103" w:type="dxa"/>
            <w:gridSpan w:val="2"/>
          </w:tcPr>
          <w:p w14:paraId="0E051656" w14:textId="59502490" w:rsidR="00036B70" w:rsidRPr="002C3B32" w:rsidRDefault="00036B70" w:rsidP="00C339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b/>
                <w:szCs w:val="24"/>
              </w:rPr>
            </w:pPr>
            <w:r w:rsidRPr="002C3B32">
              <w:rPr>
                <w:szCs w:val="24"/>
              </w:rPr>
              <w:t xml:space="preserve">Genève, le </w:t>
            </w:r>
            <w:r w:rsidR="00E2755C" w:rsidRPr="002C3B32">
              <w:rPr>
                <w:szCs w:val="24"/>
              </w:rPr>
              <w:t>13 décembre</w:t>
            </w:r>
            <w:r w:rsidRPr="002C3B32">
              <w:rPr>
                <w:szCs w:val="24"/>
              </w:rPr>
              <w:t xml:space="preserve"> 2023</w:t>
            </w:r>
          </w:p>
        </w:tc>
      </w:tr>
      <w:tr w:rsidR="00036B70" w:rsidRPr="002C3B32" w14:paraId="21E16D2D" w14:textId="77777777" w:rsidTr="008B2FBA">
        <w:trPr>
          <w:gridBefore w:val="1"/>
          <w:wBefore w:w="8" w:type="dxa"/>
          <w:cantSplit/>
          <w:trHeight w:val="340"/>
          <w:jc w:val="center"/>
        </w:trPr>
        <w:tc>
          <w:tcPr>
            <w:tcW w:w="1126" w:type="dxa"/>
          </w:tcPr>
          <w:p w14:paraId="703E629F" w14:textId="77777777" w:rsidR="00036B70" w:rsidRPr="002C3B32" w:rsidRDefault="00036B70" w:rsidP="00134365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Cs w:val="24"/>
              </w:rPr>
            </w:pPr>
            <w:r w:rsidRPr="002C3B32">
              <w:rPr>
                <w:b/>
                <w:bCs/>
                <w:szCs w:val="24"/>
              </w:rPr>
              <w:t>Réf.:</w:t>
            </w:r>
          </w:p>
        </w:tc>
        <w:tc>
          <w:tcPr>
            <w:tcW w:w="3544" w:type="dxa"/>
            <w:gridSpan w:val="2"/>
          </w:tcPr>
          <w:p w14:paraId="245A5B62" w14:textId="3C84E763" w:rsidR="00036B70" w:rsidRPr="002C3B32" w:rsidRDefault="00036B70" w:rsidP="00134365">
            <w:pPr>
              <w:tabs>
                <w:tab w:val="left" w:pos="4111"/>
              </w:tabs>
              <w:spacing w:before="40" w:after="40"/>
              <w:ind w:left="227" w:hanging="170"/>
              <w:rPr>
                <w:b/>
                <w:szCs w:val="24"/>
              </w:rPr>
            </w:pPr>
            <w:r w:rsidRPr="002C3B32">
              <w:rPr>
                <w:b/>
                <w:szCs w:val="24"/>
              </w:rPr>
              <w:t xml:space="preserve">Circulaire TSB </w:t>
            </w:r>
            <w:r w:rsidR="00E2755C" w:rsidRPr="002C3B32">
              <w:rPr>
                <w:b/>
                <w:szCs w:val="24"/>
              </w:rPr>
              <w:t>153</w:t>
            </w:r>
          </w:p>
          <w:p w14:paraId="39708E8D" w14:textId="166F6D9C" w:rsidR="00036B70" w:rsidRPr="002C3B32" w:rsidRDefault="00E2755C" w:rsidP="00134365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2C3B32">
              <w:rPr>
                <w:szCs w:val="24"/>
              </w:rPr>
              <w:t xml:space="preserve">CE </w:t>
            </w:r>
            <w:r w:rsidR="00CA0768" w:rsidRPr="002C3B32">
              <w:rPr>
                <w:szCs w:val="24"/>
              </w:rPr>
              <w:t>16</w:t>
            </w:r>
            <w:r w:rsidR="00036B70" w:rsidRPr="002C3B32">
              <w:rPr>
                <w:szCs w:val="24"/>
              </w:rPr>
              <w:t>/</w:t>
            </w:r>
            <w:r w:rsidR="00CA0768" w:rsidRPr="002C3B32">
              <w:rPr>
                <w:szCs w:val="24"/>
              </w:rPr>
              <w:t>SC</w:t>
            </w:r>
          </w:p>
        </w:tc>
        <w:tc>
          <w:tcPr>
            <w:tcW w:w="5103" w:type="dxa"/>
            <w:gridSpan w:val="2"/>
            <w:vMerge w:val="restart"/>
          </w:tcPr>
          <w:p w14:paraId="71A12579" w14:textId="5FD2373A" w:rsidR="00CF2383" w:rsidRPr="002C3B32" w:rsidRDefault="00E2755C" w:rsidP="00801B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30" w:hanging="373"/>
              <w:rPr>
                <w:b/>
                <w:bCs/>
                <w:szCs w:val="24"/>
              </w:rPr>
            </w:pPr>
            <w:r w:rsidRPr="002C3B32">
              <w:rPr>
                <w:b/>
                <w:bCs/>
                <w:szCs w:val="24"/>
              </w:rPr>
              <w:t>Aux</w:t>
            </w:r>
            <w:r w:rsidR="00CF2383" w:rsidRPr="002C3B32">
              <w:rPr>
                <w:b/>
                <w:bCs/>
                <w:szCs w:val="24"/>
              </w:rPr>
              <w:t>:</w:t>
            </w:r>
          </w:p>
          <w:p w14:paraId="2E1989CC" w14:textId="705A75F2" w:rsidR="00036B70" w:rsidRPr="002C3B32" w:rsidRDefault="00CF2383" w:rsidP="00801B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30" w:hanging="373"/>
              <w:rPr>
                <w:szCs w:val="24"/>
              </w:rPr>
            </w:pPr>
            <w:r w:rsidRPr="002C3B32">
              <w:rPr>
                <w:szCs w:val="24"/>
              </w:rPr>
              <w:t>–</w:t>
            </w:r>
            <w:r w:rsidRPr="002C3B32">
              <w:rPr>
                <w:szCs w:val="24"/>
              </w:rPr>
              <w:tab/>
            </w:r>
            <w:r w:rsidR="008B2FBA" w:rsidRPr="002C3B32">
              <w:rPr>
                <w:szCs w:val="24"/>
              </w:rPr>
              <w:t>A</w:t>
            </w:r>
            <w:r w:rsidR="00036B70" w:rsidRPr="002C3B32">
              <w:rPr>
                <w:szCs w:val="24"/>
              </w:rPr>
              <w:t>dministrations des États Membres de l</w:t>
            </w:r>
            <w:r w:rsidR="00366405" w:rsidRPr="002C3B32">
              <w:rPr>
                <w:szCs w:val="24"/>
              </w:rPr>
              <w:t>'</w:t>
            </w:r>
            <w:r w:rsidR="00036B70" w:rsidRPr="002C3B32">
              <w:rPr>
                <w:szCs w:val="24"/>
              </w:rPr>
              <w:t>Union;</w:t>
            </w:r>
          </w:p>
          <w:p w14:paraId="2A42230B" w14:textId="132307EE" w:rsidR="00036B70" w:rsidRPr="002C3B32" w:rsidRDefault="00036B70" w:rsidP="00801B5F">
            <w:pPr>
              <w:tabs>
                <w:tab w:val="left" w:pos="4111"/>
              </w:tabs>
              <w:spacing w:before="0"/>
              <w:ind w:left="430" w:hanging="373"/>
              <w:rPr>
                <w:szCs w:val="24"/>
              </w:rPr>
            </w:pPr>
            <w:r w:rsidRPr="002C3B32">
              <w:rPr>
                <w:szCs w:val="24"/>
              </w:rPr>
              <w:t>–</w:t>
            </w:r>
            <w:r w:rsidRPr="002C3B32">
              <w:rPr>
                <w:szCs w:val="24"/>
              </w:rPr>
              <w:tab/>
              <w:t xml:space="preserve">Membres du Secteur </w:t>
            </w:r>
            <w:r w:rsidR="00CF2383" w:rsidRPr="002C3B32">
              <w:rPr>
                <w:szCs w:val="24"/>
              </w:rPr>
              <w:t>de l</w:t>
            </w:r>
            <w:r w:rsidR="00366405" w:rsidRPr="002C3B32">
              <w:rPr>
                <w:szCs w:val="24"/>
              </w:rPr>
              <w:t>'</w:t>
            </w:r>
            <w:r w:rsidRPr="002C3B32">
              <w:rPr>
                <w:szCs w:val="24"/>
              </w:rPr>
              <w:t>UIT-T;</w:t>
            </w:r>
          </w:p>
          <w:p w14:paraId="46472D3F" w14:textId="33AAF4D7" w:rsidR="00036B70" w:rsidRPr="002C3B32" w:rsidRDefault="00036B70" w:rsidP="00801B5F">
            <w:pPr>
              <w:tabs>
                <w:tab w:val="left" w:pos="4111"/>
              </w:tabs>
              <w:spacing w:before="0"/>
              <w:ind w:left="430" w:hanging="373"/>
              <w:rPr>
                <w:szCs w:val="24"/>
              </w:rPr>
            </w:pPr>
            <w:r w:rsidRPr="002C3B32">
              <w:rPr>
                <w:szCs w:val="24"/>
              </w:rPr>
              <w:t>–</w:t>
            </w:r>
            <w:r w:rsidRPr="002C3B32">
              <w:rPr>
                <w:szCs w:val="24"/>
              </w:rPr>
              <w:tab/>
              <w:t>Associés de la Commission d</w:t>
            </w:r>
            <w:r w:rsidR="00366405" w:rsidRPr="002C3B32">
              <w:rPr>
                <w:szCs w:val="24"/>
              </w:rPr>
              <w:t>'</w:t>
            </w:r>
            <w:r w:rsidRPr="002C3B32">
              <w:rPr>
                <w:szCs w:val="24"/>
              </w:rPr>
              <w:t xml:space="preserve">études </w:t>
            </w:r>
            <w:r w:rsidR="00CA0768" w:rsidRPr="002C3B32">
              <w:rPr>
                <w:szCs w:val="24"/>
              </w:rPr>
              <w:t>16</w:t>
            </w:r>
            <w:r w:rsidRPr="002C3B32">
              <w:rPr>
                <w:szCs w:val="24"/>
              </w:rPr>
              <w:t xml:space="preserve"> de l</w:t>
            </w:r>
            <w:r w:rsidR="00366405" w:rsidRPr="002C3B32">
              <w:rPr>
                <w:szCs w:val="24"/>
              </w:rPr>
              <w:t>'</w:t>
            </w:r>
            <w:r w:rsidRPr="002C3B32">
              <w:rPr>
                <w:szCs w:val="24"/>
              </w:rPr>
              <w:t>UIT</w:t>
            </w:r>
            <w:r w:rsidRPr="002C3B32">
              <w:rPr>
                <w:szCs w:val="24"/>
              </w:rPr>
              <w:noBreakHyphen/>
              <w:t>T;</w:t>
            </w:r>
          </w:p>
          <w:p w14:paraId="339F91F8" w14:textId="7F9069C7" w:rsidR="00036B70" w:rsidRPr="002C3B32" w:rsidRDefault="00036B70" w:rsidP="00801B5F">
            <w:pPr>
              <w:tabs>
                <w:tab w:val="left" w:pos="4111"/>
              </w:tabs>
              <w:spacing w:before="0"/>
              <w:ind w:left="430" w:hanging="373"/>
              <w:rPr>
                <w:szCs w:val="24"/>
              </w:rPr>
            </w:pPr>
            <w:r w:rsidRPr="002C3B32">
              <w:rPr>
                <w:szCs w:val="24"/>
              </w:rPr>
              <w:t>–</w:t>
            </w:r>
            <w:r w:rsidRPr="002C3B32">
              <w:rPr>
                <w:szCs w:val="24"/>
              </w:rPr>
              <w:tab/>
            </w:r>
            <w:r w:rsidR="00CF2383" w:rsidRPr="002C3B32">
              <w:rPr>
                <w:szCs w:val="24"/>
              </w:rPr>
              <w:t>É</w:t>
            </w:r>
            <w:r w:rsidRPr="002C3B32">
              <w:rPr>
                <w:szCs w:val="24"/>
              </w:rPr>
              <w:t>tablissements universitaires participant aux travaux de l</w:t>
            </w:r>
            <w:r w:rsidR="00366405" w:rsidRPr="002C3B32">
              <w:rPr>
                <w:szCs w:val="24"/>
              </w:rPr>
              <w:t>'</w:t>
            </w:r>
            <w:r w:rsidRPr="002C3B32">
              <w:rPr>
                <w:szCs w:val="24"/>
              </w:rPr>
              <w:t>UIT</w:t>
            </w:r>
          </w:p>
          <w:p w14:paraId="6A75C8AA" w14:textId="354465C9" w:rsidR="00CA0768" w:rsidRPr="002C3B32" w:rsidRDefault="00CA0768" w:rsidP="00801B5F">
            <w:pPr>
              <w:tabs>
                <w:tab w:val="left" w:pos="4111"/>
              </w:tabs>
              <w:ind w:left="430" w:hanging="373"/>
              <w:rPr>
                <w:b/>
                <w:bCs/>
                <w:szCs w:val="24"/>
              </w:rPr>
            </w:pPr>
            <w:r w:rsidRPr="002C3B32">
              <w:rPr>
                <w:b/>
                <w:bCs/>
                <w:szCs w:val="24"/>
              </w:rPr>
              <w:t>Copie:</w:t>
            </w:r>
          </w:p>
          <w:p w14:paraId="0BAFA6E5" w14:textId="793CFDEE" w:rsidR="00036B70" w:rsidRPr="002C3B32" w:rsidRDefault="00036B70" w:rsidP="00801B5F">
            <w:pPr>
              <w:tabs>
                <w:tab w:val="left" w:pos="4111"/>
              </w:tabs>
              <w:spacing w:before="0"/>
              <w:ind w:left="430" w:hanging="373"/>
              <w:rPr>
                <w:szCs w:val="24"/>
              </w:rPr>
            </w:pPr>
            <w:r w:rsidRPr="002C3B32">
              <w:rPr>
                <w:szCs w:val="24"/>
              </w:rPr>
              <w:t>–</w:t>
            </w:r>
            <w:r w:rsidRPr="002C3B32">
              <w:rPr>
                <w:szCs w:val="24"/>
              </w:rPr>
              <w:tab/>
            </w:r>
            <w:r w:rsidR="00CF2383" w:rsidRPr="002C3B32">
              <w:rPr>
                <w:szCs w:val="24"/>
              </w:rPr>
              <w:t>Au</w:t>
            </w:r>
            <w:r w:rsidR="00E2755C" w:rsidRPr="002C3B32">
              <w:rPr>
                <w:szCs w:val="24"/>
              </w:rPr>
              <w:t xml:space="preserve"> </w:t>
            </w:r>
            <w:r w:rsidRPr="002C3B32">
              <w:rPr>
                <w:szCs w:val="24"/>
              </w:rPr>
              <w:t xml:space="preserve">Président et </w:t>
            </w:r>
            <w:r w:rsidR="00DE5022" w:rsidRPr="002C3B32">
              <w:rPr>
                <w:szCs w:val="24"/>
              </w:rPr>
              <w:t xml:space="preserve">aux </w:t>
            </w:r>
            <w:r w:rsidRPr="002C3B32">
              <w:rPr>
                <w:szCs w:val="24"/>
              </w:rPr>
              <w:t>Vice-Présidents de la Commission d</w:t>
            </w:r>
            <w:r w:rsidR="00366405" w:rsidRPr="002C3B32">
              <w:rPr>
                <w:szCs w:val="24"/>
              </w:rPr>
              <w:t>'</w:t>
            </w:r>
            <w:r w:rsidRPr="002C3B32">
              <w:rPr>
                <w:szCs w:val="24"/>
              </w:rPr>
              <w:t xml:space="preserve">études </w:t>
            </w:r>
            <w:r w:rsidR="00CA0768" w:rsidRPr="002C3B32">
              <w:rPr>
                <w:szCs w:val="24"/>
              </w:rPr>
              <w:t>16</w:t>
            </w:r>
            <w:r w:rsidRPr="002C3B32">
              <w:rPr>
                <w:szCs w:val="24"/>
              </w:rPr>
              <w:t xml:space="preserve"> de l</w:t>
            </w:r>
            <w:r w:rsidR="00366405" w:rsidRPr="002C3B32">
              <w:rPr>
                <w:szCs w:val="24"/>
              </w:rPr>
              <w:t>'</w:t>
            </w:r>
            <w:r w:rsidRPr="002C3B32">
              <w:rPr>
                <w:szCs w:val="24"/>
              </w:rPr>
              <w:t>UIT-T;</w:t>
            </w:r>
          </w:p>
          <w:p w14:paraId="6CA263D3" w14:textId="02619E3F" w:rsidR="00036B70" w:rsidRPr="002C3B32" w:rsidRDefault="00036B70" w:rsidP="00801B5F">
            <w:pPr>
              <w:tabs>
                <w:tab w:val="left" w:pos="4111"/>
              </w:tabs>
              <w:spacing w:before="0"/>
              <w:ind w:left="430" w:hanging="373"/>
              <w:rPr>
                <w:szCs w:val="24"/>
              </w:rPr>
            </w:pPr>
            <w:r w:rsidRPr="002C3B32">
              <w:rPr>
                <w:szCs w:val="24"/>
              </w:rPr>
              <w:t>–</w:t>
            </w:r>
            <w:r w:rsidRPr="002C3B32">
              <w:rPr>
                <w:szCs w:val="24"/>
              </w:rPr>
              <w:tab/>
            </w:r>
            <w:r w:rsidR="00CF2383" w:rsidRPr="002C3B32">
              <w:rPr>
                <w:szCs w:val="24"/>
              </w:rPr>
              <w:t>A</w:t>
            </w:r>
            <w:r w:rsidR="00E2755C" w:rsidRPr="002C3B32">
              <w:rPr>
                <w:szCs w:val="24"/>
              </w:rPr>
              <w:t xml:space="preserve">u </w:t>
            </w:r>
            <w:r w:rsidRPr="002C3B32">
              <w:rPr>
                <w:szCs w:val="24"/>
              </w:rPr>
              <w:t>Directeur du Bureau de développement des télécommunications;</w:t>
            </w:r>
          </w:p>
          <w:p w14:paraId="2CDC7E2E" w14:textId="0F725053" w:rsidR="00036B70" w:rsidRPr="002C3B32" w:rsidRDefault="00036B70" w:rsidP="00801B5F">
            <w:pPr>
              <w:spacing w:before="0" w:after="120"/>
              <w:ind w:left="430" w:hanging="373"/>
              <w:rPr>
                <w:szCs w:val="24"/>
              </w:rPr>
            </w:pPr>
            <w:r w:rsidRPr="002C3B32">
              <w:rPr>
                <w:szCs w:val="24"/>
              </w:rPr>
              <w:t>–</w:t>
            </w:r>
            <w:r w:rsidRPr="002C3B32">
              <w:rPr>
                <w:szCs w:val="24"/>
              </w:rPr>
              <w:tab/>
            </w:r>
            <w:r w:rsidR="00CF2383" w:rsidRPr="002C3B32">
              <w:rPr>
                <w:szCs w:val="24"/>
              </w:rPr>
              <w:t>A</w:t>
            </w:r>
            <w:r w:rsidR="00E2755C" w:rsidRPr="002C3B32">
              <w:rPr>
                <w:szCs w:val="24"/>
              </w:rPr>
              <w:t xml:space="preserve">u </w:t>
            </w:r>
            <w:r w:rsidRPr="002C3B32">
              <w:rPr>
                <w:szCs w:val="24"/>
              </w:rPr>
              <w:t>Directeur du Bureau des radiocommunications</w:t>
            </w:r>
          </w:p>
        </w:tc>
      </w:tr>
      <w:tr w:rsidR="00036B70" w:rsidRPr="002C3B32" w14:paraId="01DFC5B0" w14:textId="77777777" w:rsidTr="008B2FBA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60260F3E" w14:textId="77777777" w:rsidR="00036B70" w:rsidRPr="002C3B32" w:rsidRDefault="00036B70" w:rsidP="00134365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Cs w:val="24"/>
              </w:rPr>
            </w:pPr>
            <w:r w:rsidRPr="002C3B32">
              <w:rPr>
                <w:b/>
                <w:bCs/>
                <w:szCs w:val="24"/>
              </w:rPr>
              <w:t>Tél.:</w:t>
            </w:r>
          </w:p>
        </w:tc>
        <w:tc>
          <w:tcPr>
            <w:tcW w:w="3544" w:type="dxa"/>
            <w:gridSpan w:val="2"/>
          </w:tcPr>
          <w:p w14:paraId="2F23AAB2" w14:textId="4A98A952" w:rsidR="00036B70" w:rsidRPr="002C3B32" w:rsidRDefault="0000320B" w:rsidP="00134365">
            <w:pPr>
              <w:tabs>
                <w:tab w:val="left" w:pos="4111"/>
              </w:tabs>
              <w:spacing w:before="40" w:after="40"/>
              <w:ind w:left="227" w:hanging="170"/>
              <w:rPr>
                <w:szCs w:val="24"/>
              </w:rPr>
            </w:pPr>
            <w:r w:rsidRPr="002C3B32">
              <w:rPr>
                <w:szCs w:val="24"/>
              </w:rPr>
              <w:t xml:space="preserve">+41 22 </w:t>
            </w:r>
            <w:r w:rsidR="00332FEB" w:rsidRPr="002C3B32">
              <w:rPr>
                <w:szCs w:val="24"/>
              </w:rPr>
              <w:t>730 6805</w:t>
            </w:r>
          </w:p>
        </w:tc>
        <w:tc>
          <w:tcPr>
            <w:tcW w:w="5103" w:type="dxa"/>
            <w:gridSpan w:val="2"/>
            <w:vMerge/>
          </w:tcPr>
          <w:p w14:paraId="06583B18" w14:textId="77777777" w:rsidR="00036B70" w:rsidRPr="002C3B32" w:rsidRDefault="00036B70" w:rsidP="00134365">
            <w:pPr>
              <w:spacing w:before="0"/>
              <w:ind w:left="226" w:hanging="169"/>
              <w:rPr>
                <w:szCs w:val="24"/>
              </w:rPr>
            </w:pPr>
          </w:p>
        </w:tc>
      </w:tr>
      <w:tr w:rsidR="00036B70" w:rsidRPr="002C3B32" w14:paraId="7EF54700" w14:textId="77777777" w:rsidTr="008B2FBA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00AFACBC" w14:textId="77777777" w:rsidR="00036B70" w:rsidRPr="002C3B32" w:rsidRDefault="00036B70" w:rsidP="00134365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Cs w:val="24"/>
              </w:rPr>
            </w:pPr>
            <w:r w:rsidRPr="002C3B32">
              <w:rPr>
                <w:b/>
                <w:bCs/>
                <w:szCs w:val="24"/>
              </w:rPr>
              <w:t>Télécopie:</w:t>
            </w:r>
          </w:p>
        </w:tc>
        <w:tc>
          <w:tcPr>
            <w:tcW w:w="3544" w:type="dxa"/>
            <w:gridSpan w:val="2"/>
          </w:tcPr>
          <w:p w14:paraId="6E8259D3" w14:textId="56F51852" w:rsidR="00036B70" w:rsidRPr="002C3B32" w:rsidRDefault="0000320B" w:rsidP="00134365">
            <w:pPr>
              <w:tabs>
                <w:tab w:val="left" w:pos="4111"/>
              </w:tabs>
              <w:spacing w:before="40" w:after="40"/>
              <w:ind w:left="227" w:hanging="170"/>
              <w:rPr>
                <w:szCs w:val="24"/>
              </w:rPr>
            </w:pPr>
            <w:r w:rsidRPr="002C3B32">
              <w:rPr>
                <w:szCs w:val="24"/>
              </w:rPr>
              <w:t xml:space="preserve">+41 22 </w:t>
            </w:r>
            <w:r w:rsidR="00332FEB" w:rsidRPr="002C3B32">
              <w:rPr>
                <w:szCs w:val="24"/>
              </w:rPr>
              <w:t>730 5853</w:t>
            </w:r>
          </w:p>
        </w:tc>
        <w:tc>
          <w:tcPr>
            <w:tcW w:w="5103" w:type="dxa"/>
            <w:gridSpan w:val="2"/>
            <w:vMerge/>
          </w:tcPr>
          <w:p w14:paraId="19BCE6F7" w14:textId="77777777" w:rsidR="00036B70" w:rsidRPr="002C3B32" w:rsidRDefault="00036B70" w:rsidP="001343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</w:rPr>
            </w:pPr>
          </w:p>
        </w:tc>
      </w:tr>
      <w:tr w:rsidR="00DC28FE" w:rsidRPr="002C3B32" w14:paraId="2A2B269B" w14:textId="77777777" w:rsidTr="004A14DC">
        <w:trPr>
          <w:gridBefore w:val="1"/>
          <w:wBefore w:w="8" w:type="dxa"/>
          <w:cantSplit/>
          <w:trHeight w:val="746"/>
          <w:jc w:val="center"/>
        </w:trPr>
        <w:tc>
          <w:tcPr>
            <w:tcW w:w="1126" w:type="dxa"/>
          </w:tcPr>
          <w:p w14:paraId="22B1D0D3" w14:textId="77777777" w:rsidR="00DC28FE" w:rsidRPr="002C3B32" w:rsidRDefault="00DC28FE" w:rsidP="00134365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Cs w:val="24"/>
              </w:rPr>
            </w:pPr>
            <w:r w:rsidRPr="002C3B32">
              <w:rPr>
                <w:b/>
                <w:bCs/>
                <w:szCs w:val="24"/>
              </w:rPr>
              <w:t>Courriel:</w:t>
            </w:r>
          </w:p>
        </w:tc>
        <w:tc>
          <w:tcPr>
            <w:tcW w:w="3544" w:type="dxa"/>
            <w:gridSpan w:val="2"/>
          </w:tcPr>
          <w:p w14:paraId="1AA4F204" w14:textId="71CD2009" w:rsidR="00DC28FE" w:rsidRPr="002C3B32" w:rsidRDefault="00000000" w:rsidP="00134365">
            <w:pPr>
              <w:tabs>
                <w:tab w:val="left" w:pos="4111"/>
              </w:tabs>
              <w:spacing w:before="40" w:after="40"/>
              <w:ind w:left="227" w:hanging="170"/>
              <w:rPr>
                <w:szCs w:val="24"/>
              </w:rPr>
            </w:pPr>
            <w:hyperlink r:id="rId12" w:history="1">
              <w:r w:rsidR="00DC28FE" w:rsidRPr="002C3B32">
                <w:rPr>
                  <w:rStyle w:val="Hyperlink"/>
                  <w:szCs w:val="24"/>
                </w:rPr>
                <w:t>tsbsg16@itu.int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44E5423E" w14:textId="77777777" w:rsidR="00DC28FE" w:rsidRPr="002C3B32" w:rsidRDefault="00DC28FE" w:rsidP="0013436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</w:rPr>
            </w:pPr>
          </w:p>
        </w:tc>
      </w:tr>
      <w:tr w:rsidR="00036B70" w:rsidRPr="002C3B32" w14:paraId="7214ABA6" w14:textId="77777777" w:rsidTr="008B2FBA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6DBA1CCF" w14:textId="77777777" w:rsidR="00036B70" w:rsidRPr="002C3B32" w:rsidRDefault="00036B70" w:rsidP="00C33961">
            <w:pPr>
              <w:tabs>
                <w:tab w:val="left" w:pos="4111"/>
              </w:tabs>
              <w:spacing w:after="40"/>
              <w:ind w:left="57"/>
              <w:rPr>
                <w:szCs w:val="24"/>
              </w:rPr>
            </w:pPr>
            <w:r w:rsidRPr="002C3B32">
              <w:rPr>
                <w:szCs w:val="24"/>
              </w:rPr>
              <w:t>Objet:</w:t>
            </w:r>
          </w:p>
        </w:tc>
        <w:tc>
          <w:tcPr>
            <w:tcW w:w="8647" w:type="dxa"/>
            <w:gridSpan w:val="4"/>
          </w:tcPr>
          <w:p w14:paraId="17F02052" w14:textId="562C2009" w:rsidR="00036B70" w:rsidRPr="002C3B32" w:rsidRDefault="00036B70" w:rsidP="00C33961">
            <w:pPr>
              <w:tabs>
                <w:tab w:val="left" w:pos="4111"/>
              </w:tabs>
              <w:spacing w:after="40"/>
              <w:ind w:left="57"/>
              <w:rPr>
                <w:szCs w:val="24"/>
              </w:rPr>
            </w:pPr>
            <w:r w:rsidRPr="002C3B32">
              <w:rPr>
                <w:b/>
                <w:bCs/>
                <w:szCs w:val="24"/>
              </w:rPr>
              <w:t xml:space="preserve">Consultation des États Membres au sujet des textes déterminés des projets de Recommandations UIT-T </w:t>
            </w:r>
            <w:r w:rsidR="00CA0768" w:rsidRPr="002C3B32">
              <w:rPr>
                <w:b/>
                <w:bCs/>
                <w:szCs w:val="24"/>
              </w:rPr>
              <w:t>F.</w:t>
            </w:r>
            <w:r w:rsidR="00876045" w:rsidRPr="002C3B32">
              <w:rPr>
                <w:b/>
                <w:bCs/>
                <w:szCs w:val="24"/>
              </w:rPr>
              <w:t>749.7</w:t>
            </w:r>
            <w:r w:rsidR="00CA0768" w:rsidRPr="002C3B32">
              <w:rPr>
                <w:b/>
                <w:bCs/>
                <w:szCs w:val="24"/>
              </w:rPr>
              <w:t xml:space="preserve"> (</w:t>
            </w:r>
            <w:r w:rsidR="00876045" w:rsidRPr="002C3B32">
              <w:rPr>
                <w:b/>
                <w:bCs/>
                <w:szCs w:val="24"/>
              </w:rPr>
              <w:t>ex F.VGP-RDSreqs</w:t>
            </w:r>
            <w:r w:rsidR="00CA0768" w:rsidRPr="002C3B32">
              <w:rPr>
                <w:b/>
                <w:bCs/>
                <w:szCs w:val="24"/>
              </w:rPr>
              <w:t>)</w:t>
            </w:r>
            <w:r w:rsidR="00876045" w:rsidRPr="002C3B32">
              <w:rPr>
                <w:b/>
                <w:bCs/>
                <w:szCs w:val="24"/>
              </w:rPr>
              <w:t xml:space="preserve"> et </w:t>
            </w:r>
            <w:r w:rsidR="00CA0768" w:rsidRPr="002C3B32">
              <w:rPr>
                <w:b/>
                <w:bCs/>
                <w:szCs w:val="24"/>
              </w:rPr>
              <w:t>H.5</w:t>
            </w:r>
            <w:r w:rsidR="00876045" w:rsidRPr="002C3B32">
              <w:rPr>
                <w:b/>
                <w:bCs/>
                <w:szCs w:val="24"/>
              </w:rPr>
              <w:t>52</w:t>
            </w:r>
            <w:r w:rsidR="00CA0768" w:rsidRPr="002C3B32">
              <w:rPr>
                <w:b/>
                <w:bCs/>
                <w:szCs w:val="24"/>
              </w:rPr>
              <w:t xml:space="preserve"> (</w:t>
            </w:r>
            <w:r w:rsidR="00876045" w:rsidRPr="002C3B32">
              <w:rPr>
                <w:b/>
                <w:bCs/>
                <w:szCs w:val="24"/>
              </w:rPr>
              <w:t>ex H.VM-VMIA</w:t>
            </w:r>
            <w:r w:rsidR="00CA0768" w:rsidRPr="002C3B32">
              <w:rPr>
                <w:b/>
                <w:bCs/>
                <w:szCs w:val="24"/>
              </w:rPr>
              <w:t xml:space="preserve">) </w:t>
            </w:r>
            <w:r w:rsidRPr="002C3B32">
              <w:rPr>
                <w:b/>
                <w:bCs/>
                <w:szCs w:val="24"/>
              </w:rPr>
              <w:t>qu</w:t>
            </w:r>
            <w:r w:rsidR="00366405" w:rsidRPr="002C3B32">
              <w:rPr>
                <w:b/>
                <w:bCs/>
                <w:szCs w:val="24"/>
              </w:rPr>
              <w:t>'</w:t>
            </w:r>
            <w:r w:rsidRPr="002C3B32">
              <w:rPr>
                <w:b/>
                <w:bCs/>
                <w:szCs w:val="24"/>
              </w:rPr>
              <w:t>il est proposé d</w:t>
            </w:r>
            <w:r w:rsidR="00366405" w:rsidRPr="002C3B32">
              <w:rPr>
                <w:b/>
                <w:bCs/>
                <w:szCs w:val="24"/>
              </w:rPr>
              <w:t>'</w:t>
            </w:r>
            <w:r w:rsidRPr="002C3B32">
              <w:rPr>
                <w:b/>
                <w:bCs/>
                <w:szCs w:val="24"/>
              </w:rPr>
              <w:t>approuver à la réunion de la Commission d</w:t>
            </w:r>
            <w:r w:rsidR="00366405" w:rsidRPr="002C3B32">
              <w:rPr>
                <w:b/>
                <w:bCs/>
                <w:szCs w:val="24"/>
              </w:rPr>
              <w:t>'</w:t>
            </w:r>
            <w:r w:rsidRPr="002C3B32">
              <w:rPr>
                <w:b/>
                <w:bCs/>
                <w:szCs w:val="24"/>
              </w:rPr>
              <w:t xml:space="preserve">études </w:t>
            </w:r>
            <w:r w:rsidR="00CA0768" w:rsidRPr="002C3B32">
              <w:rPr>
                <w:b/>
                <w:bCs/>
                <w:szCs w:val="24"/>
              </w:rPr>
              <w:t>16</w:t>
            </w:r>
            <w:r w:rsidRPr="002C3B32">
              <w:rPr>
                <w:b/>
                <w:bCs/>
                <w:szCs w:val="24"/>
              </w:rPr>
              <w:t xml:space="preserve"> de l</w:t>
            </w:r>
            <w:r w:rsidR="00366405" w:rsidRPr="002C3B32">
              <w:rPr>
                <w:b/>
                <w:bCs/>
                <w:szCs w:val="24"/>
              </w:rPr>
              <w:t>'</w:t>
            </w:r>
            <w:r w:rsidRPr="002C3B32">
              <w:rPr>
                <w:b/>
                <w:bCs/>
                <w:szCs w:val="24"/>
              </w:rPr>
              <w:t>UIT-T (</w:t>
            </w:r>
            <w:r w:rsidR="00CA0768" w:rsidRPr="002C3B32">
              <w:rPr>
                <w:b/>
                <w:bCs/>
                <w:szCs w:val="24"/>
              </w:rPr>
              <w:t xml:space="preserve">prévue à Rennes, </w:t>
            </w:r>
            <w:r w:rsidR="00876045" w:rsidRPr="002C3B32">
              <w:rPr>
                <w:b/>
                <w:bCs/>
                <w:szCs w:val="24"/>
              </w:rPr>
              <w:t xml:space="preserve">du </w:t>
            </w:r>
            <w:r w:rsidR="00CA0768" w:rsidRPr="002C3B32">
              <w:rPr>
                <w:b/>
                <w:bCs/>
                <w:szCs w:val="24"/>
              </w:rPr>
              <w:t>15</w:t>
            </w:r>
            <w:r w:rsidR="00876045" w:rsidRPr="002C3B32">
              <w:rPr>
                <w:b/>
                <w:bCs/>
                <w:szCs w:val="24"/>
              </w:rPr>
              <w:t xml:space="preserve"> au </w:t>
            </w:r>
            <w:r w:rsidR="00CA0768" w:rsidRPr="002C3B32">
              <w:rPr>
                <w:b/>
                <w:bCs/>
                <w:szCs w:val="24"/>
              </w:rPr>
              <w:t>26 avril 2024</w:t>
            </w:r>
            <w:r w:rsidRPr="002C3B32">
              <w:rPr>
                <w:b/>
                <w:bCs/>
                <w:szCs w:val="24"/>
              </w:rPr>
              <w:t>)</w:t>
            </w:r>
          </w:p>
        </w:tc>
      </w:tr>
    </w:tbl>
    <w:p w14:paraId="0B105C7E" w14:textId="0993E765" w:rsidR="00036B70" w:rsidRPr="002C3B32" w:rsidRDefault="00036B70" w:rsidP="0000320B">
      <w:pPr>
        <w:rPr>
          <w:szCs w:val="24"/>
        </w:rPr>
      </w:pPr>
      <w:r w:rsidRPr="002C3B32">
        <w:rPr>
          <w:szCs w:val="24"/>
        </w:rPr>
        <w:t>Madame, Monsieur</w:t>
      </w:r>
      <w:r w:rsidR="0000320B" w:rsidRPr="002C3B32">
        <w:rPr>
          <w:szCs w:val="24"/>
        </w:rPr>
        <w:t>,</w:t>
      </w:r>
    </w:p>
    <w:p w14:paraId="0DB903D6" w14:textId="64A0EC9B" w:rsidR="00036B70" w:rsidRPr="002C3B32" w:rsidRDefault="00036B70" w:rsidP="001C6238">
      <w:pPr>
        <w:tabs>
          <w:tab w:val="left" w:pos="5387"/>
        </w:tabs>
        <w:rPr>
          <w:szCs w:val="24"/>
        </w:rPr>
      </w:pPr>
      <w:r w:rsidRPr="002C3B32">
        <w:rPr>
          <w:szCs w:val="24"/>
        </w:rPr>
        <w:t>1</w:t>
      </w:r>
      <w:r w:rsidRPr="002C3B32">
        <w:rPr>
          <w:szCs w:val="24"/>
        </w:rPr>
        <w:tab/>
        <w:t>La Commission d</w:t>
      </w:r>
      <w:r w:rsidR="00366405" w:rsidRPr="002C3B32">
        <w:rPr>
          <w:szCs w:val="24"/>
        </w:rPr>
        <w:t>'</w:t>
      </w:r>
      <w:r w:rsidRPr="002C3B32">
        <w:rPr>
          <w:szCs w:val="24"/>
        </w:rPr>
        <w:t xml:space="preserve">études </w:t>
      </w:r>
      <w:r w:rsidR="003E78BD" w:rsidRPr="002C3B32">
        <w:rPr>
          <w:szCs w:val="24"/>
        </w:rPr>
        <w:t>16</w:t>
      </w:r>
      <w:r w:rsidRPr="002C3B32">
        <w:rPr>
          <w:szCs w:val="24"/>
        </w:rPr>
        <w:t xml:space="preserve"> de l</w:t>
      </w:r>
      <w:r w:rsidR="00366405" w:rsidRPr="002C3B32">
        <w:rPr>
          <w:szCs w:val="24"/>
        </w:rPr>
        <w:t>'</w:t>
      </w:r>
      <w:r w:rsidRPr="002C3B32">
        <w:rPr>
          <w:szCs w:val="24"/>
        </w:rPr>
        <w:t>UIT-T (</w:t>
      </w:r>
      <w:r w:rsidR="003E78BD" w:rsidRPr="002C3B32">
        <w:rPr>
          <w:szCs w:val="24"/>
        </w:rPr>
        <w:t>Multimédia</w:t>
      </w:r>
      <w:r w:rsidRPr="002C3B32">
        <w:rPr>
          <w:szCs w:val="24"/>
        </w:rPr>
        <w:t>) a l</w:t>
      </w:r>
      <w:r w:rsidR="00366405" w:rsidRPr="002C3B32">
        <w:rPr>
          <w:szCs w:val="24"/>
        </w:rPr>
        <w:t>'</w:t>
      </w:r>
      <w:r w:rsidRPr="002C3B32">
        <w:rPr>
          <w:szCs w:val="24"/>
        </w:rPr>
        <w:t>intention d</w:t>
      </w:r>
      <w:r w:rsidR="00366405" w:rsidRPr="002C3B32">
        <w:rPr>
          <w:szCs w:val="24"/>
        </w:rPr>
        <w:t>'</w:t>
      </w:r>
      <w:r w:rsidRPr="002C3B32">
        <w:rPr>
          <w:szCs w:val="24"/>
        </w:rPr>
        <w:t>appliquer la procédure d</w:t>
      </w:r>
      <w:r w:rsidR="00366405" w:rsidRPr="002C3B32">
        <w:rPr>
          <w:szCs w:val="24"/>
        </w:rPr>
        <w:t>'</w:t>
      </w:r>
      <w:r w:rsidRPr="002C3B32">
        <w:rPr>
          <w:szCs w:val="24"/>
        </w:rPr>
        <w:t>approbation traditionnelle énoncée à la section 9 de la Résolution 1</w:t>
      </w:r>
      <w:r w:rsidR="00DE5022" w:rsidRPr="002C3B32">
        <w:rPr>
          <w:szCs w:val="24"/>
        </w:rPr>
        <w:t xml:space="preserve"> (Rév. Genève, 2022)</w:t>
      </w:r>
      <w:r w:rsidRPr="002C3B32">
        <w:rPr>
          <w:szCs w:val="24"/>
        </w:rPr>
        <w:t xml:space="preserve"> de l</w:t>
      </w:r>
      <w:r w:rsidR="00366405" w:rsidRPr="002C3B32">
        <w:rPr>
          <w:szCs w:val="24"/>
        </w:rPr>
        <w:t>'</w:t>
      </w:r>
      <w:r w:rsidRPr="002C3B32">
        <w:rPr>
          <w:szCs w:val="24"/>
        </w:rPr>
        <w:t>AMNT pour l</w:t>
      </w:r>
      <w:r w:rsidR="00366405" w:rsidRPr="002C3B32">
        <w:rPr>
          <w:szCs w:val="24"/>
        </w:rPr>
        <w:t>'</w:t>
      </w:r>
      <w:r w:rsidRPr="002C3B32">
        <w:rPr>
          <w:szCs w:val="24"/>
        </w:rPr>
        <w:t xml:space="preserve">approbation des projets de </w:t>
      </w:r>
      <w:r w:rsidR="001C6238" w:rsidRPr="002C3B32">
        <w:rPr>
          <w:szCs w:val="24"/>
        </w:rPr>
        <w:t>R</w:t>
      </w:r>
      <w:r w:rsidRPr="002C3B32">
        <w:rPr>
          <w:szCs w:val="24"/>
        </w:rPr>
        <w:t xml:space="preserve">ecommandations mentionnés ci-dessus à sa prochaine réunion, qui se tiendra à </w:t>
      </w:r>
      <w:r w:rsidR="003E78BD" w:rsidRPr="002C3B32">
        <w:rPr>
          <w:szCs w:val="24"/>
        </w:rPr>
        <w:t>Rennes</w:t>
      </w:r>
      <w:r w:rsidR="0000320B" w:rsidRPr="002C3B32">
        <w:rPr>
          <w:szCs w:val="24"/>
        </w:rPr>
        <w:t xml:space="preserve"> </w:t>
      </w:r>
      <w:r w:rsidRPr="002C3B32">
        <w:rPr>
          <w:szCs w:val="24"/>
        </w:rPr>
        <w:t xml:space="preserve">du </w:t>
      </w:r>
      <w:r w:rsidR="003E78BD" w:rsidRPr="002C3B32">
        <w:rPr>
          <w:szCs w:val="24"/>
        </w:rPr>
        <w:t>15 au 26 avril</w:t>
      </w:r>
      <w:r w:rsidRPr="002C3B32">
        <w:rPr>
          <w:szCs w:val="24"/>
        </w:rPr>
        <w:t xml:space="preserve"> 202</w:t>
      </w:r>
      <w:r w:rsidR="003E78BD" w:rsidRPr="002C3B32">
        <w:rPr>
          <w:szCs w:val="24"/>
        </w:rPr>
        <w:t>4</w:t>
      </w:r>
      <w:r w:rsidRPr="002C3B32">
        <w:rPr>
          <w:szCs w:val="24"/>
        </w:rPr>
        <w:t>. L</w:t>
      </w:r>
      <w:r w:rsidR="00366405" w:rsidRPr="002C3B32">
        <w:rPr>
          <w:szCs w:val="24"/>
        </w:rPr>
        <w:t>'</w:t>
      </w:r>
      <w:r w:rsidRPr="002C3B32">
        <w:rPr>
          <w:szCs w:val="24"/>
        </w:rPr>
        <w:t xml:space="preserve">ordre du jour de cette réunion, ainsi que toutes les informations pertinentes concernant la </w:t>
      </w:r>
      <w:r w:rsidR="003E78BD" w:rsidRPr="002C3B32">
        <w:rPr>
          <w:szCs w:val="24"/>
        </w:rPr>
        <w:t xml:space="preserve">réunion de la </w:t>
      </w:r>
      <w:r w:rsidRPr="002C3B32">
        <w:rPr>
          <w:szCs w:val="24"/>
        </w:rPr>
        <w:t>Commission d</w:t>
      </w:r>
      <w:r w:rsidR="00366405" w:rsidRPr="002C3B32">
        <w:rPr>
          <w:szCs w:val="24"/>
        </w:rPr>
        <w:t>'</w:t>
      </w:r>
      <w:r w:rsidRPr="002C3B32">
        <w:rPr>
          <w:szCs w:val="24"/>
        </w:rPr>
        <w:t xml:space="preserve">études </w:t>
      </w:r>
      <w:r w:rsidR="003E78BD" w:rsidRPr="002C3B32">
        <w:rPr>
          <w:szCs w:val="24"/>
        </w:rPr>
        <w:t>16</w:t>
      </w:r>
      <w:r w:rsidRPr="002C3B32">
        <w:rPr>
          <w:szCs w:val="24"/>
        </w:rPr>
        <w:t xml:space="preserve"> de l</w:t>
      </w:r>
      <w:r w:rsidR="00366405" w:rsidRPr="002C3B32">
        <w:rPr>
          <w:szCs w:val="24"/>
        </w:rPr>
        <w:t>'</w:t>
      </w:r>
      <w:r w:rsidRPr="002C3B32">
        <w:rPr>
          <w:szCs w:val="24"/>
        </w:rPr>
        <w:t>UIT-T, seront mis à disposition dans la</w:t>
      </w:r>
      <w:r w:rsidR="003E78BD" w:rsidRPr="002C3B32">
        <w:rPr>
          <w:szCs w:val="24"/>
        </w:rPr>
        <w:t xml:space="preserve"> lettre collective de la Commission d</w:t>
      </w:r>
      <w:r w:rsidR="00366405" w:rsidRPr="002C3B32">
        <w:rPr>
          <w:szCs w:val="24"/>
        </w:rPr>
        <w:t>'</w:t>
      </w:r>
      <w:r w:rsidR="003E78BD" w:rsidRPr="002C3B32">
        <w:rPr>
          <w:szCs w:val="24"/>
        </w:rPr>
        <w:t>études</w:t>
      </w:r>
      <w:r w:rsidR="00C33961" w:rsidRPr="002C3B32">
        <w:rPr>
          <w:szCs w:val="24"/>
        </w:rPr>
        <w:t> </w:t>
      </w:r>
      <w:r w:rsidR="003E78BD" w:rsidRPr="002C3B32">
        <w:rPr>
          <w:szCs w:val="24"/>
        </w:rPr>
        <w:t>16 correspondante</w:t>
      </w:r>
      <w:r w:rsidR="00DE5022" w:rsidRPr="002C3B32">
        <w:rPr>
          <w:szCs w:val="24"/>
        </w:rPr>
        <w:t>,</w:t>
      </w:r>
      <w:r w:rsidR="003E78BD" w:rsidRPr="002C3B32">
        <w:rPr>
          <w:szCs w:val="24"/>
        </w:rPr>
        <w:t xml:space="preserve"> qui sera publié</w:t>
      </w:r>
      <w:r w:rsidR="00C33961" w:rsidRPr="002C3B32">
        <w:rPr>
          <w:szCs w:val="24"/>
        </w:rPr>
        <w:t>e</w:t>
      </w:r>
      <w:r w:rsidR="003E78BD" w:rsidRPr="002C3B32">
        <w:rPr>
          <w:szCs w:val="24"/>
        </w:rPr>
        <w:t xml:space="preserve"> prochainement</w:t>
      </w:r>
      <w:r w:rsidRPr="002C3B32">
        <w:rPr>
          <w:szCs w:val="24"/>
        </w:rPr>
        <w:t>.</w:t>
      </w:r>
    </w:p>
    <w:p w14:paraId="0DD4F177" w14:textId="3A75688A" w:rsidR="00036B70" w:rsidRPr="002C3B32" w:rsidRDefault="00036B70" w:rsidP="00CF2383">
      <w:pPr>
        <w:rPr>
          <w:szCs w:val="24"/>
        </w:rPr>
      </w:pPr>
      <w:r w:rsidRPr="002C3B32">
        <w:rPr>
          <w:szCs w:val="24"/>
        </w:rPr>
        <w:t>2</w:t>
      </w:r>
      <w:r w:rsidRPr="002C3B32">
        <w:rPr>
          <w:szCs w:val="24"/>
        </w:rPr>
        <w:tab/>
        <w:t>Vous trouverez dans l</w:t>
      </w:r>
      <w:r w:rsidR="00366405" w:rsidRPr="002C3B32">
        <w:rPr>
          <w:szCs w:val="24"/>
        </w:rPr>
        <w:t>'</w:t>
      </w:r>
      <w:r w:rsidRPr="002C3B32">
        <w:rPr>
          <w:b/>
          <w:bCs/>
          <w:szCs w:val="24"/>
        </w:rPr>
        <w:t>Annexe 1</w:t>
      </w:r>
      <w:r w:rsidRPr="002C3B32">
        <w:rPr>
          <w:szCs w:val="24"/>
        </w:rPr>
        <w:t xml:space="preserve"> </w:t>
      </w:r>
      <w:r w:rsidR="002968BA" w:rsidRPr="002C3B32">
        <w:rPr>
          <w:szCs w:val="24"/>
        </w:rPr>
        <w:t>des informations relatives au</w:t>
      </w:r>
      <w:r w:rsidRPr="002C3B32">
        <w:rPr>
          <w:szCs w:val="24"/>
        </w:rPr>
        <w:t xml:space="preserve"> titre, </w:t>
      </w:r>
      <w:r w:rsidR="002968BA" w:rsidRPr="002C3B32">
        <w:rPr>
          <w:szCs w:val="24"/>
        </w:rPr>
        <w:t>au</w:t>
      </w:r>
      <w:r w:rsidRPr="002C3B32">
        <w:rPr>
          <w:szCs w:val="24"/>
        </w:rPr>
        <w:t xml:space="preserve"> résumé</w:t>
      </w:r>
      <w:r w:rsidR="002968BA" w:rsidRPr="002C3B32">
        <w:rPr>
          <w:szCs w:val="24"/>
        </w:rPr>
        <w:t>, à la justification UIT-T A.5 et à</w:t>
      </w:r>
      <w:r w:rsidRPr="002C3B32">
        <w:rPr>
          <w:szCs w:val="24"/>
        </w:rPr>
        <w:t xml:space="preserve"> la localisation des projets de nouvelles </w:t>
      </w:r>
      <w:r w:rsidR="001C6238" w:rsidRPr="002C3B32">
        <w:rPr>
          <w:szCs w:val="24"/>
        </w:rPr>
        <w:t>R</w:t>
      </w:r>
      <w:r w:rsidRPr="002C3B32">
        <w:rPr>
          <w:szCs w:val="24"/>
        </w:rPr>
        <w:t>ecommandations UIT-T qu</w:t>
      </w:r>
      <w:r w:rsidR="00366405" w:rsidRPr="002C3B32">
        <w:rPr>
          <w:szCs w:val="24"/>
        </w:rPr>
        <w:t>'</w:t>
      </w:r>
      <w:r w:rsidRPr="002C3B32">
        <w:rPr>
          <w:szCs w:val="24"/>
        </w:rPr>
        <w:t>il est proposé d</w:t>
      </w:r>
      <w:r w:rsidR="00366405" w:rsidRPr="002C3B32">
        <w:rPr>
          <w:szCs w:val="24"/>
        </w:rPr>
        <w:t>'</w:t>
      </w:r>
      <w:r w:rsidRPr="002C3B32">
        <w:rPr>
          <w:szCs w:val="24"/>
        </w:rPr>
        <w:t>approuver.</w:t>
      </w:r>
    </w:p>
    <w:p w14:paraId="3D400D5A" w14:textId="37FA0C57" w:rsidR="00036B70" w:rsidRPr="002C3B32" w:rsidRDefault="00036B70" w:rsidP="0000320B">
      <w:pPr>
        <w:rPr>
          <w:szCs w:val="24"/>
        </w:rPr>
      </w:pPr>
      <w:r w:rsidRPr="002C3B32">
        <w:rPr>
          <w:szCs w:val="24"/>
        </w:rPr>
        <w:t>3</w:t>
      </w:r>
      <w:r w:rsidRPr="002C3B32">
        <w:rPr>
          <w:szCs w:val="24"/>
        </w:rPr>
        <w:tab/>
        <w:t>La présente Circulaire a pour objet d</w:t>
      </w:r>
      <w:r w:rsidR="00366405" w:rsidRPr="002C3B32">
        <w:rPr>
          <w:szCs w:val="24"/>
        </w:rPr>
        <w:t>'</w:t>
      </w:r>
      <w:r w:rsidRPr="002C3B32">
        <w:rPr>
          <w:szCs w:val="24"/>
        </w:rPr>
        <w:t xml:space="preserve">engager le processus de consultation formelle des </w:t>
      </w:r>
      <w:r w:rsidR="0000320B" w:rsidRPr="002C3B32">
        <w:rPr>
          <w:szCs w:val="24"/>
        </w:rPr>
        <w:t>États</w:t>
      </w:r>
      <w:r w:rsidRPr="002C3B32">
        <w:rPr>
          <w:szCs w:val="24"/>
        </w:rPr>
        <w:t xml:space="preserve"> Membres de l</w:t>
      </w:r>
      <w:r w:rsidR="00366405" w:rsidRPr="002C3B32">
        <w:rPr>
          <w:szCs w:val="24"/>
        </w:rPr>
        <w:t>'</w:t>
      </w:r>
      <w:r w:rsidRPr="002C3B32">
        <w:rPr>
          <w:szCs w:val="24"/>
        </w:rPr>
        <w:t xml:space="preserve">UIT, qui devront indiquer si ces textes peuvent être examinés en vue de leur approbation à la prochaine réunion, conformément au paragraphe 9.4 de la Résolution 1. Les </w:t>
      </w:r>
      <w:r w:rsidR="0000320B" w:rsidRPr="002C3B32">
        <w:rPr>
          <w:szCs w:val="24"/>
        </w:rPr>
        <w:t>États </w:t>
      </w:r>
      <w:r w:rsidRPr="002C3B32">
        <w:rPr>
          <w:szCs w:val="24"/>
        </w:rPr>
        <w:t>Membres sont priés de remplir le formulaire de l</w:t>
      </w:r>
      <w:r w:rsidR="00366405" w:rsidRPr="002C3B32">
        <w:rPr>
          <w:szCs w:val="24"/>
        </w:rPr>
        <w:t>'</w:t>
      </w:r>
      <w:r w:rsidRPr="002C3B32">
        <w:rPr>
          <w:b/>
          <w:bCs/>
          <w:szCs w:val="24"/>
        </w:rPr>
        <w:t>Annexe 2</w:t>
      </w:r>
      <w:r w:rsidRPr="002C3B32">
        <w:rPr>
          <w:szCs w:val="24"/>
        </w:rPr>
        <w:t xml:space="preserve"> et de le renvoyer d</w:t>
      </w:r>
      <w:r w:rsidR="00366405" w:rsidRPr="002C3B32">
        <w:rPr>
          <w:szCs w:val="24"/>
        </w:rPr>
        <w:t>'</w:t>
      </w:r>
      <w:r w:rsidRPr="002C3B32">
        <w:rPr>
          <w:szCs w:val="24"/>
        </w:rPr>
        <w:t>ici au</w:t>
      </w:r>
      <w:r w:rsidR="0000320B" w:rsidRPr="002C3B32">
        <w:rPr>
          <w:szCs w:val="24"/>
        </w:rPr>
        <w:t> </w:t>
      </w:r>
      <w:r w:rsidR="003E78BD" w:rsidRPr="002C3B32">
        <w:rPr>
          <w:b/>
          <w:bCs/>
          <w:szCs w:val="24"/>
        </w:rPr>
        <w:t>3</w:t>
      </w:r>
      <w:r w:rsidR="00C33961" w:rsidRPr="002C3B32">
        <w:rPr>
          <w:b/>
          <w:bCs/>
          <w:szCs w:val="24"/>
        </w:rPr>
        <w:t> </w:t>
      </w:r>
      <w:r w:rsidR="003E78BD" w:rsidRPr="002C3B32">
        <w:rPr>
          <w:b/>
          <w:bCs/>
          <w:szCs w:val="24"/>
        </w:rPr>
        <w:t>avril</w:t>
      </w:r>
      <w:r w:rsidR="00C33961" w:rsidRPr="002C3B32">
        <w:rPr>
          <w:b/>
          <w:bCs/>
          <w:szCs w:val="24"/>
        </w:rPr>
        <w:t> </w:t>
      </w:r>
      <w:r w:rsidR="003E78BD" w:rsidRPr="002C3B32">
        <w:rPr>
          <w:b/>
          <w:bCs/>
          <w:szCs w:val="24"/>
        </w:rPr>
        <w:t>2024</w:t>
      </w:r>
      <w:r w:rsidR="0000320B" w:rsidRPr="002C3B32">
        <w:rPr>
          <w:szCs w:val="24"/>
        </w:rPr>
        <w:t xml:space="preserve"> </w:t>
      </w:r>
      <w:r w:rsidRPr="002C3B32">
        <w:rPr>
          <w:szCs w:val="24"/>
        </w:rPr>
        <w:t>à 23</w:t>
      </w:r>
      <w:r w:rsidR="0000320B" w:rsidRPr="002C3B32">
        <w:rPr>
          <w:szCs w:val="24"/>
        </w:rPr>
        <w:t> </w:t>
      </w:r>
      <w:r w:rsidRPr="002C3B32">
        <w:rPr>
          <w:szCs w:val="24"/>
        </w:rPr>
        <w:t>h</w:t>
      </w:r>
      <w:r w:rsidR="0000320B" w:rsidRPr="002C3B32">
        <w:rPr>
          <w:szCs w:val="24"/>
        </w:rPr>
        <w:t> </w:t>
      </w:r>
      <w:r w:rsidRPr="002C3B32">
        <w:rPr>
          <w:szCs w:val="24"/>
        </w:rPr>
        <w:t>59 (UTC).</w:t>
      </w:r>
    </w:p>
    <w:p w14:paraId="0910E408" w14:textId="0E78379F" w:rsidR="004169B4" w:rsidRPr="002C3B32" w:rsidRDefault="00036B70" w:rsidP="00CF2383">
      <w:pPr>
        <w:rPr>
          <w:szCs w:val="24"/>
        </w:rPr>
      </w:pPr>
      <w:r w:rsidRPr="002C3B32">
        <w:rPr>
          <w:szCs w:val="24"/>
        </w:rPr>
        <w:t>4</w:t>
      </w:r>
      <w:r w:rsidRPr="002C3B32">
        <w:rPr>
          <w:szCs w:val="24"/>
        </w:rPr>
        <w:tab/>
        <w:t xml:space="preserve">Si au moins 70% des réponses des </w:t>
      </w:r>
      <w:r w:rsidR="0000320B" w:rsidRPr="002C3B32">
        <w:rPr>
          <w:szCs w:val="24"/>
        </w:rPr>
        <w:t>États</w:t>
      </w:r>
      <w:r w:rsidRPr="002C3B32">
        <w:rPr>
          <w:szCs w:val="24"/>
        </w:rPr>
        <w:t xml:space="preserve"> Membres sont en faveur de l</w:t>
      </w:r>
      <w:r w:rsidR="00366405" w:rsidRPr="002C3B32">
        <w:rPr>
          <w:szCs w:val="24"/>
        </w:rPr>
        <w:t>'</w:t>
      </w:r>
      <w:r w:rsidRPr="002C3B32">
        <w:rPr>
          <w:szCs w:val="24"/>
        </w:rPr>
        <w:t>examen, aux fins d</w:t>
      </w:r>
      <w:r w:rsidR="00366405" w:rsidRPr="002C3B32">
        <w:rPr>
          <w:szCs w:val="24"/>
        </w:rPr>
        <w:t>'</w:t>
      </w:r>
      <w:r w:rsidRPr="002C3B32">
        <w:rPr>
          <w:szCs w:val="24"/>
        </w:rPr>
        <w:t>approbation, de ces textes, une séance plénière sera consacrée à l</w:t>
      </w:r>
      <w:r w:rsidR="00366405" w:rsidRPr="002C3B32">
        <w:rPr>
          <w:szCs w:val="24"/>
        </w:rPr>
        <w:t>'</w:t>
      </w:r>
      <w:r w:rsidRPr="002C3B32">
        <w:rPr>
          <w:szCs w:val="24"/>
        </w:rPr>
        <w:t>application de la procédure d</w:t>
      </w:r>
      <w:r w:rsidR="00366405" w:rsidRPr="002C3B32">
        <w:rPr>
          <w:szCs w:val="24"/>
        </w:rPr>
        <w:t>'</w:t>
      </w:r>
      <w:r w:rsidRPr="002C3B32">
        <w:rPr>
          <w:szCs w:val="24"/>
        </w:rPr>
        <w:t xml:space="preserve">approbation. Les </w:t>
      </w:r>
      <w:r w:rsidR="0000320B" w:rsidRPr="002C3B32">
        <w:rPr>
          <w:szCs w:val="24"/>
        </w:rPr>
        <w:t>États</w:t>
      </w:r>
      <w:r w:rsidRPr="002C3B32">
        <w:rPr>
          <w:szCs w:val="24"/>
        </w:rPr>
        <w:t xml:space="preserve"> Membres qui n</w:t>
      </w:r>
      <w:r w:rsidR="00366405" w:rsidRPr="002C3B32">
        <w:rPr>
          <w:szCs w:val="24"/>
        </w:rPr>
        <w:t>'</w:t>
      </w:r>
      <w:r w:rsidRPr="002C3B32">
        <w:rPr>
          <w:szCs w:val="24"/>
        </w:rPr>
        <w:t>autorisent pas la commission d</w:t>
      </w:r>
      <w:r w:rsidR="00366405" w:rsidRPr="002C3B32">
        <w:rPr>
          <w:szCs w:val="24"/>
        </w:rPr>
        <w:t>'</w:t>
      </w:r>
      <w:r w:rsidRPr="002C3B32">
        <w:rPr>
          <w:szCs w:val="24"/>
        </w:rPr>
        <w:t>études à procéder ainsi doivent informer le Directeur du TSB des motifs de cette décision et lui faire part des éventuelles modifications qui permettraient la poursuite des travaux.</w:t>
      </w:r>
    </w:p>
    <w:p w14:paraId="479741D8" w14:textId="086EDAD4" w:rsidR="00036B70" w:rsidRPr="002C3B32" w:rsidRDefault="00036B70" w:rsidP="0000320B">
      <w:pPr>
        <w:rPr>
          <w:szCs w:val="24"/>
        </w:rPr>
      </w:pPr>
      <w:r w:rsidRPr="002C3B32">
        <w:rPr>
          <w:szCs w:val="24"/>
        </w:rPr>
        <w:lastRenderedPageBreak/>
        <w:t>Veuillez agréer, Madame, Monsieur, l</w:t>
      </w:r>
      <w:r w:rsidR="00366405" w:rsidRPr="002C3B32">
        <w:rPr>
          <w:szCs w:val="24"/>
        </w:rPr>
        <w:t>'</w:t>
      </w:r>
      <w:r w:rsidRPr="002C3B32">
        <w:rPr>
          <w:szCs w:val="24"/>
        </w:rPr>
        <w:t>assurance de ma</w:t>
      </w:r>
      <w:r w:rsidR="0000320B" w:rsidRPr="002C3B32">
        <w:rPr>
          <w:szCs w:val="24"/>
        </w:rPr>
        <w:t xml:space="preserve"> </w:t>
      </w:r>
      <w:r w:rsidRPr="002C3B32">
        <w:rPr>
          <w:szCs w:val="24"/>
        </w:rPr>
        <w:t>considération distinguée</w:t>
      </w:r>
      <w:r w:rsidR="00406878" w:rsidRPr="002C3B32">
        <w:rPr>
          <w:szCs w:val="24"/>
        </w:rPr>
        <w:t>.</w:t>
      </w:r>
    </w:p>
    <w:p w14:paraId="10764809" w14:textId="5A20A644" w:rsidR="00CF2383" w:rsidRPr="002C3B32" w:rsidRDefault="00CF2383" w:rsidP="00CF2383">
      <w:pPr>
        <w:keepNext/>
        <w:keepLines/>
        <w:spacing w:before="480" w:after="480"/>
        <w:rPr>
          <w:bCs/>
        </w:rPr>
      </w:pPr>
      <w:r w:rsidRPr="002C3B32">
        <w:rPr>
          <w:bCs/>
          <w:iCs/>
        </w:rPr>
        <w:t>(</w:t>
      </w:r>
      <w:r w:rsidRPr="002C3B32">
        <w:rPr>
          <w:bCs/>
          <w:i/>
        </w:rPr>
        <w:t>signé</w:t>
      </w:r>
      <w:r w:rsidRPr="002C3B32">
        <w:rPr>
          <w:bCs/>
        </w:rPr>
        <w:t>)</w:t>
      </w:r>
    </w:p>
    <w:p w14:paraId="24B63B0B" w14:textId="77777777" w:rsidR="00CF2383" w:rsidRPr="002C3B32" w:rsidRDefault="00CF2383" w:rsidP="00CF2383">
      <w:pPr>
        <w:keepNext/>
        <w:keepLines/>
        <w:rPr>
          <w:bCs/>
        </w:rPr>
      </w:pPr>
      <w:r w:rsidRPr="002C3B32">
        <w:rPr>
          <w:bCs/>
        </w:rPr>
        <w:t>Seizo Onoe</w:t>
      </w:r>
      <w:r w:rsidRPr="002C3B32">
        <w:rPr>
          <w:bCs/>
        </w:rPr>
        <w:br/>
        <w:t>Directeur du Bureau de la normalisation</w:t>
      </w:r>
      <w:r w:rsidRPr="002C3B32">
        <w:rPr>
          <w:bCs/>
        </w:rPr>
        <w:br/>
        <w:t>des télécommunications</w:t>
      </w:r>
    </w:p>
    <w:p w14:paraId="349070FC" w14:textId="113876A9" w:rsidR="00036B70" w:rsidRPr="002C3B32" w:rsidRDefault="00036B70" w:rsidP="00CF2383">
      <w:pPr>
        <w:spacing w:before="360"/>
        <w:rPr>
          <w:szCs w:val="24"/>
        </w:rPr>
      </w:pPr>
      <w:r w:rsidRPr="002C3B32">
        <w:rPr>
          <w:b/>
          <w:bCs/>
          <w:szCs w:val="24"/>
        </w:rPr>
        <w:t>Annexes</w:t>
      </w:r>
      <w:r w:rsidR="0000320B" w:rsidRPr="002C3B32">
        <w:rPr>
          <w:bCs/>
          <w:szCs w:val="24"/>
        </w:rPr>
        <w:t>:</w:t>
      </w:r>
      <w:r w:rsidRPr="002C3B32">
        <w:rPr>
          <w:szCs w:val="24"/>
        </w:rPr>
        <w:t xml:space="preserve"> 2</w:t>
      </w:r>
    </w:p>
    <w:p w14:paraId="0733DD19" w14:textId="77777777" w:rsidR="00406878" w:rsidRPr="002C3B32" w:rsidRDefault="00406878" w:rsidP="00CE37BA">
      <w:pPr>
        <w:spacing w:before="0"/>
      </w:pPr>
      <w:r w:rsidRPr="002C3B32">
        <w:br w:type="page"/>
      </w:r>
    </w:p>
    <w:p w14:paraId="7685F069" w14:textId="1CF006B0" w:rsidR="00036B70" w:rsidRPr="002C3B32" w:rsidRDefault="00036B70" w:rsidP="00801B5F">
      <w:pPr>
        <w:pStyle w:val="AnnexTitle"/>
        <w:rPr>
          <w:bCs/>
          <w:sz w:val="28"/>
        </w:rPr>
      </w:pPr>
      <w:r w:rsidRPr="002C3B32">
        <w:rPr>
          <w:bCs/>
          <w:sz w:val="28"/>
        </w:rPr>
        <w:lastRenderedPageBreak/>
        <w:t>Annexe 1</w:t>
      </w:r>
      <w:r w:rsidR="006930CD" w:rsidRPr="002C3B32">
        <w:rPr>
          <w:bCs/>
          <w:sz w:val="28"/>
        </w:rPr>
        <w:br/>
      </w:r>
      <w:r w:rsidR="006930CD" w:rsidRPr="002C3B32">
        <w:rPr>
          <w:bCs/>
          <w:sz w:val="28"/>
        </w:rPr>
        <w:br/>
      </w:r>
      <w:r w:rsidRPr="002C3B32">
        <w:rPr>
          <w:bCs/>
          <w:sz w:val="28"/>
        </w:rPr>
        <w:t>Résumé et localisation des textes déte</w:t>
      </w:r>
      <w:r w:rsidR="008B2FBA" w:rsidRPr="002C3B32">
        <w:rPr>
          <w:bCs/>
          <w:sz w:val="28"/>
        </w:rPr>
        <w:t>rminés des projets de nouvelles</w:t>
      </w:r>
      <w:r w:rsidR="00801B5F" w:rsidRPr="002C3B32">
        <w:rPr>
          <w:bCs/>
          <w:sz w:val="28"/>
        </w:rPr>
        <w:t xml:space="preserve"> </w:t>
      </w:r>
      <w:r w:rsidRPr="002C3B32">
        <w:rPr>
          <w:bCs/>
          <w:sz w:val="28"/>
        </w:rPr>
        <w:t>Recommandations UIT-</w:t>
      </w:r>
      <w:r w:rsidR="00DE5022" w:rsidRPr="002C3B32">
        <w:rPr>
          <w:bCs/>
          <w:sz w:val="28"/>
        </w:rPr>
        <w:t>T F.</w:t>
      </w:r>
      <w:r w:rsidR="002968BA" w:rsidRPr="002C3B32">
        <w:rPr>
          <w:bCs/>
          <w:sz w:val="28"/>
        </w:rPr>
        <w:t>749.7 (ex F.VGP-RDSreqs)</w:t>
      </w:r>
      <w:r w:rsidR="00366405" w:rsidRPr="002C3B32">
        <w:rPr>
          <w:bCs/>
          <w:sz w:val="28"/>
        </w:rPr>
        <w:br/>
      </w:r>
      <w:r w:rsidR="002968BA" w:rsidRPr="002C3B32">
        <w:rPr>
          <w:bCs/>
          <w:sz w:val="28"/>
        </w:rPr>
        <w:t>et H.552 (ex H.VM-VMIA)</w:t>
      </w:r>
    </w:p>
    <w:p w14:paraId="0B64EFF2" w14:textId="09D539AA" w:rsidR="00036B70" w:rsidRPr="002C3B32" w:rsidRDefault="00036B70" w:rsidP="00801B5F">
      <w:pPr>
        <w:pStyle w:val="Heading1"/>
        <w:rPr>
          <w:rFonts w:cs="Calibri"/>
        </w:rPr>
      </w:pPr>
      <w:r w:rsidRPr="002C3B32">
        <w:t>1</w:t>
      </w:r>
      <w:r w:rsidR="00406878" w:rsidRPr="002C3B32">
        <w:tab/>
      </w:r>
      <w:r w:rsidRPr="002C3B32">
        <w:t xml:space="preserve">Projet de nouvelle Recommandation UIT-T </w:t>
      </w:r>
      <w:r w:rsidR="006213D9" w:rsidRPr="002C3B32">
        <w:t>F.</w:t>
      </w:r>
      <w:r w:rsidR="000A602B" w:rsidRPr="002C3B32">
        <w:t>749.7</w:t>
      </w:r>
      <w:r w:rsidR="006213D9" w:rsidRPr="002C3B32">
        <w:t xml:space="preserve"> (</w:t>
      </w:r>
      <w:r w:rsidR="000A602B" w:rsidRPr="002C3B32">
        <w:t>ex F.VGP-RDSreqs</w:t>
      </w:r>
      <w:r w:rsidRPr="002C3B32">
        <w:rPr>
          <w:szCs w:val="24"/>
        </w:rPr>
        <w:t xml:space="preserve">) </w:t>
      </w:r>
      <w:r w:rsidR="00735203" w:rsidRPr="002C3B32">
        <w:rPr>
          <w:rFonts w:cs="Calibri"/>
          <w:szCs w:val="24"/>
        </w:rPr>
        <w:t>[</w:t>
      </w:r>
      <w:hyperlink r:id="rId13" w:history="1">
        <w:r w:rsidR="000A602B" w:rsidRPr="002C3B32">
          <w:rPr>
            <w:rStyle w:val="Hyperlink"/>
          </w:rPr>
          <w:t>SG16-R19</w:t>
        </w:r>
      </w:hyperlink>
      <w:r w:rsidRPr="002C3B32">
        <w:rPr>
          <w:rFonts w:cs="Calibri"/>
          <w:szCs w:val="24"/>
        </w:rPr>
        <w:t>]</w:t>
      </w:r>
    </w:p>
    <w:p w14:paraId="3A55DDDF" w14:textId="69D5A1AB" w:rsidR="00036B70" w:rsidRPr="002C3B32" w:rsidRDefault="00036B70" w:rsidP="00366405">
      <w:pPr>
        <w:pStyle w:val="headingb"/>
      </w:pPr>
      <w:r w:rsidRPr="002C3B32">
        <w:t xml:space="preserve">Exigences </w:t>
      </w:r>
      <w:r w:rsidR="000A602B" w:rsidRPr="002C3B32">
        <w:t>applicables au</w:t>
      </w:r>
      <w:r w:rsidR="00204CE1" w:rsidRPr="002C3B32">
        <w:t>x</w:t>
      </w:r>
      <w:r w:rsidR="000A602B" w:rsidRPr="002C3B32">
        <w:t xml:space="preserve"> service</w:t>
      </w:r>
      <w:r w:rsidR="00204CE1" w:rsidRPr="002C3B32">
        <w:t>s</w:t>
      </w:r>
      <w:r w:rsidR="000A602B" w:rsidRPr="002C3B32">
        <w:t xml:space="preserve"> de conduite à distance fondé</w:t>
      </w:r>
      <w:r w:rsidR="00204CE1" w:rsidRPr="002C3B32">
        <w:t>s</w:t>
      </w:r>
      <w:r w:rsidR="000A602B" w:rsidRPr="002C3B32">
        <w:t xml:space="preserve"> sur </w:t>
      </w:r>
      <w:r w:rsidR="00204CE1" w:rsidRPr="002C3B32">
        <w:t>une</w:t>
      </w:r>
      <w:r w:rsidR="000A602B" w:rsidRPr="002C3B32">
        <w:t xml:space="preserve"> plate-forme de passerelle de véhicule</w:t>
      </w:r>
    </w:p>
    <w:p w14:paraId="0127ABF1" w14:textId="5ED141C2" w:rsidR="000A602B" w:rsidRPr="002C3B32" w:rsidRDefault="000A602B" w:rsidP="000A602B">
      <w:r w:rsidRPr="002C3B32">
        <w:rPr>
          <w:b/>
          <w:bCs/>
        </w:rPr>
        <w:t>Justification UIT-T A.5</w:t>
      </w:r>
      <w:r w:rsidRPr="002C3B32">
        <w:t>: aucune.</w:t>
      </w:r>
    </w:p>
    <w:p w14:paraId="0B2D8E61" w14:textId="77777777" w:rsidR="00036B70" w:rsidRPr="002C3B32" w:rsidRDefault="00036B70" w:rsidP="00406878">
      <w:pPr>
        <w:pStyle w:val="headingb"/>
      </w:pPr>
      <w:r w:rsidRPr="002C3B32">
        <w:t>Résumé</w:t>
      </w:r>
    </w:p>
    <w:p w14:paraId="012A3B0D" w14:textId="3D284034" w:rsidR="00BF7CA7" w:rsidRPr="002C3B32" w:rsidRDefault="00204CE1" w:rsidP="00BF7CA7">
      <w:r w:rsidRPr="002C3B32">
        <w:t xml:space="preserve">La Recommandation UIT-T F.749.7 établit les exigences applicables aux services de conduite à distance fondés sur une plate-forme de passerelle de véhicule </w:t>
      </w:r>
      <w:r w:rsidR="006C5435" w:rsidRPr="002C3B32">
        <w:t>pour les</w:t>
      </w:r>
      <w:r w:rsidRPr="002C3B32">
        <w:t xml:space="preserve"> véhicules </w:t>
      </w:r>
      <w:r w:rsidR="001A08B3" w:rsidRPr="002C3B32">
        <w:t>automobiles équipés de</w:t>
      </w:r>
      <w:r w:rsidR="006C5435" w:rsidRPr="002C3B32">
        <w:t>s</w:t>
      </w:r>
      <w:r w:rsidR="001A08B3" w:rsidRPr="002C3B32">
        <w:t xml:space="preserve"> dispositifs de </w:t>
      </w:r>
      <w:r w:rsidR="00054BCC" w:rsidRPr="002C3B32">
        <w:t>perception</w:t>
      </w:r>
      <w:r w:rsidR="006C5435" w:rsidRPr="002C3B32">
        <w:t xml:space="preserve"> concernés</w:t>
      </w:r>
      <w:r w:rsidR="00054BCC" w:rsidRPr="002C3B32">
        <w:t xml:space="preserve">. </w:t>
      </w:r>
      <w:bookmarkStart w:id="1" w:name="_Hlk153472371"/>
      <w:r w:rsidR="006C5435" w:rsidRPr="002C3B32">
        <w:t>Les</w:t>
      </w:r>
      <w:r w:rsidR="00054BCC" w:rsidRPr="002C3B32">
        <w:t xml:space="preserve"> réseaux IMT-2020 à </w:t>
      </w:r>
      <w:r w:rsidR="00405F28" w:rsidRPr="002C3B32">
        <w:t xml:space="preserve">large </w:t>
      </w:r>
      <w:r w:rsidR="00054BCC" w:rsidRPr="002C3B32">
        <w:t xml:space="preserve">bande passante, à faible </w:t>
      </w:r>
      <w:r w:rsidR="00405F28" w:rsidRPr="002C3B32">
        <w:t xml:space="preserve">temps de </w:t>
      </w:r>
      <w:r w:rsidR="00054BCC" w:rsidRPr="002C3B32">
        <w:t>latence et à haute fiabilité</w:t>
      </w:r>
      <w:r w:rsidR="006C5435" w:rsidRPr="002C3B32">
        <w:t xml:space="preserve"> permettent à</w:t>
      </w:r>
      <w:r w:rsidR="00054BCC" w:rsidRPr="002C3B32">
        <w:t xml:space="preserve"> la conduite à distance </w:t>
      </w:r>
      <w:r w:rsidR="006C5435" w:rsidRPr="002C3B32">
        <w:t xml:space="preserve">de pouvoir </w:t>
      </w:r>
      <w:r w:rsidR="00054BCC" w:rsidRPr="002C3B32">
        <w:t xml:space="preserve">faire face à des conditions routières non </w:t>
      </w:r>
      <w:r w:rsidR="00AB651C" w:rsidRPr="002C3B32">
        <w:t>prévues</w:t>
      </w:r>
      <w:r w:rsidR="00054BCC" w:rsidRPr="002C3B32">
        <w:t xml:space="preserve"> ou </w:t>
      </w:r>
      <w:r w:rsidR="00274386" w:rsidRPr="002C3B32">
        <w:t>qui n</w:t>
      </w:r>
      <w:r w:rsidR="00366405" w:rsidRPr="002C3B32">
        <w:t>'</w:t>
      </w:r>
      <w:r w:rsidR="00274386" w:rsidRPr="002C3B32">
        <w:t xml:space="preserve">ont </w:t>
      </w:r>
      <w:r w:rsidR="00054BCC" w:rsidRPr="002C3B32">
        <w:t xml:space="preserve">pas encore </w:t>
      </w:r>
      <w:r w:rsidR="00274386" w:rsidRPr="002C3B32">
        <w:t xml:space="preserve">été </w:t>
      </w:r>
      <w:r w:rsidR="00054BCC" w:rsidRPr="002C3B32">
        <w:t xml:space="preserve">rencontrées par un système de conduite automatisée. Un service de conduite à distance </w:t>
      </w:r>
      <w:r w:rsidR="00274386" w:rsidRPr="002C3B32">
        <w:t>est constitué de</w:t>
      </w:r>
      <w:r w:rsidR="00054BCC" w:rsidRPr="002C3B32">
        <w:t xml:space="preserve"> réseaux de communication, </w:t>
      </w:r>
      <w:r w:rsidR="00274386" w:rsidRPr="002C3B32">
        <w:t>d</w:t>
      </w:r>
      <w:r w:rsidR="00366405" w:rsidRPr="002C3B32">
        <w:t>'</w:t>
      </w:r>
      <w:r w:rsidR="00274386" w:rsidRPr="002C3B32">
        <w:t>i</w:t>
      </w:r>
      <w:r w:rsidR="00054BCC" w:rsidRPr="002C3B32">
        <w:t>nfrastructure</w:t>
      </w:r>
      <w:r w:rsidR="00274386" w:rsidRPr="002C3B32">
        <w:t>s</w:t>
      </w:r>
      <w:r w:rsidR="00054BCC" w:rsidRPr="002C3B32">
        <w:t xml:space="preserve"> routière</w:t>
      </w:r>
      <w:r w:rsidR="00274386" w:rsidRPr="002C3B32">
        <w:t>s</w:t>
      </w:r>
      <w:r w:rsidR="00054BCC" w:rsidRPr="002C3B32">
        <w:t xml:space="preserve">, </w:t>
      </w:r>
      <w:r w:rsidR="00274386" w:rsidRPr="002C3B32">
        <w:t>d</w:t>
      </w:r>
      <w:r w:rsidR="00366405" w:rsidRPr="002C3B32">
        <w:t>'</w:t>
      </w:r>
      <w:r w:rsidR="00054BCC" w:rsidRPr="002C3B32">
        <w:t xml:space="preserve">un </w:t>
      </w:r>
      <w:r w:rsidR="00274386" w:rsidRPr="002C3B32">
        <w:t>poste de pilotage</w:t>
      </w:r>
      <w:r w:rsidR="00054BCC" w:rsidRPr="002C3B32">
        <w:t xml:space="preserve"> distant, </w:t>
      </w:r>
      <w:r w:rsidR="00274386" w:rsidRPr="002C3B32">
        <w:t>de</w:t>
      </w:r>
      <w:r w:rsidR="00054BCC" w:rsidRPr="002C3B32">
        <w:t xml:space="preserve"> dispositifs de perception </w:t>
      </w:r>
      <w:r w:rsidR="00274386" w:rsidRPr="002C3B32">
        <w:t>situés à bord</w:t>
      </w:r>
      <w:r w:rsidR="00054BCC" w:rsidRPr="002C3B32">
        <w:t xml:space="preserve"> de véhicules </w:t>
      </w:r>
      <w:r w:rsidR="00274386" w:rsidRPr="002C3B32">
        <w:t>automobiles, du</w:t>
      </w:r>
      <w:r w:rsidR="00054BCC" w:rsidRPr="002C3B32">
        <w:t xml:space="preserve"> service lui-même ainsi qu</w:t>
      </w:r>
      <w:r w:rsidR="00274386" w:rsidRPr="002C3B32">
        <w:t>e d</w:t>
      </w:r>
      <w:r w:rsidR="00366405" w:rsidRPr="002C3B32">
        <w:t>'</w:t>
      </w:r>
      <w:r w:rsidR="00054BCC" w:rsidRPr="002C3B32">
        <w:t>une plate</w:t>
      </w:r>
      <w:r w:rsidR="00366405" w:rsidRPr="002C3B32">
        <w:noBreakHyphen/>
      </w:r>
      <w:r w:rsidR="00054BCC" w:rsidRPr="002C3B32">
        <w:t xml:space="preserve">forme de traitement des applications. La conduite à distance devrait réduire considérablement le coût de la conduite avec </w:t>
      </w:r>
      <w:r w:rsidR="00732D99" w:rsidRPr="002C3B32">
        <w:t xml:space="preserve">un </w:t>
      </w:r>
      <w:r w:rsidR="00495516" w:rsidRPr="002C3B32">
        <w:t>conducteur</w:t>
      </w:r>
      <w:r w:rsidR="00144EC2" w:rsidRPr="002C3B32">
        <w:t xml:space="preserve"> </w:t>
      </w:r>
      <w:r w:rsidR="006705A6" w:rsidRPr="002C3B32">
        <w:t>à bord</w:t>
      </w:r>
      <w:r w:rsidR="00054BCC" w:rsidRPr="002C3B32">
        <w:t xml:space="preserve"> et améliorer l</w:t>
      </w:r>
      <w:r w:rsidR="00366405" w:rsidRPr="002C3B32">
        <w:t>'</w:t>
      </w:r>
      <w:r w:rsidR="00054BCC" w:rsidRPr="002C3B32">
        <w:t xml:space="preserve">efficacité de </w:t>
      </w:r>
      <w:r w:rsidR="00144EC2" w:rsidRPr="002C3B32">
        <w:t xml:space="preserve">la </w:t>
      </w:r>
      <w:r w:rsidR="00054BCC" w:rsidRPr="002C3B32">
        <w:t>conduite des conducteurs humains</w:t>
      </w:r>
      <w:r w:rsidR="006705A6" w:rsidRPr="002C3B32">
        <w:t>.</w:t>
      </w:r>
      <w:bookmarkEnd w:id="1"/>
    </w:p>
    <w:p w14:paraId="5EA78247" w14:textId="2B424B5C" w:rsidR="00036B70" w:rsidRPr="002C3B32" w:rsidRDefault="00036B70" w:rsidP="00406878">
      <w:pPr>
        <w:pStyle w:val="Heading1"/>
        <w:rPr>
          <w:rFonts w:cs="Calibri"/>
          <w:sz w:val="26"/>
          <w:szCs w:val="26"/>
        </w:rPr>
      </w:pPr>
      <w:r w:rsidRPr="002C3B32">
        <w:t>2</w:t>
      </w:r>
      <w:r w:rsidRPr="002C3B32">
        <w:tab/>
        <w:t xml:space="preserve">Projet de nouvelle Recommandation UIT-T </w:t>
      </w:r>
      <w:r w:rsidR="00054BCC" w:rsidRPr="002C3B32">
        <w:t>H.552</w:t>
      </w:r>
      <w:r w:rsidR="009A426C" w:rsidRPr="002C3B32">
        <w:t xml:space="preserve"> (</w:t>
      </w:r>
      <w:r w:rsidR="00054BCC" w:rsidRPr="002C3B32">
        <w:rPr>
          <w:bCs/>
        </w:rPr>
        <w:t>ex H.VM-VMIA</w:t>
      </w:r>
      <w:r w:rsidR="009A426C" w:rsidRPr="002C3B32">
        <w:t>)</w:t>
      </w:r>
      <w:r w:rsidR="009A426C" w:rsidRPr="002C3B32">
        <w:rPr>
          <w:szCs w:val="24"/>
        </w:rPr>
        <w:t xml:space="preserve"> [</w:t>
      </w:r>
      <w:hyperlink r:id="rId14" w:history="1">
        <w:r w:rsidR="00054BCC" w:rsidRPr="002C3B32">
          <w:rPr>
            <w:rStyle w:val="Hyperlink"/>
          </w:rPr>
          <w:t>SG16-R20</w:t>
        </w:r>
      </w:hyperlink>
      <w:r w:rsidRPr="002C3B32">
        <w:rPr>
          <w:rFonts w:cs="Calibri"/>
          <w:szCs w:val="24"/>
        </w:rPr>
        <w:t>]</w:t>
      </w:r>
    </w:p>
    <w:p w14:paraId="5B3DB742" w14:textId="4DBD5C22" w:rsidR="00036B70" w:rsidRPr="002C3B32" w:rsidRDefault="006705A6" w:rsidP="00406878">
      <w:pPr>
        <w:pStyle w:val="headingb"/>
      </w:pPr>
      <w:r w:rsidRPr="002C3B32">
        <w:t>Mise en œuvre des systèmes multimédia</w:t>
      </w:r>
      <w:r w:rsidR="00741B1F" w:rsidRPr="002C3B32">
        <w:t>s</w:t>
      </w:r>
      <w:r w:rsidRPr="002C3B32">
        <w:t xml:space="preserve"> </w:t>
      </w:r>
      <w:r w:rsidR="00741B1F" w:rsidRPr="002C3B32">
        <w:t>dans les</w:t>
      </w:r>
      <w:r w:rsidRPr="002C3B32">
        <w:t xml:space="preserve"> véhicules</w:t>
      </w:r>
    </w:p>
    <w:p w14:paraId="209131E0" w14:textId="394EF755" w:rsidR="006705A6" w:rsidRPr="002C3B32" w:rsidRDefault="006705A6" w:rsidP="006705A6">
      <w:r w:rsidRPr="002C3B32">
        <w:rPr>
          <w:b/>
          <w:bCs/>
        </w:rPr>
        <w:t>Justification UIT-T A.5</w:t>
      </w:r>
      <w:r w:rsidRPr="002C3B32">
        <w:t xml:space="preserve">: </w:t>
      </w:r>
      <w:hyperlink r:id="rId15" w:history="1">
        <w:r w:rsidRPr="002C3B32">
          <w:rPr>
            <w:rStyle w:val="Hyperlink"/>
            <w:szCs w:val="22"/>
          </w:rPr>
          <w:t>SG16-TD182/WP1 (11/2023)</w:t>
        </w:r>
      </w:hyperlink>
      <w:r w:rsidR="002C3B32" w:rsidRPr="002C3B32">
        <w:t>.</w:t>
      </w:r>
    </w:p>
    <w:p w14:paraId="69AC342B" w14:textId="77777777" w:rsidR="00036B70" w:rsidRPr="002C3B32" w:rsidRDefault="00036B70" w:rsidP="00406878">
      <w:pPr>
        <w:pStyle w:val="headingb"/>
      </w:pPr>
      <w:r w:rsidRPr="002C3B32">
        <w:t>Résumé</w:t>
      </w:r>
    </w:p>
    <w:p w14:paraId="0028415F" w14:textId="00129245" w:rsidR="009519B7" w:rsidRPr="002C3B32" w:rsidRDefault="00741B1F" w:rsidP="006930CD">
      <w:r w:rsidRPr="002C3B32">
        <w:t xml:space="preserve">La Recommandation UIT-T H.552 établit les exigences fondamentales pour la mise en œuvre des systèmes multimédias dans les véhicules (VMS) </w:t>
      </w:r>
      <w:r w:rsidR="00732D99" w:rsidRPr="002C3B32">
        <w:t>en ce qui concerne</w:t>
      </w:r>
      <w:r w:rsidRPr="002C3B32">
        <w:t xml:space="preserve"> quatre aspects </w:t>
      </w:r>
      <w:r w:rsidR="00A95BA9" w:rsidRPr="002C3B32">
        <w:t xml:space="preserve">principaux </w:t>
      </w:r>
      <w:r w:rsidRPr="002C3B32">
        <w:t>de ces systèmes:</w:t>
      </w:r>
    </w:p>
    <w:p w14:paraId="4318C0E3" w14:textId="5785A945" w:rsidR="00741B1F" w:rsidRPr="002C3B32" w:rsidRDefault="00741B1F" w:rsidP="00366405">
      <w:pPr>
        <w:pStyle w:val="enumlev1"/>
      </w:pPr>
      <w:r w:rsidRPr="002C3B32">
        <w:t>–</w:t>
      </w:r>
      <w:r w:rsidR="00B368EC" w:rsidRPr="002C3B32">
        <w:tab/>
      </w:r>
      <w:r w:rsidRPr="002C3B32">
        <w:t>la connectivité,</w:t>
      </w:r>
      <w:r w:rsidR="00A95BA9" w:rsidRPr="002C3B32">
        <w:t xml:space="preserve"> en fournissant des références normatives fondamentales et des exigences particulières en </w:t>
      </w:r>
      <w:r w:rsidR="00732D99" w:rsidRPr="002C3B32">
        <w:t>matière</w:t>
      </w:r>
      <w:r w:rsidR="00A95BA9" w:rsidRPr="002C3B32">
        <w:t xml:space="preserve"> de qualité de fonctionnement </w:t>
      </w:r>
      <w:r w:rsidR="00732D99" w:rsidRPr="002C3B32">
        <w:t>pour ce qui est de</w:t>
      </w:r>
      <w:r w:rsidR="00A95BA9" w:rsidRPr="002C3B32">
        <w:t xml:space="preserve"> l</w:t>
      </w:r>
      <w:r w:rsidR="00366405" w:rsidRPr="002C3B32">
        <w:t>'</w:t>
      </w:r>
      <w:r w:rsidR="00A95BA9" w:rsidRPr="002C3B32">
        <w:t>environnement des véhicules;</w:t>
      </w:r>
    </w:p>
    <w:p w14:paraId="3A0E16E1" w14:textId="64440AFB" w:rsidR="00A95BA9" w:rsidRPr="002C3B32" w:rsidRDefault="00A95BA9" w:rsidP="00366405">
      <w:pPr>
        <w:pStyle w:val="enumlev1"/>
      </w:pPr>
      <w:r w:rsidRPr="002C3B32">
        <w:t>–</w:t>
      </w:r>
      <w:r w:rsidR="00B368EC" w:rsidRPr="002C3B32">
        <w:tab/>
      </w:r>
      <w:r w:rsidRPr="002C3B32">
        <w:t>l</w:t>
      </w:r>
      <w:r w:rsidR="00366405" w:rsidRPr="002C3B32">
        <w:t>'</w:t>
      </w:r>
      <w:r w:rsidRPr="002C3B32">
        <w:t>interface homme-machine, en</w:t>
      </w:r>
      <w:r w:rsidR="00B368EC" w:rsidRPr="002C3B32">
        <w:t xml:space="preserve"> établissant</w:t>
      </w:r>
      <w:r w:rsidRPr="002C3B32">
        <w:t xml:space="preserve"> des exigences </w:t>
      </w:r>
      <w:r w:rsidR="00182A1D" w:rsidRPr="002C3B32">
        <w:t>relatives</w:t>
      </w:r>
      <w:r w:rsidRPr="002C3B32">
        <w:t xml:space="preserve"> au</w:t>
      </w:r>
      <w:r w:rsidR="00B368EC" w:rsidRPr="002C3B32">
        <w:t>x</w:t>
      </w:r>
      <w:r w:rsidRPr="002C3B32">
        <w:t xml:space="preserve"> assistants vocaux et au</w:t>
      </w:r>
      <w:r w:rsidR="00B368EC" w:rsidRPr="002C3B32">
        <w:t>x</w:t>
      </w:r>
      <w:r w:rsidRPr="002C3B32">
        <w:t xml:space="preserve"> interaction</w:t>
      </w:r>
      <w:r w:rsidR="00B368EC" w:rsidRPr="002C3B32">
        <w:t>s</w:t>
      </w:r>
      <w:r w:rsidRPr="002C3B32">
        <w:t xml:space="preserve"> vocales</w:t>
      </w:r>
      <w:r w:rsidR="007A34CE" w:rsidRPr="002C3B32">
        <w:t>;</w:t>
      </w:r>
    </w:p>
    <w:p w14:paraId="6FC7DE9B" w14:textId="1674C331" w:rsidR="007A34CE" w:rsidRPr="002C3B32" w:rsidRDefault="007A34CE" w:rsidP="00366405">
      <w:pPr>
        <w:pStyle w:val="enumlev1"/>
      </w:pPr>
      <w:r w:rsidRPr="002C3B32">
        <w:t>–</w:t>
      </w:r>
      <w:r w:rsidRPr="002C3B32">
        <w:tab/>
        <w:t>le format des médias et les commandes, en fournissant des références normatives pour différents types de médias pour les systèmes VMS;</w:t>
      </w:r>
    </w:p>
    <w:p w14:paraId="3DDF0CE1" w14:textId="707B7B03" w:rsidR="007A34CE" w:rsidRPr="002C3B32" w:rsidRDefault="007A34CE" w:rsidP="00366405">
      <w:pPr>
        <w:pStyle w:val="enumlev1"/>
      </w:pPr>
      <w:r w:rsidRPr="002C3B32">
        <w:t>–</w:t>
      </w:r>
      <w:r w:rsidRPr="002C3B32">
        <w:tab/>
        <w:t>l</w:t>
      </w:r>
      <w:r w:rsidR="00366405" w:rsidRPr="002C3B32">
        <w:t>'</w:t>
      </w:r>
      <w:r w:rsidRPr="002C3B32">
        <w:t>assistant d</w:t>
      </w:r>
      <w:r w:rsidR="00366405" w:rsidRPr="002C3B32">
        <w:t>'</w:t>
      </w:r>
      <w:r w:rsidRPr="002C3B32">
        <w:t>infoloisir</w:t>
      </w:r>
      <w:r w:rsidR="00366405" w:rsidRPr="002C3B32">
        <w:t>s</w:t>
      </w:r>
      <w:r w:rsidRPr="002C3B32">
        <w:t xml:space="preserve"> des smartphones</w:t>
      </w:r>
      <w:r w:rsidR="00F343AF" w:rsidRPr="002C3B32">
        <w:t>, en définissant des exigences relatives à l</w:t>
      </w:r>
      <w:r w:rsidR="00366405" w:rsidRPr="002C3B32">
        <w:t>'</w:t>
      </w:r>
      <w:r w:rsidR="00F343AF" w:rsidRPr="002C3B32">
        <w:t>architecture de l</w:t>
      </w:r>
      <w:r w:rsidR="00366405" w:rsidRPr="002C3B32">
        <w:t>'</w:t>
      </w:r>
      <w:r w:rsidR="00F343AF" w:rsidRPr="002C3B32">
        <w:t>interface entre les smartphones et les systèmes VMS, ainsi que des exigences en matière de qualité de fonctionnement pour garantir un bon niveau d</w:t>
      </w:r>
      <w:r w:rsidR="00366405" w:rsidRPr="002C3B32">
        <w:t>'</w:t>
      </w:r>
      <w:r w:rsidR="00F343AF" w:rsidRPr="002C3B32">
        <w:t>expérience utilisateur.</w:t>
      </w:r>
    </w:p>
    <w:p w14:paraId="6A4E4DED" w14:textId="5DD0AEE0" w:rsidR="00F343AF" w:rsidRPr="002C3B32" w:rsidRDefault="00F343AF" w:rsidP="006930CD">
      <w:r w:rsidRPr="002C3B32">
        <w:t xml:space="preserve">Deux appendices fournissent des orientations pour la mise en œuvre des systèmes VMS </w:t>
      </w:r>
      <w:r w:rsidR="00182A1D" w:rsidRPr="002C3B32">
        <w:t>en ce qui concerne</w:t>
      </w:r>
      <w:r w:rsidRPr="002C3B32">
        <w:t>:</w:t>
      </w:r>
    </w:p>
    <w:p w14:paraId="04C62CD2" w14:textId="25B09CBB" w:rsidR="00F343AF" w:rsidRPr="002C3B32" w:rsidRDefault="00F343AF" w:rsidP="00366405">
      <w:pPr>
        <w:pStyle w:val="enumlev1"/>
      </w:pPr>
      <w:r w:rsidRPr="002C3B32">
        <w:lastRenderedPageBreak/>
        <w:t>–</w:t>
      </w:r>
      <w:r w:rsidRPr="002C3B32">
        <w:tab/>
        <w:t xml:space="preserve">les critères de qualité de fonctionnement radioélectrique pour les réseaux locaux </w:t>
      </w:r>
      <w:r w:rsidR="00333D69" w:rsidRPr="002C3B32">
        <w:t xml:space="preserve">hertziens </w:t>
      </w:r>
      <w:r w:rsidRPr="002C3B32">
        <w:t xml:space="preserve">(WLAN) et </w:t>
      </w:r>
      <w:r w:rsidR="00333D69" w:rsidRPr="002C3B32">
        <w:t>les scénarios d</w:t>
      </w:r>
      <w:r w:rsidR="00366405" w:rsidRPr="002C3B32">
        <w:t>'</w:t>
      </w:r>
      <w:r w:rsidR="00333D69" w:rsidRPr="002C3B32">
        <w:t xml:space="preserve">essai </w:t>
      </w:r>
      <w:r w:rsidR="00182A1D" w:rsidRPr="002C3B32">
        <w:t>relatifs à</w:t>
      </w:r>
      <w:r w:rsidR="00333D69" w:rsidRPr="002C3B32">
        <w:t xml:space="preserve"> la qualité de fonctionnement vis-à-vis des utilisateurs pour la connectivité aux réseaux WLAN et aux réseaux personnels sans fil;</w:t>
      </w:r>
    </w:p>
    <w:p w14:paraId="0D5253EC" w14:textId="3C397DE1" w:rsidR="00333D69" w:rsidRPr="002C3B32" w:rsidRDefault="00333D69" w:rsidP="00366405">
      <w:pPr>
        <w:pStyle w:val="enumlev1"/>
      </w:pPr>
      <w:r w:rsidRPr="002C3B32">
        <w:t>–</w:t>
      </w:r>
      <w:r w:rsidRPr="002C3B32">
        <w:tab/>
      </w:r>
      <w:r w:rsidR="00BC3E46" w:rsidRPr="002C3B32">
        <w:t>la mise en œuvre d</w:t>
      </w:r>
      <w:r w:rsidR="00366405" w:rsidRPr="002C3B32">
        <w:t>'</w:t>
      </w:r>
      <w:r w:rsidR="00BC3E46" w:rsidRPr="002C3B32">
        <w:t>une interface de diagnostic pour le réglage des fonctionnalités de l</w:t>
      </w:r>
      <w:r w:rsidR="00366405" w:rsidRPr="002C3B32">
        <w:t>'</w:t>
      </w:r>
      <w:r w:rsidR="00BC3E46" w:rsidRPr="002C3B32">
        <w:t>assistant vocal.</w:t>
      </w:r>
    </w:p>
    <w:p w14:paraId="7ACE0E89" w14:textId="29F91FC8" w:rsidR="00036B70" w:rsidRPr="002C3B32" w:rsidRDefault="00036B70" w:rsidP="00850874">
      <w:pPr>
        <w:pStyle w:val="AnnexTitle"/>
        <w:spacing w:before="0" w:after="240"/>
        <w:rPr>
          <w:sz w:val="28"/>
          <w:szCs w:val="28"/>
          <w:highlight w:val="yellow"/>
        </w:rPr>
      </w:pPr>
      <w:r w:rsidRPr="002C3B32">
        <w:rPr>
          <w:highlight w:val="yellow"/>
        </w:rPr>
        <w:br w:type="page"/>
      </w:r>
      <w:r w:rsidRPr="002C3B32">
        <w:rPr>
          <w:sz w:val="28"/>
          <w:szCs w:val="28"/>
        </w:rPr>
        <w:lastRenderedPageBreak/>
        <w:t>Annexe 2</w:t>
      </w:r>
      <w:r w:rsidR="006930CD" w:rsidRPr="002C3B32">
        <w:rPr>
          <w:sz w:val="28"/>
          <w:szCs w:val="28"/>
        </w:rPr>
        <w:br/>
      </w:r>
      <w:r w:rsidR="006930CD" w:rsidRPr="002C3B32">
        <w:rPr>
          <w:sz w:val="28"/>
          <w:szCs w:val="28"/>
        </w:rPr>
        <w:br/>
      </w:r>
      <w:r w:rsidRPr="002C3B32">
        <w:rPr>
          <w:sz w:val="28"/>
          <w:szCs w:val="28"/>
        </w:rPr>
        <w:t>Objet</w:t>
      </w:r>
      <w:r w:rsidR="0000320B" w:rsidRPr="002C3B32">
        <w:rPr>
          <w:sz w:val="28"/>
          <w:szCs w:val="28"/>
        </w:rPr>
        <w:t>:</w:t>
      </w:r>
      <w:r w:rsidRPr="002C3B32">
        <w:rPr>
          <w:sz w:val="28"/>
          <w:szCs w:val="28"/>
        </w:rPr>
        <w:t xml:space="preserve"> Réponse des États Membres à la Circulaire TSB </w:t>
      </w:r>
      <w:r w:rsidR="00BC3E46" w:rsidRPr="002C3B32">
        <w:rPr>
          <w:sz w:val="28"/>
          <w:szCs w:val="28"/>
        </w:rPr>
        <w:t>153</w:t>
      </w:r>
      <w:r w:rsidR="0000320B" w:rsidRPr="002C3B32">
        <w:rPr>
          <w:sz w:val="28"/>
          <w:szCs w:val="28"/>
        </w:rPr>
        <w:t>:</w:t>
      </w:r>
      <w:r w:rsidR="00C84E64" w:rsidRPr="002C3B32">
        <w:rPr>
          <w:sz w:val="28"/>
          <w:szCs w:val="28"/>
        </w:rPr>
        <w:br/>
      </w:r>
      <w:r w:rsidRPr="002C3B32">
        <w:rPr>
          <w:sz w:val="28"/>
          <w:szCs w:val="28"/>
        </w:rPr>
        <w:t xml:space="preserve">Consultation au sujet du texte déterminé des projets de nouvelles Recommandations UIT-T </w:t>
      </w:r>
      <w:r w:rsidR="000F1894" w:rsidRPr="002C3B32">
        <w:rPr>
          <w:sz w:val="28"/>
          <w:szCs w:val="28"/>
        </w:rPr>
        <w:t>F.</w:t>
      </w:r>
      <w:r w:rsidR="00BC3E46" w:rsidRPr="002C3B32">
        <w:rPr>
          <w:sz w:val="28"/>
          <w:szCs w:val="28"/>
        </w:rPr>
        <w:t>749.7 (</w:t>
      </w:r>
      <w:r w:rsidR="00DB48FC" w:rsidRPr="002C3B32">
        <w:rPr>
          <w:bCs/>
          <w:sz w:val="28"/>
          <w:szCs w:val="28"/>
        </w:rPr>
        <w:t>ex F.VGP-RDSreqs</w:t>
      </w:r>
      <w:r w:rsidR="00BC3E46" w:rsidRPr="002C3B32">
        <w:rPr>
          <w:sz w:val="28"/>
          <w:szCs w:val="28"/>
        </w:rPr>
        <w:t>)</w:t>
      </w:r>
      <w:r w:rsidR="00366405" w:rsidRPr="002C3B32">
        <w:rPr>
          <w:sz w:val="28"/>
          <w:szCs w:val="28"/>
        </w:rPr>
        <w:br/>
      </w:r>
      <w:r w:rsidR="00BC3E46" w:rsidRPr="002C3B32">
        <w:rPr>
          <w:sz w:val="28"/>
          <w:szCs w:val="28"/>
        </w:rPr>
        <w:t>et H.552 (</w:t>
      </w:r>
      <w:r w:rsidR="00DB48FC" w:rsidRPr="002C3B32">
        <w:rPr>
          <w:bCs/>
          <w:sz w:val="28"/>
          <w:szCs w:val="28"/>
        </w:rPr>
        <w:t>ex H.VM-VMIA</w:t>
      </w:r>
      <w:r w:rsidR="00BC3E46" w:rsidRPr="002C3B32">
        <w:rPr>
          <w:sz w:val="28"/>
          <w:szCs w:val="28"/>
        </w:rPr>
        <w:t>)</w:t>
      </w: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1276"/>
        <w:gridCol w:w="2551"/>
      </w:tblGrid>
      <w:tr w:rsidR="00036B70" w:rsidRPr="002C3B32" w14:paraId="3A968950" w14:textId="77777777" w:rsidTr="00366405">
        <w:tc>
          <w:tcPr>
            <w:tcW w:w="1276" w:type="dxa"/>
            <w:shd w:val="clear" w:color="auto" w:fill="auto"/>
          </w:tcPr>
          <w:p w14:paraId="4E10A218" w14:textId="58118373" w:rsidR="00036B70" w:rsidRPr="002C3B32" w:rsidRDefault="006705A6" w:rsidP="00366405">
            <w:pPr>
              <w:spacing w:before="40"/>
              <w:jc w:val="right"/>
              <w:rPr>
                <w:b/>
                <w:szCs w:val="24"/>
              </w:rPr>
            </w:pPr>
            <w:r w:rsidRPr="002C3B32">
              <w:rPr>
                <w:b/>
                <w:szCs w:val="24"/>
              </w:rPr>
              <w:t>Au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</w:tcPr>
          <w:p w14:paraId="6F27442A" w14:textId="17CB3D31" w:rsidR="00036B70" w:rsidRPr="002C3B32" w:rsidRDefault="00036B70" w:rsidP="00CE37BA">
            <w:pPr>
              <w:spacing w:before="40"/>
              <w:rPr>
                <w:szCs w:val="24"/>
              </w:rPr>
            </w:pPr>
            <w:r w:rsidRPr="002C3B32">
              <w:t>Directeur du</w:t>
            </w:r>
            <w:r w:rsidR="009519B7" w:rsidRPr="002C3B32">
              <w:t xml:space="preserve"> Bureau de la normalisation</w:t>
            </w:r>
            <w:r w:rsidR="00C84E64" w:rsidRPr="002C3B32">
              <w:br/>
            </w:r>
            <w:r w:rsidR="009519B7" w:rsidRPr="002C3B32">
              <w:t>des</w:t>
            </w:r>
            <w:r w:rsidR="00C84E64" w:rsidRPr="002C3B32">
              <w:t xml:space="preserve"> </w:t>
            </w:r>
            <w:r w:rsidRPr="002C3B32">
              <w:t>télécommunications</w:t>
            </w:r>
          </w:p>
          <w:p w14:paraId="506EEA1B" w14:textId="77777777" w:rsidR="00036B70" w:rsidRPr="002C3B32" w:rsidRDefault="00036B70" w:rsidP="009519B7">
            <w:pPr>
              <w:spacing w:before="0"/>
              <w:rPr>
                <w:szCs w:val="24"/>
              </w:rPr>
            </w:pPr>
            <w:r w:rsidRPr="002C3B32">
              <w:t>Union internationale des télécommunications</w:t>
            </w:r>
          </w:p>
          <w:p w14:paraId="4A17E88C" w14:textId="77777777" w:rsidR="00036B70" w:rsidRPr="002C3B32" w:rsidRDefault="00036B70" w:rsidP="009519B7">
            <w:pPr>
              <w:spacing w:before="0"/>
              <w:rPr>
                <w:szCs w:val="24"/>
              </w:rPr>
            </w:pPr>
            <w:r w:rsidRPr="002C3B32">
              <w:t>Place des Nations</w:t>
            </w:r>
          </w:p>
          <w:p w14:paraId="12411B6D" w14:textId="77777777" w:rsidR="00036B70" w:rsidRPr="002C3B32" w:rsidRDefault="00036B70" w:rsidP="009519B7">
            <w:pPr>
              <w:spacing w:before="0"/>
              <w:rPr>
                <w:szCs w:val="24"/>
              </w:rPr>
            </w:pPr>
            <w:r w:rsidRPr="002C3B32">
              <w:t>CH-1211 Genève 20, Suisse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66C5F2E5" w14:textId="77777777" w:rsidR="00036B70" w:rsidRPr="002C3B32" w:rsidRDefault="00036B70" w:rsidP="00CE37BA">
            <w:pPr>
              <w:spacing w:before="40"/>
              <w:jc w:val="right"/>
              <w:rPr>
                <w:szCs w:val="24"/>
              </w:rPr>
            </w:pPr>
            <w:r w:rsidRPr="002C3B32">
              <w:rPr>
                <w:b/>
              </w:rPr>
              <w:t>De</w:t>
            </w:r>
            <w:r w:rsidRPr="002C3B32">
              <w:rPr>
                <w:b/>
                <w:bCs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14:paraId="53043446" w14:textId="77777777" w:rsidR="00036B70" w:rsidRPr="002C3B32" w:rsidRDefault="00036B70" w:rsidP="00CE37BA">
            <w:pPr>
              <w:spacing w:before="40"/>
              <w:rPr>
                <w:szCs w:val="24"/>
                <w:highlight w:val="green"/>
              </w:rPr>
            </w:pPr>
            <w:r w:rsidRPr="002C3B32">
              <w:rPr>
                <w:highlight w:val="green"/>
              </w:rPr>
              <w:t>[Nom]</w:t>
            </w:r>
          </w:p>
          <w:p w14:paraId="63564FA6" w14:textId="77777777" w:rsidR="00036B70" w:rsidRPr="002C3B32" w:rsidRDefault="00036B70" w:rsidP="00CE37BA">
            <w:pPr>
              <w:spacing w:before="40"/>
              <w:rPr>
                <w:szCs w:val="24"/>
                <w:highlight w:val="green"/>
              </w:rPr>
            </w:pPr>
            <w:r w:rsidRPr="002C3B32">
              <w:rPr>
                <w:highlight w:val="green"/>
              </w:rPr>
              <w:t>[Rôle/titre officiel]</w:t>
            </w:r>
          </w:p>
          <w:p w14:paraId="013A7491" w14:textId="77777777" w:rsidR="00036B70" w:rsidRPr="002C3B32" w:rsidRDefault="00036B70" w:rsidP="00CE37BA">
            <w:pPr>
              <w:spacing w:before="40"/>
              <w:rPr>
                <w:szCs w:val="24"/>
              </w:rPr>
            </w:pPr>
            <w:r w:rsidRPr="002C3B32">
              <w:rPr>
                <w:highlight w:val="green"/>
              </w:rPr>
              <w:t>[Adresse]</w:t>
            </w:r>
          </w:p>
        </w:tc>
      </w:tr>
      <w:tr w:rsidR="00036B70" w:rsidRPr="002C3B32" w14:paraId="35D259CF" w14:textId="77777777" w:rsidTr="00366405">
        <w:tc>
          <w:tcPr>
            <w:tcW w:w="1276" w:type="dxa"/>
            <w:shd w:val="clear" w:color="auto" w:fill="auto"/>
          </w:tcPr>
          <w:p w14:paraId="799854DC" w14:textId="006BFB0F" w:rsidR="00036B70" w:rsidRPr="002C3B32" w:rsidRDefault="00036B70" w:rsidP="00366405">
            <w:pPr>
              <w:spacing w:before="40"/>
              <w:ind w:left="-104"/>
              <w:jc w:val="right"/>
              <w:rPr>
                <w:szCs w:val="24"/>
              </w:rPr>
            </w:pPr>
            <w:r w:rsidRPr="002C3B32">
              <w:rPr>
                <w:b/>
                <w:bCs/>
              </w:rPr>
              <w:t>Télécopie: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</w:tcPr>
          <w:p w14:paraId="64615557" w14:textId="498B170F" w:rsidR="00036B70" w:rsidRPr="002C3B32" w:rsidRDefault="000C3478" w:rsidP="00CE37BA">
            <w:pPr>
              <w:spacing w:before="40"/>
              <w:rPr>
                <w:szCs w:val="24"/>
              </w:rPr>
            </w:pPr>
            <w:r w:rsidRPr="002C3B32">
              <w:t xml:space="preserve">+41 22 730 </w:t>
            </w:r>
            <w:r w:rsidR="00036B70" w:rsidRPr="002C3B32">
              <w:t>5853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66608D2C" w14:textId="78008585" w:rsidR="00036B70" w:rsidRPr="002C3B32" w:rsidRDefault="00036B70" w:rsidP="00366405">
            <w:pPr>
              <w:spacing w:before="40"/>
              <w:ind w:left="-106"/>
              <w:jc w:val="right"/>
              <w:rPr>
                <w:b/>
                <w:bCs/>
                <w:szCs w:val="24"/>
              </w:rPr>
            </w:pPr>
            <w:r w:rsidRPr="002C3B32">
              <w:rPr>
                <w:b/>
                <w:bCs/>
              </w:rPr>
              <w:t>Télécopie:</w:t>
            </w:r>
          </w:p>
        </w:tc>
        <w:tc>
          <w:tcPr>
            <w:tcW w:w="2551" w:type="dxa"/>
            <w:shd w:val="clear" w:color="auto" w:fill="auto"/>
          </w:tcPr>
          <w:p w14:paraId="2114CB92" w14:textId="77777777" w:rsidR="00036B70" w:rsidRPr="002C3B32" w:rsidRDefault="00036B70" w:rsidP="00CE37BA">
            <w:pPr>
              <w:spacing w:before="40"/>
              <w:rPr>
                <w:szCs w:val="24"/>
              </w:rPr>
            </w:pPr>
          </w:p>
        </w:tc>
      </w:tr>
      <w:tr w:rsidR="00C84E64" w:rsidRPr="002C3B32" w14:paraId="2BD400AF" w14:textId="77777777" w:rsidTr="00366405">
        <w:tc>
          <w:tcPr>
            <w:tcW w:w="1276" w:type="dxa"/>
            <w:shd w:val="clear" w:color="auto" w:fill="auto"/>
          </w:tcPr>
          <w:p w14:paraId="667F1A1B" w14:textId="31BEB903" w:rsidR="00C84E64" w:rsidRPr="002C3B32" w:rsidRDefault="00C84E64" w:rsidP="00366405">
            <w:pPr>
              <w:spacing w:before="40"/>
              <w:jc w:val="right"/>
              <w:rPr>
                <w:b/>
                <w:bCs/>
              </w:rPr>
            </w:pPr>
            <w:r w:rsidRPr="002C3B32">
              <w:rPr>
                <w:b/>
                <w:bCs/>
              </w:rPr>
              <w:t>Courriel: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</w:tcPr>
          <w:p w14:paraId="351968F5" w14:textId="6F220759" w:rsidR="00C84E64" w:rsidRPr="002C3B32" w:rsidRDefault="00000000" w:rsidP="00CE37BA">
            <w:pPr>
              <w:spacing w:before="40"/>
            </w:pPr>
            <w:hyperlink r:id="rId16" w:history="1">
              <w:r w:rsidR="00C84E64" w:rsidRPr="002C3B32">
                <w:rPr>
                  <w:rStyle w:val="Hyperlink"/>
                </w:rPr>
                <w:t>tsbdir@itu.int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2ADC4F1B" w14:textId="38286308" w:rsidR="00C84E64" w:rsidRPr="002C3B32" w:rsidRDefault="00C84E64" w:rsidP="00CE37BA">
            <w:pPr>
              <w:spacing w:before="40"/>
              <w:jc w:val="right"/>
              <w:rPr>
                <w:b/>
                <w:bCs/>
              </w:rPr>
            </w:pPr>
            <w:r w:rsidRPr="002C3B32">
              <w:rPr>
                <w:b/>
                <w:bCs/>
              </w:rPr>
              <w:t>Courriel:</w:t>
            </w:r>
          </w:p>
        </w:tc>
        <w:tc>
          <w:tcPr>
            <w:tcW w:w="2551" w:type="dxa"/>
            <w:shd w:val="clear" w:color="auto" w:fill="auto"/>
          </w:tcPr>
          <w:p w14:paraId="60D378F4" w14:textId="77777777" w:rsidR="00C84E64" w:rsidRPr="002C3B32" w:rsidRDefault="00C84E64" w:rsidP="00CE37BA">
            <w:pPr>
              <w:spacing w:before="40"/>
              <w:rPr>
                <w:szCs w:val="24"/>
              </w:rPr>
            </w:pPr>
          </w:p>
        </w:tc>
      </w:tr>
      <w:tr w:rsidR="00036B70" w:rsidRPr="002C3B32" w14:paraId="2FAE2A5A" w14:textId="77777777" w:rsidTr="00366405">
        <w:tc>
          <w:tcPr>
            <w:tcW w:w="1276" w:type="dxa"/>
            <w:shd w:val="clear" w:color="auto" w:fill="auto"/>
          </w:tcPr>
          <w:p w14:paraId="61CC35C3" w14:textId="77777777" w:rsidR="00036B70" w:rsidRPr="002C3B32" w:rsidRDefault="00036B70" w:rsidP="00366405">
            <w:pPr>
              <w:spacing w:before="40"/>
              <w:jc w:val="right"/>
              <w:rPr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shd w:val="clear" w:color="auto" w:fill="auto"/>
          </w:tcPr>
          <w:p w14:paraId="72375254" w14:textId="77777777" w:rsidR="00036B70" w:rsidRPr="002C3B32" w:rsidRDefault="00036B70" w:rsidP="00CE37BA">
            <w:pPr>
              <w:spacing w:before="40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4F5E4E36" w14:textId="77777777" w:rsidR="00036B70" w:rsidRPr="002C3B32" w:rsidRDefault="00036B70" w:rsidP="00CE37BA">
            <w:pPr>
              <w:spacing w:before="40"/>
              <w:jc w:val="right"/>
              <w:rPr>
                <w:szCs w:val="24"/>
              </w:rPr>
            </w:pPr>
            <w:r w:rsidRPr="002C3B32">
              <w:rPr>
                <w:b/>
                <w:bCs/>
              </w:rPr>
              <w:t>Date:</w:t>
            </w:r>
          </w:p>
        </w:tc>
        <w:tc>
          <w:tcPr>
            <w:tcW w:w="2551" w:type="dxa"/>
            <w:shd w:val="clear" w:color="auto" w:fill="auto"/>
          </w:tcPr>
          <w:p w14:paraId="6FEB4475" w14:textId="0F9F618A" w:rsidR="00036B70" w:rsidRPr="002C3B32" w:rsidRDefault="00036B70" w:rsidP="00CE37BA">
            <w:pPr>
              <w:spacing w:before="40"/>
              <w:rPr>
                <w:szCs w:val="24"/>
              </w:rPr>
            </w:pPr>
            <w:r w:rsidRPr="002C3B32">
              <w:rPr>
                <w:highlight w:val="green"/>
              </w:rPr>
              <w:t>[Lieu,] [</w:t>
            </w:r>
            <w:r w:rsidR="00C84E64" w:rsidRPr="002C3B32">
              <w:rPr>
                <w:highlight w:val="green"/>
              </w:rPr>
              <w:t>d</w:t>
            </w:r>
            <w:r w:rsidRPr="002C3B32">
              <w:rPr>
                <w:highlight w:val="green"/>
              </w:rPr>
              <w:t>ate]</w:t>
            </w:r>
          </w:p>
        </w:tc>
      </w:tr>
    </w:tbl>
    <w:p w14:paraId="479B7D43" w14:textId="77777777" w:rsidR="00036B70" w:rsidRPr="002C3B32" w:rsidRDefault="00036B70" w:rsidP="00850874">
      <w:pPr>
        <w:spacing w:before="240"/>
      </w:pPr>
      <w:r w:rsidRPr="002C3B32">
        <w:t>Madame, Monsieur,</w:t>
      </w:r>
    </w:p>
    <w:p w14:paraId="33214084" w14:textId="5F1A32CD" w:rsidR="00036B70" w:rsidRPr="002C3B32" w:rsidRDefault="00036B70" w:rsidP="00850874">
      <w:pPr>
        <w:spacing w:after="120"/>
      </w:pPr>
      <w:r w:rsidRPr="002C3B32">
        <w:t xml:space="preserve">Dans le cadre de la consultation des États Membres au sujet des projets de textes déterminés dont il est question dans la Circulaire TSB </w:t>
      </w:r>
      <w:r w:rsidR="00182A1D" w:rsidRPr="002C3B32">
        <w:t>153</w:t>
      </w:r>
      <w:r w:rsidRPr="002C3B32">
        <w:t>, je vous indique par la présente l</w:t>
      </w:r>
      <w:r w:rsidR="00366405" w:rsidRPr="002C3B32">
        <w:t>'</w:t>
      </w:r>
      <w:r w:rsidRPr="002C3B32">
        <w:t>opinion de mon Administration, qui figure dans le tableau ci-après.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314"/>
      </w:tblGrid>
      <w:tr w:rsidR="00036B70" w:rsidRPr="002C3B32" w14:paraId="71A8BB3A" w14:textId="77777777" w:rsidTr="00E756D0">
        <w:trPr>
          <w:tblHeader/>
        </w:trPr>
        <w:tc>
          <w:tcPr>
            <w:tcW w:w="2405" w:type="dxa"/>
            <w:shd w:val="clear" w:color="auto" w:fill="auto"/>
            <w:vAlign w:val="center"/>
          </w:tcPr>
          <w:p w14:paraId="1DB4E53E" w14:textId="77777777" w:rsidR="00036B70" w:rsidRPr="002C3B32" w:rsidRDefault="00036B70" w:rsidP="000C3478">
            <w:pPr>
              <w:pStyle w:val="TableHead"/>
            </w:pPr>
          </w:p>
        </w:tc>
        <w:tc>
          <w:tcPr>
            <w:tcW w:w="7314" w:type="dxa"/>
            <w:shd w:val="clear" w:color="auto" w:fill="auto"/>
            <w:vAlign w:val="center"/>
          </w:tcPr>
          <w:p w14:paraId="3FCB3478" w14:textId="461EEC2D" w:rsidR="00036B70" w:rsidRPr="002C3B32" w:rsidRDefault="00036B70" w:rsidP="00E756D0">
            <w:pPr>
              <w:pStyle w:val="TableHead"/>
            </w:pPr>
            <w:r w:rsidRPr="002C3B32">
              <w:t>Cochez l</w:t>
            </w:r>
            <w:r w:rsidR="00366405" w:rsidRPr="002C3B32">
              <w:t>'</w:t>
            </w:r>
            <w:r w:rsidRPr="002C3B32">
              <w:t>une des deux cases pour chaque texte</w:t>
            </w:r>
          </w:p>
        </w:tc>
      </w:tr>
      <w:tr w:rsidR="00036B70" w:rsidRPr="002C3B32" w14:paraId="75A754AF" w14:textId="77777777" w:rsidTr="00E756D0">
        <w:trPr>
          <w:trHeight w:val="748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123A5E4" w14:textId="2C12DB8F" w:rsidR="00036B70" w:rsidRPr="002C3B32" w:rsidRDefault="00036B70" w:rsidP="000C3478">
            <w:pPr>
              <w:pStyle w:val="TableText"/>
              <w:jc w:val="center"/>
              <w:rPr>
                <w:b/>
              </w:rPr>
            </w:pPr>
            <w:r w:rsidRPr="002C3B32">
              <w:rPr>
                <w:b/>
              </w:rPr>
              <w:t>Projet de nouvelle Recommandation UIT</w:t>
            </w:r>
            <w:r w:rsidR="00E756D0" w:rsidRPr="002C3B32">
              <w:rPr>
                <w:b/>
              </w:rPr>
              <w:noBreakHyphen/>
            </w:r>
            <w:r w:rsidRPr="002C3B32">
              <w:rPr>
                <w:b/>
              </w:rPr>
              <w:t>T</w:t>
            </w:r>
            <w:r w:rsidR="00E756D0" w:rsidRPr="002C3B32">
              <w:rPr>
                <w:b/>
              </w:rPr>
              <w:t> </w:t>
            </w:r>
            <w:r w:rsidR="007E0DF9" w:rsidRPr="002C3B32">
              <w:rPr>
                <w:b/>
              </w:rPr>
              <w:t>F.</w:t>
            </w:r>
            <w:r w:rsidR="00DB48FC" w:rsidRPr="002C3B32">
              <w:rPr>
                <w:b/>
              </w:rPr>
              <w:t>749.7</w:t>
            </w:r>
            <w:r w:rsidR="00C84E64" w:rsidRPr="002C3B32">
              <w:rPr>
                <w:b/>
              </w:rPr>
              <w:br/>
            </w:r>
            <w:r w:rsidR="007E0DF9" w:rsidRPr="002C3B32">
              <w:rPr>
                <w:b/>
              </w:rPr>
              <w:t>(</w:t>
            </w:r>
            <w:r w:rsidR="00DB48FC" w:rsidRPr="002C3B32">
              <w:rPr>
                <w:rFonts w:cstheme="minorHAnsi"/>
                <w:b/>
                <w:bCs/>
                <w:szCs w:val="22"/>
              </w:rPr>
              <w:t>ex F.VGP-RDSreqs</w:t>
            </w:r>
            <w:r w:rsidRPr="002C3B32">
              <w:rPr>
                <w:b/>
              </w:rPr>
              <w:t>)</w:t>
            </w:r>
          </w:p>
        </w:tc>
        <w:tc>
          <w:tcPr>
            <w:tcW w:w="7314" w:type="dxa"/>
            <w:shd w:val="clear" w:color="auto" w:fill="auto"/>
            <w:vAlign w:val="center"/>
          </w:tcPr>
          <w:p w14:paraId="7FA0058C" w14:textId="585E7C49" w:rsidR="00036B70" w:rsidRPr="002C3B32" w:rsidRDefault="00036B70" w:rsidP="00783A86">
            <w:pPr>
              <w:pStyle w:val="TableText"/>
              <w:tabs>
                <w:tab w:val="clear" w:pos="284"/>
              </w:tabs>
              <w:ind w:left="567" w:hanging="567"/>
            </w:pPr>
            <w:r w:rsidRPr="002C3B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B32">
              <w:instrText xml:space="preserve"> FORMCHECKBOX </w:instrText>
            </w:r>
            <w:r w:rsidR="00000000">
              <w:fldChar w:fldCharType="separate"/>
            </w:r>
            <w:r w:rsidRPr="002C3B32">
              <w:fldChar w:fldCharType="end"/>
            </w:r>
            <w:r w:rsidRPr="002C3B32">
              <w:tab/>
            </w:r>
            <w:r w:rsidR="00E756D0" w:rsidRPr="002C3B32">
              <w:rPr>
                <w:b/>
              </w:rPr>
              <w:t>Autorise</w:t>
            </w:r>
            <w:r w:rsidR="00E756D0" w:rsidRPr="002C3B32">
              <w:rPr>
                <w:bCs/>
              </w:rPr>
              <w:t xml:space="preserve"> </w:t>
            </w:r>
            <w:r w:rsidRPr="002C3B32">
              <w:t>la Commission d</w:t>
            </w:r>
            <w:r w:rsidR="00366405" w:rsidRPr="002C3B32">
              <w:t>'</w:t>
            </w:r>
            <w:r w:rsidRPr="002C3B32">
              <w:t xml:space="preserve">études </w:t>
            </w:r>
            <w:r w:rsidR="00C84E64" w:rsidRPr="002C3B32">
              <w:t>16</w:t>
            </w:r>
            <w:r w:rsidRPr="002C3B32">
              <w:t xml:space="preserve"> à procéder à l</w:t>
            </w:r>
            <w:r w:rsidR="00366405" w:rsidRPr="002C3B32">
              <w:t>'</w:t>
            </w:r>
            <w:r w:rsidRPr="002C3B32">
              <w:t>examen de ce document en vue de son approbation (dans ce cas, sélectionnez l</w:t>
            </w:r>
            <w:r w:rsidR="00366405" w:rsidRPr="002C3B32">
              <w:t>'</w:t>
            </w:r>
            <w:r w:rsidRPr="002C3B32">
              <w:t>une des deux options):</w:t>
            </w:r>
          </w:p>
          <w:p w14:paraId="3901D774" w14:textId="4A99C6EA" w:rsidR="00036B70" w:rsidRPr="002C3B32" w:rsidRDefault="00332FEB" w:rsidP="00E756D0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ind w:left="1163" w:hanging="567"/>
            </w:pPr>
            <w:r w:rsidRPr="002C3B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B32">
              <w:instrText xml:space="preserve"> FORMCHECKBOX </w:instrText>
            </w:r>
            <w:r w:rsidR="00000000">
              <w:fldChar w:fldCharType="separate"/>
            </w:r>
            <w:r w:rsidRPr="002C3B32">
              <w:fldChar w:fldCharType="end"/>
            </w:r>
            <w:r w:rsidR="00036B70" w:rsidRPr="002C3B32">
              <w:tab/>
              <w:t>Pas de commentaire ou de proposition de modification</w:t>
            </w:r>
            <w:r w:rsidR="00E756D0" w:rsidRPr="002C3B32">
              <w:t>.</w:t>
            </w:r>
          </w:p>
          <w:p w14:paraId="16B33FE8" w14:textId="499FE4DE" w:rsidR="00036B70" w:rsidRPr="002C3B32" w:rsidRDefault="00332FEB" w:rsidP="00E756D0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ind w:left="1163" w:hanging="567"/>
            </w:pPr>
            <w:r w:rsidRPr="002C3B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B32">
              <w:instrText xml:space="preserve"> FORMCHECKBOX </w:instrText>
            </w:r>
            <w:r w:rsidR="00000000">
              <w:fldChar w:fldCharType="separate"/>
            </w:r>
            <w:r w:rsidRPr="002C3B32">
              <w:fldChar w:fldCharType="end"/>
            </w:r>
            <w:r w:rsidR="00036B70" w:rsidRPr="002C3B32">
              <w:tab/>
              <w:t>Des commentaires ou propositions de modification sont joints à la présente</w:t>
            </w:r>
            <w:r w:rsidRPr="002C3B32">
              <w:t>.</w:t>
            </w:r>
          </w:p>
        </w:tc>
      </w:tr>
      <w:tr w:rsidR="00036B70" w:rsidRPr="002C3B32" w14:paraId="3C1D10D6" w14:textId="77777777" w:rsidTr="00E756D0">
        <w:trPr>
          <w:trHeight w:val="747"/>
        </w:trPr>
        <w:tc>
          <w:tcPr>
            <w:tcW w:w="2405" w:type="dxa"/>
            <w:vMerge/>
            <w:shd w:val="clear" w:color="auto" w:fill="auto"/>
            <w:vAlign w:val="center"/>
          </w:tcPr>
          <w:p w14:paraId="2F68C0A0" w14:textId="77777777" w:rsidR="00036B70" w:rsidRPr="002C3B32" w:rsidRDefault="00036B70" w:rsidP="000C3478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7314" w:type="dxa"/>
            <w:shd w:val="clear" w:color="auto" w:fill="auto"/>
            <w:vAlign w:val="center"/>
          </w:tcPr>
          <w:p w14:paraId="60B28820" w14:textId="36AC83B0" w:rsidR="00036B70" w:rsidRPr="002C3B32" w:rsidRDefault="00036B70" w:rsidP="00783A86">
            <w:pPr>
              <w:pStyle w:val="TableText"/>
              <w:tabs>
                <w:tab w:val="clear" w:pos="284"/>
              </w:tabs>
              <w:ind w:left="567" w:hanging="567"/>
            </w:pPr>
            <w:r w:rsidRPr="002C3B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B32">
              <w:instrText xml:space="preserve"> FORMCHECKBOX </w:instrText>
            </w:r>
            <w:r w:rsidR="00000000">
              <w:fldChar w:fldCharType="separate"/>
            </w:r>
            <w:r w:rsidRPr="002C3B32">
              <w:fldChar w:fldCharType="end"/>
            </w:r>
            <w:r w:rsidRPr="002C3B32">
              <w:tab/>
            </w:r>
            <w:r w:rsidR="00E756D0" w:rsidRPr="002C3B32">
              <w:rPr>
                <w:b/>
              </w:rPr>
              <w:t>N</w:t>
            </w:r>
            <w:r w:rsidR="00366405" w:rsidRPr="002C3B32">
              <w:rPr>
                <w:b/>
              </w:rPr>
              <w:t>'</w:t>
            </w:r>
            <w:r w:rsidRPr="002C3B32">
              <w:rPr>
                <w:b/>
              </w:rPr>
              <w:t>autorise pas</w:t>
            </w:r>
            <w:r w:rsidRPr="002C3B32">
              <w:rPr>
                <w:bCs/>
              </w:rPr>
              <w:t xml:space="preserve"> </w:t>
            </w:r>
            <w:r w:rsidRPr="002C3B32">
              <w:t>la Commission d</w:t>
            </w:r>
            <w:r w:rsidR="00366405" w:rsidRPr="002C3B32">
              <w:t>'</w:t>
            </w:r>
            <w:r w:rsidRPr="002C3B32">
              <w:t xml:space="preserve">études </w:t>
            </w:r>
            <w:r w:rsidR="00332FEB" w:rsidRPr="002C3B32">
              <w:t>16</w:t>
            </w:r>
            <w:r w:rsidRPr="002C3B32">
              <w:t xml:space="preserve"> à procéder à l</w:t>
            </w:r>
            <w:r w:rsidR="00366405" w:rsidRPr="002C3B32">
              <w:t>'</w:t>
            </w:r>
            <w:r w:rsidRPr="002C3B32">
              <w:t>examen de ce document en vue de son approbation (les motifs de cette décision et une description des éventuelles modifications qui permettraient la poursuite des travaux sont joints à la présente)</w:t>
            </w:r>
            <w:r w:rsidR="00E756D0" w:rsidRPr="002C3B32">
              <w:t>.</w:t>
            </w:r>
          </w:p>
        </w:tc>
      </w:tr>
      <w:tr w:rsidR="00036B70" w:rsidRPr="002C3B32" w14:paraId="720092F6" w14:textId="77777777" w:rsidTr="00E756D0">
        <w:trPr>
          <w:trHeight w:val="748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421BBA15" w14:textId="559F2559" w:rsidR="00036B70" w:rsidRPr="002C3B32" w:rsidRDefault="00036B70" w:rsidP="000C3478">
            <w:pPr>
              <w:pStyle w:val="TableText"/>
              <w:jc w:val="center"/>
              <w:rPr>
                <w:b/>
              </w:rPr>
            </w:pPr>
            <w:r w:rsidRPr="002C3B32">
              <w:rPr>
                <w:b/>
              </w:rPr>
              <w:t xml:space="preserve">Projet de nouvelle Recommandation </w:t>
            </w:r>
            <w:r w:rsidR="00E756D0" w:rsidRPr="002C3B32">
              <w:rPr>
                <w:b/>
              </w:rPr>
              <w:t>UIT</w:t>
            </w:r>
            <w:r w:rsidR="00E756D0" w:rsidRPr="002C3B32">
              <w:rPr>
                <w:b/>
              </w:rPr>
              <w:noBreakHyphen/>
              <w:t>T </w:t>
            </w:r>
            <w:r w:rsidR="00DB48FC" w:rsidRPr="002C3B32">
              <w:rPr>
                <w:b/>
              </w:rPr>
              <w:t>H.552</w:t>
            </w:r>
            <w:r w:rsidR="00C84E64" w:rsidRPr="002C3B32">
              <w:rPr>
                <w:b/>
              </w:rPr>
              <w:br/>
            </w:r>
            <w:r w:rsidR="007E0DF9" w:rsidRPr="002C3B32">
              <w:rPr>
                <w:b/>
              </w:rPr>
              <w:t>(</w:t>
            </w:r>
            <w:r w:rsidR="00DB48FC" w:rsidRPr="002C3B32">
              <w:rPr>
                <w:rFonts w:cstheme="minorHAnsi"/>
                <w:b/>
                <w:bCs/>
                <w:szCs w:val="22"/>
              </w:rPr>
              <w:t>ex H.VM-VMIA</w:t>
            </w:r>
            <w:r w:rsidRPr="002C3B32">
              <w:rPr>
                <w:b/>
              </w:rPr>
              <w:t>)</w:t>
            </w:r>
          </w:p>
        </w:tc>
        <w:tc>
          <w:tcPr>
            <w:tcW w:w="7314" w:type="dxa"/>
            <w:shd w:val="clear" w:color="auto" w:fill="auto"/>
            <w:vAlign w:val="center"/>
          </w:tcPr>
          <w:p w14:paraId="3CBE9763" w14:textId="3AFA21E1" w:rsidR="00036B70" w:rsidRPr="002C3B32" w:rsidRDefault="00036B70" w:rsidP="00783A86">
            <w:pPr>
              <w:pStyle w:val="TableText"/>
              <w:tabs>
                <w:tab w:val="clear" w:pos="284"/>
              </w:tabs>
              <w:ind w:left="567" w:hanging="567"/>
            </w:pPr>
            <w:r w:rsidRPr="002C3B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B32">
              <w:instrText xml:space="preserve"> FORMCHECKBOX </w:instrText>
            </w:r>
            <w:r w:rsidR="00000000">
              <w:fldChar w:fldCharType="separate"/>
            </w:r>
            <w:r w:rsidRPr="002C3B32">
              <w:fldChar w:fldCharType="end"/>
            </w:r>
            <w:r w:rsidRPr="002C3B32">
              <w:tab/>
            </w:r>
            <w:r w:rsidR="00E756D0" w:rsidRPr="002C3B32">
              <w:rPr>
                <w:b/>
              </w:rPr>
              <w:t>Autorise</w:t>
            </w:r>
            <w:r w:rsidR="00E756D0" w:rsidRPr="002C3B32">
              <w:rPr>
                <w:bCs/>
              </w:rPr>
              <w:t xml:space="preserve"> </w:t>
            </w:r>
            <w:r w:rsidRPr="002C3B32">
              <w:t>la Commission d</w:t>
            </w:r>
            <w:r w:rsidR="00366405" w:rsidRPr="002C3B32">
              <w:t>'</w:t>
            </w:r>
            <w:r w:rsidRPr="002C3B32">
              <w:t xml:space="preserve">études </w:t>
            </w:r>
            <w:r w:rsidR="00332FEB" w:rsidRPr="002C3B32">
              <w:t>16</w:t>
            </w:r>
            <w:r w:rsidRPr="002C3B32">
              <w:t xml:space="preserve"> à procéder à l</w:t>
            </w:r>
            <w:r w:rsidR="00366405" w:rsidRPr="002C3B32">
              <w:t>'</w:t>
            </w:r>
            <w:r w:rsidRPr="002C3B32">
              <w:t>examen de ce document en vue de son approbation (dans ce cas, sélectionnez l</w:t>
            </w:r>
            <w:r w:rsidR="00366405" w:rsidRPr="002C3B32">
              <w:t>'</w:t>
            </w:r>
            <w:r w:rsidRPr="002C3B32">
              <w:t>une des deux options</w:t>
            </w:r>
            <w:r w:rsidR="00C84E64" w:rsidRPr="002C3B32">
              <w:t>)</w:t>
            </w:r>
            <w:r w:rsidRPr="002C3B32">
              <w:t>:</w:t>
            </w:r>
          </w:p>
          <w:p w14:paraId="76C2900C" w14:textId="3EE97860" w:rsidR="00036B70" w:rsidRPr="002C3B32" w:rsidRDefault="00332FEB" w:rsidP="00E756D0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ind w:left="1163" w:hanging="567"/>
            </w:pPr>
            <w:r w:rsidRPr="002C3B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B32">
              <w:instrText xml:space="preserve"> FORMCHECKBOX </w:instrText>
            </w:r>
            <w:r w:rsidR="00000000">
              <w:fldChar w:fldCharType="separate"/>
            </w:r>
            <w:r w:rsidRPr="002C3B32">
              <w:fldChar w:fldCharType="end"/>
            </w:r>
            <w:r w:rsidR="00036B70" w:rsidRPr="002C3B32">
              <w:tab/>
              <w:t>Pas de commentaire ou de proposition de modification</w:t>
            </w:r>
            <w:r w:rsidR="00E756D0" w:rsidRPr="002C3B32">
              <w:t>.</w:t>
            </w:r>
          </w:p>
          <w:p w14:paraId="211D0975" w14:textId="7FEF6A74" w:rsidR="00036B70" w:rsidRPr="002C3B32" w:rsidRDefault="00332FEB" w:rsidP="00E756D0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ind w:left="1163" w:hanging="567"/>
            </w:pPr>
            <w:r w:rsidRPr="002C3B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B32">
              <w:instrText xml:space="preserve"> FORMCHECKBOX </w:instrText>
            </w:r>
            <w:r w:rsidR="00000000">
              <w:fldChar w:fldCharType="separate"/>
            </w:r>
            <w:r w:rsidRPr="002C3B32">
              <w:fldChar w:fldCharType="end"/>
            </w:r>
            <w:r w:rsidR="00036B70" w:rsidRPr="002C3B32">
              <w:tab/>
              <w:t>Des commentaires ou propositions de modification sont joints à la présente</w:t>
            </w:r>
            <w:r w:rsidR="00E756D0" w:rsidRPr="002C3B32">
              <w:t>.</w:t>
            </w:r>
          </w:p>
        </w:tc>
      </w:tr>
      <w:tr w:rsidR="00036B70" w:rsidRPr="002C3B32" w14:paraId="1F65C8E9" w14:textId="77777777" w:rsidTr="00E756D0">
        <w:trPr>
          <w:trHeight w:val="747"/>
        </w:trPr>
        <w:tc>
          <w:tcPr>
            <w:tcW w:w="2405" w:type="dxa"/>
            <w:vMerge/>
            <w:shd w:val="clear" w:color="auto" w:fill="auto"/>
            <w:vAlign w:val="center"/>
          </w:tcPr>
          <w:p w14:paraId="1B12CFD2" w14:textId="77777777" w:rsidR="00036B70" w:rsidRPr="002C3B32" w:rsidRDefault="00036B70" w:rsidP="000C3478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7314" w:type="dxa"/>
            <w:shd w:val="clear" w:color="auto" w:fill="auto"/>
            <w:vAlign w:val="center"/>
          </w:tcPr>
          <w:p w14:paraId="3BBB66DC" w14:textId="3010603A" w:rsidR="00036B70" w:rsidRPr="002C3B32" w:rsidRDefault="00036B70" w:rsidP="00783A86">
            <w:pPr>
              <w:pStyle w:val="TableText"/>
              <w:keepLines/>
              <w:tabs>
                <w:tab w:val="clear" w:pos="284"/>
              </w:tabs>
              <w:ind w:left="567" w:hanging="567"/>
            </w:pPr>
            <w:r w:rsidRPr="002C3B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B32">
              <w:instrText xml:space="preserve"> FORMCHECKBOX </w:instrText>
            </w:r>
            <w:r w:rsidR="00000000">
              <w:fldChar w:fldCharType="separate"/>
            </w:r>
            <w:r w:rsidRPr="002C3B32">
              <w:fldChar w:fldCharType="end"/>
            </w:r>
            <w:r w:rsidRPr="002C3B32">
              <w:tab/>
            </w:r>
            <w:r w:rsidR="00E756D0" w:rsidRPr="002C3B32">
              <w:rPr>
                <w:b/>
              </w:rPr>
              <w:t>N</w:t>
            </w:r>
            <w:r w:rsidR="00366405" w:rsidRPr="002C3B32">
              <w:rPr>
                <w:b/>
              </w:rPr>
              <w:t>'</w:t>
            </w:r>
            <w:r w:rsidRPr="002C3B32">
              <w:rPr>
                <w:b/>
              </w:rPr>
              <w:t>autorise pas</w:t>
            </w:r>
            <w:r w:rsidRPr="002C3B32">
              <w:t xml:space="preserve"> la Commission d</w:t>
            </w:r>
            <w:r w:rsidR="00366405" w:rsidRPr="002C3B32">
              <w:t>'</w:t>
            </w:r>
            <w:r w:rsidRPr="002C3B32">
              <w:t xml:space="preserve">études </w:t>
            </w:r>
            <w:r w:rsidR="00332FEB" w:rsidRPr="002C3B32">
              <w:t>16</w:t>
            </w:r>
            <w:r w:rsidRPr="002C3B32">
              <w:t xml:space="preserve"> à procéder à l</w:t>
            </w:r>
            <w:r w:rsidR="00366405" w:rsidRPr="002C3B32">
              <w:t>'</w:t>
            </w:r>
            <w:r w:rsidRPr="002C3B32">
              <w:t>examen de ce document en vue de son approbation (les motifs de cette décision et une description des éventuelles modifications qui permettraient la poursuite des travaux sont joints à la présente)</w:t>
            </w:r>
            <w:r w:rsidR="00E756D0" w:rsidRPr="002C3B32">
              <w:t>.</w:t>
            </w:r>
          </w:p>
        </w:tc>
      </w:tr>
    </w:tbl>
    <w:p w14:paraId="15E2E956" w14:textId="6E94C2CD" w:rsidR="00036B70" w:rsidRPr="002C3B32" w:rsidRDefault="00036B70" w:rsidP="000C684E">
      <w:r w:rsidRPr="002C3B32">
        <w:t xml:space="preserve">Veuillez agréer, </w:t>
      </w:r>
      <w:r w:rsidR="006705A6" w:rsidRPr="002C3B32">
        <w:t>Monsieur le Directeur</w:t>
      </w:r>
      <w:r w:rsidRPr="002C3B32">
        <w:t>, l</w:t>
      </w:r>
      <w:r w:rsidR="00366405" w:rsidRPr="002C3B32">
        <w:t>'</w:t>
      </w:r>
      <w:r w:rsidRPr="002C3B32">
        <w:t>assurance de ma considération distinguée.</w:t>
      </w:r>
    </w:p>
    <w:p w14:paraId="3D1E4CA7" w14:textId="77777777" w:rsidR="00036B70" w:rsidRPr="002C3B32" w:rsidRDefault="00036B70" w:rsidP="00850874">
      <w:pPr>
        <w:spacing w:before="360"/>
        <w:rPr>
          <w:szCs w:val="24"/>
          <w:highlight w:val="green"/>
        </w:rPr>
      </w:pPr>
      <w:r w:rsidRPr="002C3B32">
        <w:rPr>
          <w:highlight w:val="green"/>
        </w:rPr>
        <w:t>[Nom]</w:t>
      </w:r>
    </w:p>
    <w:p w14:paraId="4E6F764A" w14:textId="77777777" w:rsidR="00036B70" w:rsidRPr="002C3B32" w:rsidRDefault="00036B70" w:rsidP="00036B70">
      <w:pPr>
        <w:spacing w:before="0"/>
        <w:rPr>
          <w:szCs w:val="24"/>
        </w:rPr>
      </w:pPr>
      <w:r w:rsidRPr="002C3B32">
        <w:rPr>
          <w:highlight w:val="green"/>
        </w:rPr>
        <w:t>[Rôle/titre officiel]</w:t>
      </w:r>
    </w:p>
    <w:p w14:paraId="6872F404" w14:textId="7186C0BB" w:rsidR="00036B70" w:rsidRPr="002C3B32" w:rsidRDefault="00036B70" w:rsidP="00CE37BA">
      <w:pPr>
        <w:spacing w:before="0"/>
      </w:pPr>
      <w:r w:rsidRPr="002C3B32">
        <w:t xml:space="preserve">Administration de </w:t>
      </w:r>
      <w:r w:rsidRPr="002C3B32">
        <w:rPr>
          <w:highlight w:val="green"/>
        </w:rPr>
        <w:t>[État Membre]</w:t>
      </w:r>
    </w:p>
    <w:p w14:paraId="599CABC3" w14:textId="6329100E" w:rsidR="000C3478" w:rsidRPr="002C3B32" w:rsidRDefault="000C3478" w:rsidP="000C3478">
      <w:pPr>
        <w:spacing w:before="0"/>
        <w:jc w:val="center"/>
        <w:rPr>
          <w:szCs w:val="24"/>
        </w:rPr>
      </w:pPr>
      <w:r w:rsidRPr="002C3B32">
        <w:t>______________</w:t>
      </w:r>
    </w:p>
    <w:sectPr w:rsidR="000C3478" w:rsidRPr="002C3B32" w:rsidSect="00850874">
      <w:headerReference w:type="default" r:id="rId17"/>
      <w:footerReference w:type="first" r:id="rId18"/>
      <w:pgSz w:w="11907" w:h="16840" w:code="9"/>
      <w:pgMar w:top="1134" w:right="1089" w:bottom="709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0CBF" w14:textId="77777777" w:rsidR="00061564" w:rsidRDefault="00061564">
      <w:r>
        <w:separator/>
      </w:r>
    </w:p>
  </w:endnote>
  <w:endnote w:type="continuationSeparator" w:id="0">
    <w:p w14:paraId="1CC2FC85" w14:textId="77777777" w:rsidR="00061564" w:rsidRDefault="0006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3125" w14:textId="182E9619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</w:t>
    </w:r>
    <w:r w:rsidR="00C33961">
      <w:rPr>
        <w:color w:val="0070C0"/>
        <w:sz w:val="18"/>
        <w:szCs w:val="18"/>
        <w:lang w:val="fr-CH"/>
      </w:rPr>
      <w:t>Télécopie</w:t>
    </w:r>
    <w:r w:rsidRPr="003E66AD">
      <w:rPr>
        <w:color w:val="0070C0"/>
        <w:sz w:val="18"/>
        <w:szCs w:val="18"/>
        <w:lang w:val="fr-CH"/>
      </w:rPr>
      <w:t xml:space="preserve">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0340" w14:textId="77777777" w:rsidR="00061564" w:rsidRDefault="00061564">
      <w:r>
        <w:t>____________________</w:t>
      </w:r>
    </w:p>
  </w:footnote>
  <w:footnote w:type="continuationSeparator" w:id="0">
    <w:p w14:paraId="6325153B" w14:textId="77777777" w:rsidR="00061564" w:rsidRDefault="0006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3F68" w14:textId="021D08A5" w:rsidR="00697BC1" w:rsidRDefault="00000000" w:rsidP="00697BC1">
    <w:pPr>
      <w:pStyle w:val="Header"/>
      <w:rPr>
        <w:noProof/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C684E">
          <w:rPr>
            <w:noProof/>
            <w:sz w:val="18"/>
            <w:szCs w:val="16"/>
          </w:rPr>
          <w:t>7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  <w:p w14:paraId="7DBF2DCC" w14:textId="5DCD881A" w:rsidR="00406878" w:rsidRPr="00697BC1" w:rsidRDefault="00406878" w:rsidP="00697BC1">
    <w:pPr>
      <w:pStyle w:val="Header"/>
      <w:rPr>
        <w:sz w:val="18"/>
        <w:szCs w:val="16"/>
      </w:rPr>
    </w:pPr>
    <w:r w:rsidRPr="000572BA">
      <w:rPr>
        <w:sz w:val="18"/>
        <w:szCs w:val="16"/>
      </w:rPr>
      <w:t xml:space="preserve">Circulaire TSB </w:t>
    </w:r>
    <w:r w:rsidR="00BC3E46">
      <w:rPr>
        <w:sz w:val="18"/>
        <w:szCs w:val="16"/>
      </w:rPr>
      <w:t>153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 w16cid:durableId="132258623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B8"/>
    <w:rsid w:val="0000320B"/>
    <w:rsid w:val="000039EE"/>
    <w:rsid w:val="00005622"/>
    <w:rsid w:val="0002519E"/>
    <w:rsid w:val="00035B43"/>
    <w:rsid w:val="00036B70"/>
    <w:rsid w:val="00036F4F"/>
    <w:rsid w:val="00054BCC"/>
    <w:rsid w:val="00061564"/>
    <w:rsid w:val="000758B3"/>
    <w:rsid w:val="00085F5A"/>
    <w:rsid w:val="000A602B"/>
    <w:rsid w:val="000B0D96"/>
    <w:rsid w:val="000B59D8"/>
    <w:rsid w:val="000C1F6B"/>
    <w:rsid w:val="000C25CC"/>
    <w:rsid w:val="000C3478"/>
    <w:rsid w:val="000C56BE"/>
    <w:rsid w:val="000C684E"/>
    <w:rsid w:val="000F1894"/>
    <w:rsid w:val="000F36C5"/>
    <w:rsid w:val="001026FD"/>
    <w:rsid w:val="001077FD"/>
    <w:rsid w:val="00115DD7"/>
    <w:rsid w:val="00144EC2"/>
    <w:rsid w:val="0015524A"/>
    <w:rsid w:val="00167472"/>
    <w:rsid w:val="00167F92"/>
    <w:rsid w:val="00173738"/>
    <w:rsid w:val="00182A1D"/>
    <w:rsid w:val="001A08B3"/>
    <w:rsid w:val="001B79A3"/>
    <w:rsid w:val="001C6238"/>
    <w:rsid w:val="00204CE1"/>
    <w:rsid w:val="002152A3"/>
    <w:rsid w:val="0023667A"/>
    <w:rsid w:val="00274386"/>
    <w:rsid w:val="00281575"/>
    <w:rsid w:val="002968BA"/>
    <w:rsid w:val="002C3B32"/>
    <w:rsid w:val="002E395D"/>
    <w:rsid w:val="003131F0"/>
    <w:rsid w:val="00332FEB"/>
    <w:rsid w:val="00333A80"/>
    <w:rsid w:val="00333D69"/>
    <w:rsid w:val="00341117"/>
    <w:rsid w:val="00364E95"/>
    <w:rsid w:val="00366405"/>
    <w:rsid w:val="00372875"/>
    <w:rsid w:val="003957F3"/>
    <w:rsid w:val="003B1E80"/>
    <w:rsid w:val="003B66E8"/>
    <w:rsid w:val="003E66AD"/>
    <w:rsid w:val="003E78BD"/>
    <w:rsid w:val="004033F1"/>
    <w:rsid w:val="00405F28"/>
    <w:rsid w:val="00406878"/>
    <w:rsid w:val="00414B0C"/>
    <w:rsid w:val="004169B4"/>
    <w:rsid w:val="0041752C"/>
    <w:rsid w:val="00423C21"/>
    <w:rsid w:val="004257AC"/>
    <w:rsid w:val="0043711B"/>
    <w:rsid w:val="0044152F"/>
    <w:rsid w:val="00445B68"/>
    <w:rsid w:val="00493E87"/>
    <w:rsid w:val="00495516"/>
    <w:rsid w:val="004977C9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601682"/>
    <w:rsid w:val="00603470"/>
    <w:rsid w:val="006213D9"/>
    <w:rsid w:val="00625E79"/>
    <w:rsid w:val="006333F7"/>
    <w:rsid w:val="006427A1"/>
    <w:rsid w:val="00644741"/>
    <w:rsid w:val="006705A6"/>
    <w:rsid w:val="006930CD"/>
    <w:rsid w:val="00697BC1"/>
    <w:rsid w:val="006A6FFE"/>
    <w:rsid w:val="006C5435"/>
    <w:rsid w:val="006C5A91"/>
    <w:rsid w:val="006D281D"/>
    <w:rsid w:val="00716BBC"/>
    <w:rsid w:val="00724A3A"/>
    <w:rsid w:val="00727095"/>
    <w:rsid w:val="007321BC"/>
    <w:rsid w:val="00732D99"/>
    <w:rsid w:val="00735203"/>
    <w:rsid w:val="00741B1F"/>
    <w:rsid w:val="00760063"/>
    <w:rsid w:val="00775E4B"/>
    <w:rsid w:val="00783A86"/>
    <w:rsid w:val="0079553B"/>
    <w:rsid w:val="00795679"/>
    <w:rsid w:val="007A34CE"/>
    <w:rsid w:val="007A40FE"/>
    <w:rsid w:val="007E0DF9"/>
    <w:rsid w:val="00801B5F"/>
    <w:rsid w:val="00810105"/>
    <w:rsid w:val="008157E0"/>
    <w:rsid w:val="00847483"/>
    <w:rsid w:val="00850477"/>
    <w:rsid w:val="00850874"/>
    <w:rsid w:val="00854E1D"/>
    <w:rsid w:val="00876045"/>
    <w:rsid w:val="00887FA6"/>
    <w:rsid w:val="008918A0"/>
    <w:rsid w:val="008B2FBA"/>
    <w:rsid w:val="008C4397"/>
    <w:rsid w:val="008C465A"/>
    <w:rsid w:val="008F2C9B"/>
    <w:rsid w:val="00923CD6"/>
    <w:rsid w:val="009271E2"/>
    <w:rsid w:val="00935AA8"/>
    <w:rsid w:val="009519B7"/>
    <w:rsid w:val="00971C9A"/>
    <w:rsid w:val="009A426C"/>
    <w:rsid w:val="009D51FA"/>
    <w:rsid w:val="009F1E23"/>
    <w:rsid w:val="00A15179"/>
    <w:rsid w:val="00A51537"/>
    <w:rsid w:val="00A5280F"/>
    <w:rsid w:val="00A5645A"/>
    <w:rsid w:val="00A60FC1"/>
    <w:rsid w:val="00A95BA9"/>
    <w:rsid w:val="00A97C37"/>
    <w:rsid w:val="00AA131B"/>
    <w:rsid w:val="00AB651C"/>
    <w:rsid w:val="00AC37B5"/>
    <w:rsid w:val="00AD752F"/>
    <w:rsid w:val="00AE04E9"/>
    <w:rsid w:val="00AF08A4"/>
    <w:rsid w:val="00B17E03"/>
    <w:rsid w:val="00B27B41"/>
    <w:rsid w:val="00B368EC"/>
    <w:rsid w:val="00B42659"/>
    <w:rsid w:val="00B52BC8"/>
    <w:rsid w:val="00B8573E"/>
    <w:rsid w:val="00BB24C0"/>
    <w:rsid w:val="00BC3E46"/>
    <w:rsid w:val="00BD656A"/>
    <w:rsid w:val="00BD6ECF"/>
    <w:rsid w:val="00BE4CAF"/>
    <w:rsid w:val="00BF7CA7"/>
    <w:rsid w:val="00C26F2E"/>
    <w:rsid w:val="00C302E3"/>
    <w:rsid w:val="00C33961"/>
    <w:rsid w:val="00C41B89"/>
    <w:rsid w:val="00C45376"/>
    <w:rsid w:val="00C84E64"/>
    <w:rsid w:val="00C9028F"/>
    <w:rsid w:val="00CA0416"/>
    <w:rsid w:val="00CA0768"/>
    <w:rsid w:val="00CB1125"/>
    <w:rsid w:val="00CB4E80"/>
    <w:rsid w:val="00CD042E"/>
    <w:rsid w:val="00CE37BA"/>
    <w:rsid w:val="00CF2383"/>
    <w:rsid w:val="00CF2560"/>
    <w:rsid w:val="00CF5B46"/>
    <w:rsid w:val="00D44CF8"/>
    <w:rsid w:val="00D46B68"/>
    <w:rsid w:val="00D542A5"/>
    <w:rsid w:val="00DB48FC"/>
    <w:rsid w:val="00DC28FE"/>
    <w:rsid w:val="00DC3D47"/>
    <w:rsid w:val="00DD3A84"/>
    <w:rsid w:val="00DD77DA"/>
    <w:rsid w:val="00DE12FA"/>
    <w:rsid w:val="00DE5022"/>
    <w:rsid w:val="00E05FB8"/>
    <w:rsid w:val="00E06C61"/>
    <w:rsid w:val="00E13DB3"/>
    <w:rsid w:val="00E2408B"/>
    <w:rsid w:val="00E2755C"/>
    <w:rsid w:val="00E62CEA"/>
    <w:rsid w:val="00E72AE1"/>
    <w:rsid w:val="00E756D0"/>
    <w:rsid w:val="00EA6BF8"/>
    <w:rsid w:val="00ED6A7A"/>
    <w:rsid w:val="00EE4C36"/>
    <w:rsid w:val="00F02C23"/>
    <w:rsid w:val="00F05EB8"/>
    <w:rsid w:val="00F343AF"/>
    <w:rsid w:val="00F346CE"/>
    <w:rsid w:val="00F34F98"/>
    <w:rsid w:val="00F40540"/>
    <w:rsid w:val="00F67402"/>
    <w:rsid w:val="00F72251"/>
    <w:rsid w:val="00F766A2"/>
    <w:rsid w:val="00F8030B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516E58"/>
  <w15:docId w15:val="{F36DCDF5-BF96-4C03-AEA6-7031AB22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uiPriority w:val="99"/>
    <w:qFormat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Tabletext0">
    <w:name w:val="Table_text"/>
    <w:basedOn w:val="Normal"/>
    <w:rsid w:val="00036B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eastAsia="Batang" w:hAnsi="Calibri"/>
      <w:lang w:val="en-GB"/>
    </w:rPr>
  </w:style>
  <w:style w:type="character" w:styleId="CommentReference">
    <w:name w:val="annotation reference"/>
    <w:rsid w:val="00036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6B70"/>
    <w:rPr>
      <w:rFonts w:ascii="Calibri" w:eastAsia="Batang" w:hAnsi="Calibri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36B70"/>
    <w:rPr>
      <w:rFonts w:ascii="Calibri" w:eastAsia="Batang" w:hAnsi="Calibri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2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0320B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00320B"/>
    <w:rPr>
      <w:rFonts w:asciiTheme="minorHAnsi" w:hAnsiTheme="minorHAnsi"/>
      <w:sz w:val="24"/>
      <w:lang w:val="fr-FR" w:eastAsia="en-US"/>
    </w:rPr>
  </w:style>
  <w:style w:type="paragraph" w:customStyle="1" w:styleId="Reasons">
    <w:name w:val="Reasons"/>
    <w:basedOn w:val="Normal"/>
    <w:qFormat/>
    <w:rsid w:val="000C3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78BD"/>
    <w:rPr>
      <w:color w:val="605E5C"/>
      <w:shd w:val="clear" w:color="auto" w:fill="E1DFDD"/>
    </w:rPr>
  </w:style>
  <w:style w:type="paragraph" w:customStyle="1" w:styleId="Annex0">
    <w:name w:val="Annex_"/>
    <w:basedOn w:val="AnnexTitle"/>
    <w:rsid w:val="00801B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T22-SG16-R-0019/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sg16@itu.i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sbdir@itu.i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md/T22-SG16-231116-TD-WP1-0182/f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T22-SG16-R-0020/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6" ma:contentTypeDescription="Crée un document." ma:contentTypeScope="" ma:versionID="8777f10145c7a9fea62b2bdb1e0a6a28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a309361c35f060974755be00ec90e807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6831a-7af6-4d5c-9dfb-a87df15e29ac}" ma:internalName="TaxCatchAll" ma:showField="CatchAllData" ma:web="00821693-a2f2-4497-a909-07460881c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21693-a2f2-4497-a909-07460881c924" xsi:nil="true"/>
    <lcf76f155ced4ddcb4097134ff3c332f xmlns="2dfbb2a9-9046-4b7d-bc0f-b7b915b8a8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298FDC-66EF-45A5-9994-005FCF47B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AC5D72-24B2-4923-8246-8EECBBE63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b2a9-9046-4b7d-bc0f-b7b915b8a872"/>
    <ds:schemaRef ds:uri="00821693-a2f2-4497-a909-07460881c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222C4-B708-4E0A-8238-E50C647075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3FE48A-8437-49F3-BE0D-F9EEF8023F37}">
  <ds:schemaRefs>
    <ds:schemaRef ds:uri="http://schemas.microsoft.com/office/2006/metadata/properties"/>
    <ds:schemaRef ds:uri="http://schemas.microsoft.com/office/infopath/2007/PartnerControls"/>
    <ds:schemaRef ds:uri="00821693-a2f2-4497-a909-07460881c924"/>
    <ds:schemaRef ds:uri="2dfbb2a9-9046-4b7d-bc0f-b7b915b8a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31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8285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FrenchVS</dc:creator>
  <cp:lastModifiedBy>TSB (HT)</cp:lastModifiedBy>
  <cp:revision>5</cp:revision>
  <cp:lastPrinted>2023-09-25T07:00:00Z</cp:lastPrinted>
  <dcterms:created xsi:type="dcterms:W3CDTF">2023-12-19T09:59:00Z</dcterms:created>
  <dcterms:modified xsi:type="dcterms:W3CDTF">2024-01-02T13:46:00Z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0x010100FF0D4921E1BEE64C9967543FFC1FD641</vt:lpwstr>
  </property>
</Properties>
</file>