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Look w:val="0000" w:firstRow="0" w:lastRow="0" w:firstColumn="0" w:lastColumn="0" w:noHBand="0" w:noVBand="0"/>
      </w:tblPr>
      <w:tblGrid>
        <w:gridCol w:w="1410"/>
        <w:gridCol w:w="3467"/>
        <w:gridCol w:w="5329"/>
      </w:tblGrid>
      <w:tr w:rsidR="007B6316" w14:paraId="1EBA81B0" w14:textId="77777777" w:rsidTr="00F03361">
        <w:trPr>
          <w:cantSplit/>
          <w:trHeight w:val="340"/>
        </w:trPr>
        <w:tc>
          <w:tcPr>
            <w:tcW w:w="1410" w:type="dxa"/>
          </w:tcPr>
          <w:p w14:paraId="5BCBAC48"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58CD744C" wp14:editId="5CF37C45">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2F9D2671"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3AD88030"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rsidRPr="00317100" w14:paraId="28A0C54E" w14:textId="77777777" w:rsidTr="00B510D9">
        <w:trPr>
          <w:cantSplit/>
          <w:trHeight w:val="340"/>
        </w:trPr>
        <w:tc>
          <w:tcPr>
            <w:tcW w:w="1410" w:type="dxa"/>
          </w:tcPr>
          <w:p w14:paraId="740E0504" w14:textId="77777777" w:rsidR="007B6316" w:rsidRPr="00317100" w:rsidRDefault="007B6316" w:rsidP="002205D9">
            <w:pPr>
              <w:spacing w:after="120"/>
              <w:rPr>
                <w:rFonts w:cstheme="minorHAnsi"/>
                <w:sz w:val="22"/>
                <w:szCs w:val="22"/>
              </w:rPr>
            </w:pPr>
          </w:p>
        </w:tc>
        <w:tc>
          <w:tcPr>
            <w:tcW w:w="3467" w:type="dxa"/>
          </w:tcPr>
          <w:p w14:paraId="58E3609D" w14:textId="77777777" w:rsidR="007B6316" w:rsidRPr="00317100" w:rsidRDefault="007B6316" w:rsidP="002205D9">
            <w:pPr>
              <w:rPr>
                <w:rFonts w:cstheme="minorHAnsi"/>
                <w:sz w:val="22"/>
                <w:szCs w:val="22"/>
              </w:rPr>
            </w:pPr>
          </w:p>
        </w:tc>
        <w:tc>
          <w:tcPr>
            <w:tcW w:w="5329" w:type="dxa"/>
          </w:tcPr>
          <w:p w14:paraId="25FE521C" w14:textId="4E05772A" w:rsidR="007B6316" w:rsidRPr="00317100" w:rsidRDefault="002205D9" w:rsidP="002205D9">
            <w:pPr>
              <w:rPr>
                <w:rFonts w:cstheme="minorHAnsi"/>
                <w:sz w:val="22"/>
                <w:szCs w:val="22"/>
              </w:rPr>
            </w:pPr>
            <w:r w:rsidRPr="00317100">
              <w:rPr>
                <w:rFonts w:cstheme="minorHAnsi"/>
                <w:sz w:val="22"/>
                <w:szCs w:val="22"/>
              </w:rPr>
              <w:t>Ginebra, 7 de diciembre de 2023</w:t>
            </w:r>
          </w:p>
        </w:tc>
      </w:tr>
      <w:tr w:rsidR="001350B9" w:rsidRPr="00317100" w14:paraId="1B237DAE" w14:textId="77777777" w:rsidTr="00B510D9">
        <w:trPr>
          <w:cantSplit/>
          <w:trHeight w:val="340"/>
        </w:trPr>
        <w:tc>
          <w:tcPr>
            <w:tcW w:w="1410" w:type="dxa"/>
          </w:tcPr>
          <w:p w14:paraId="26038E9D" w14:textId="42B9554F" w:rsidR="001350B9" w:rsidRPr="00317100" w:rsidRDefault="001350B9" w:rsidP="002205D9">
            <w:pPr>
              <w:spacing w:before="20" w:after="20"/>
              <w:rPr>
                <w:rFonts w:cstheme="minorHAnsi"/>
                <w:sz w:val="22"/>
                <w:szCs w:val="22"/>
              </w:rPr>
            </w:pPr>
            <w:r w:rsidRPr="00317100">
              <w:rPr>
                <w:rFonts w:cstheme="minorHAnsi"/>
                <w:sz w:val="22"/>
                <w:szCs w:val="22"/>
              </w:rPr>
              <w:t>Ref.:</w:t>
            </w:r>
          </w:p>
        </w:tc>
        <w:tc>
          <w:tcPr>
            <w:tcW w:w="3467" w:type="dxa"/>
          </w:tcPr>
          <w:p w14:paraId="3F6201A5" w14:textId="25F5B491" w:rsidR="001350B9" w:rsidRPr="00317100" w:rsidRDefault="002205D9" w:rsidP="007C7B06">
            <w:pPr>
              <w:spacing w:before="20" w:after="20"/>
              <w:rPr>
                <w:rFonts w:cstheme="minorHAnsi"/>
                <w:sz w:val="22"/>
                <w:szCs w:val="22"/>
                <w:lang w:val="en-GB"/>
              </w:rPr>
            </w:pPr>
            <w:r w:rsidRPr="00317100">
              <w:rPr>
                <w:rFonts w:cstheme="minorHAnsi"/>
                <w:b/>
                <w:bCs/>
                <w:sz w:val="22"/>
                <w:szCs w:val="22"/>
                <w:lang w:val="en-GB"/>
              </w:rPr>
              <w:t>Circular TSB 156</w:t>
            </w:r>
            <w:r w:rsidR="007C7B06" w:rsidRPr="00317100">
              <w:rPr>
                <w:rFonts w:cstheme="minorHAnsi"/>
                <w:sz w:val="22"/>
                <w:szCs w:val="22"/>
                <w:lang w:val="en-GB"/>
              </w:rPr>
              <w:br/>
            </w:r>
            <w:r w:rsidRPr="00317100">
              <w:rPr>
                <w:rFonts w:cstheme="minorHAnsi"/>
                <w:sz w:val="22"/>
                <w:szCs w:val="22"/>
                <w:lang w:val="en-GB"/>
              </w:rPr>
              <w:t>TSB Events/XY</w:t>
            </w:r>
          </w:p>
        </w:tc>
        <w:tc>
          <w:tcPr>
            <w:tcW w:w="5329" w:type="dxa"/>
            <w:vMerge w:val="restart"/>
          </w:tcPr>
          <w:p w14:paraId="6B56B2F0" w14:textId="77777777" w:rsidR="00B510D9" w:rsidRPr="00317100" w:rsidRDefault="00B510D9" w:rsidP="002205D9">
            <w:pPr>
              <w:spacing w:before="20" w:after="20"/>
              <w:rPr>
                <w:rFonts w:cstheme="minorHAnsi"/>
                <w:sz w:val="22"/>
                <w:szCs w:val="22"/>
                <w:lang w:val="es-ES"/>
              </w:rPr>
            </w:pPr>
            <w:bookmarkStart w:id="0" w:name="Addressee_S"/>
            <w:bookmarkEnd w:id="0"/>
            <w:r w:rsidRPr="00317100">
              <w:rPr>
                <w:rFonts w:cstheme="minorHAnsi"/>
                <w:sz w:val="22"/>
                <w:szCs w:val="22"/>
                <w:lang w:val="es-ES"/>
              </w:rPr>
              <w:t>A:</w:t>
            </w:r>
          </w:p>
          <w:p w14:paraId="309E5E90" w14:textId="52E195C0" w:rsidR="002205D9" w:rsidRPr="00317100" w:rsidRDefault="002205D9" w:rsidP="00B510D9">
            <w:pPr>
              <w:tabs>
                <w:tab w:val="clear" w:pos="794"/>
                <w:tab w:val="left" w:pos="396"/>
              </w:tabs>
              <w:spacing w:before="20" w:after="20"/>
              <w:ind w:left="396" w:hanging="396"/>
              <w:rPr>
                <w:rFonts w:cstheme="minorHAnsi"/>
                <w:sz w:val="22"/>
                <w:szCs w:val="22"/>
                <w:lang w:val="es-ES"/>
              </w:rPr>
            </w:pPr>
            <w:r w:rsidRPr="00317100">
              <w:rPr>
                <w:rFonts w:cstheme="minorHAnsi"/>
                <w:sz w:val="22"/>
                <w:szCs w:val="22"/>
                <w:lang w:val="es-ES"/>
              </w:rPr>
              <w:t>–</w:t>
            </w:r>
            <w:r w:rsidRPr="00317100">
              <w:rPr>
                <w:rFonts w:cstheme="minorHAnsi"/>
                <w:sz w:val="22"/>
                <w:szCs w:val="22"/>
                <w:lang w:val="es-ES"/>
              </w:rPr>
              <w:tab/>
              <w:t>las Administraciones de los Estados Miembros de la Unión</w:t>
            </w:r>
            <w:r w:rsidR="00B510D9" w:rsidRPr="00317100">
              <w:rPr>
                <w:rFonts w:cstheme="minorHAnsi"/>
                <w:sz w:val="22"/>
                <w:szCs w:val="22"/>
                <w:lang w:val="es-ES"/>
              </w:rPr>
              <w:t>;</w:t>
            </w:r>
          </w:p>
          <w:p w14:paraId="469E83AB" w14:textId="77777777" w:rsidR="002205D9" w:rsidRPr="00317100" w:rsidRDefault="002205D9" w:rsidP="00B510D9">
            <w:pPr>
              <w:tabs>
                <w:tab w:val="clear" w:pos="794"/>
                <w:tab w:val="left" w:pos="396"/>
              </w:tabs>
              <w:spacing w:before="20" w:after="20"/>
              <w:rPr>
                <w:rFonts w:cstheme="minorHAnsi"/>
                <w:sz w:val="22"/>
                <w:szCs w:val="22"/>
                <w:lang w:val="es-ES"/>
              </w:rPr>
            </w:pPr>
            <w:r w:rsidRPr="00317100">
              <w:rPr>
                <w:rFonts w:cstheme="minorHAnsi"/>
                <w:sz w:val="22"/>
                <w:szCs w:val="22"/>
                <w:lang w:val="es-ES"/>
              </w:rPr>
              <w:t>–</w:t>
            </w:r>
            <w:r w:rsidRPr="00317100">
              <w:rPr>
                <w:rFonts w:cstheme="minorHAnsi"/>
                <w:sz w:val="22"/>
                <w:szCs w:val="22"/>
                <w:lang w:val="es-ES"/>
              </w:rPr>
              <w:tab/>
              <w:t>los Miembros de Sector del UIT</w:t>
            </w:r>
            <w:r w:rsidRPr="00317100">
              <w:rPr>
                <w:rFonts w:cstheme="minorHAnsi"/>
                <w:sz w:val="22"/>
                <w:szCs w:val="22"/>
                <w:lang w:val="es-ES"/>
              </w:rPr>
              <w:noBreakHyphen/>
              <w:t>T;</w:t>
            </w:r>
          </w:p>
          <w:p w14:paraId="4A2E0A4B" w14:textId="77777777" w:rsidR="002205D9" w:rsidRPr="00317100" w:rsidRDefault="002205D9" w:rsidP="00B510D9">
            <w:pPr>
              <w:tabs>
                <w:tab w:val="clear" w:pos="794"/>
                <w:tab w:val="left" w:pos="396"/>
              </w:tabs>
              <w:spacing w:before="20" w:after="20"/>
              <w:rPr>
                <w:rFonts w:cstheme="minorHAnsi"/>
                <w:sz w:val="22"/>
                <w:szCs w:val="22"/>
                <w:lang w:val="es-ES"/>
              </w:rPr>
            </w:pPr>
            <w:r w:rsidRPr="00317100">
              <w:rPr>
                <w:rFonts w:cstheme="minorHAnsi"/>
                <w:sz w:val="22"/>
                <w:szCs w:val="22"/>
                <w:lang w:val="es-ES"/>
              </w:rPr>
              <w:t>–</w:t>
            </w:r>
            <w:r w:rsidRPr="00317100">
              <w:rPr>
                <w:rFonts w:cstheme="minorHAnsi"/>
                <w:sz w:val="22"/>
                <w:szCs w:val="22"/>
                <w:lang w:val="es-ES"/>
              </w:rPr>
              <w:tab/>
              <w:t>los Asociados del UIT</w:t>
            </w:r>
            <w:r w:rsidRPr="00317100">
              <w:rPr>
                <w:rFonts w:cstheme="minorHAnsi"/>
                <w:sz w:val="22"/>
                <w:szCs w:val="22"/>
                <w:lang w:val="es-ES"/>
              </w:rPr>
              <w:noBreakHyphen/>
              <w:t>T;</w:t>
            </w:r>
          </w:p>
          <w:p w14:paraId="634DAA8C" w14:textId="77777777" w:rsidR="002205D9" w:rsidRPr="00317100" w:rsidRDefault="002205D9" w:rsidP="00B510D9">
            <w:pPr>
              <w:tabs>
                <w:tab w:val="clear" w:pos="794"/>
                <w:tab w:val="left" w:pos="396"/>
              </w:tabs>
              <w:spacing w:before="20" w:after="20"/>
              <w:rPr>
                <w:rFonts w:cstheme="minorHAnsi"/>
                <w:sz w:val="22"/>
                <w:szCs w:val="22"/>
                <w:lang w:val="es-ES"/>
              </w:rPr>
            </w:pPr>
            <w:r w:rsidRPr="00317100">
              <w:rPr>
                <w:rFonts w:cstheme="minorHAnsi"/>
                <w:sz w:val="22"/>
                <w:szCs w:val="22"/>
                <w:lang w:val="es-ES"/>
              </w:rPr>
              <w:t>–</w:t>
            </w:r>
            <w:r w:rsidRPr="00317100">
              <w:rPr>
                <w:rFonts w:cstheme="minorHAnsi"/>
                <w:sz w:val="22"/>
                <w:szCs w:val="22"/>
                <w:lang w:val="es-ES"/>
              </w:rPr>
              <w:tab/>
              <w:t>las Instituciones Académicas de la UIT</w:t>
            </w:r>
          </w:p>
          <w:p w14:paraId="3594ABC1" w14:textId="77777777" w:rsidR="002205D9" w:rsidRPr="00317100" w:rsidRDefault="002205D9" w:rsidP="002205D9">
            <w:pPr>
              <w:spacing w:before="20" w:after="20"/>
              <w:rPr>
                <w:rFonts w:cstheme="minorHAnsi"/>
                <w:sz w:val="22"/>
                <w:szCs w:val="22"/>
                <w:lang w:val="es-ES"/>
              </w:rPr>
            </w:pPr>
            <w:r w:rsidRPr="00317100">
              <w:rPr>
                <w:rFonts w:cstheme="minorHAnsi"/>
                <w:b/>
                <w:sz w:val="22"/>
                <w:szCs w:val="22"/>
                <w:lang w:val="es-ES"/>
              </w:rPr>
              <w:t>Copia:</w:t>
            </w:r>
          </w:p>
          <w:p w14:paraId="238DDE5C" w14:textId="2BC5FADA" w:rsidR="002205D9" w:rsidRPr="00317100" w:rsidRDefault="002205D9" w:rsidP="00B510D9">
            <w:pPr>
              <w:tabs>
                <w:tab w:val="clear" w:pos="794"/>
                <w:tab w:val="left" w:pos="396"/>
              </w:tabs>
              <w:spacing w:before="20" w:after="20"/>
              <w:ind w:left="396" w:hanging="396"/>
              <w:rPr>
                <w:rFonts w:cstheme="minorHAnsi"/>
                <w:sz w:val="22"/>
                <w:szCs w:val="22"/>
                <w:lang w:val="es-ES"/>
              </w:rPr>
            </w:pPr>
            <w:r w:rsidRPr="00317100">
              <w:rPr>
                <w:rFonts w:cstheme="minorHAnsi"/>
                <w:sz w:val="22"/>
                <w:szCs w:val="22"/>
                <w:lang w:val="es-ES"/>
              </w:rPr>
              <w:t>–</w:t>
            </w:r>
            <w:r w:rsidRPr="00317100">
              <w:rPr>
                <w:rFonts w:cstheme="minorHAnsi"/>
                <w:sz w:val="22"/>
                <w:szCs w:val="22"/>
                <w:lang w:val="es-ES"/>
              </w:rPr>
              <w:tab/>
            </w:r>
            <w:r w:rsidR="00B510D9" w:rsidRPr="00317100">
              <w:rPr>
                <w:rFonts w:cstheme="minorHAnsi"/>
                <w:sz w:val="22"/>
                <w:szCs w:val="22"/>
                <w:lang w:val="es-ES"/>
              </w:rPr>
              <w:t>a</w:t>
            </w:r>
            <w:r w:rsidRPr="00317100">
              <w:rPr>
                <w:rFonts w:cstheme="minorHAnsi"/>
                <w:sz w:val="22"/>
                <w:szCs w:val="22"/>
                <w:lang w:val="es-ES"/>
              </w:rPr>
              <w:t xml:space="preserve"> los Presidentes y a los Vicepresidentes de las</w:t>
            </w:r>
            <w:r w:rsidRPr="00317100">
              <w:rPr>
                <w:rFonts w:cstheme="minorHAnsi"/>
                <w:sz w:val="22"/>
                <w:szCs w:val="22"/>
                <w:lang w:val="es-ES"/>
              </w:rPr>
              <w:br/>
              <w:t>Comisiones de Estudio;</w:t>
            </w:r>
          </w:p>
          <w:p w14:paraId="149841B2" w14:textId="48FA15B8" w:rsidR="002205D9" w:rsidRPr="00317100" w:rsidRDefault="002205D9" w:rsidP="00B510D9">
            <w:pPr>
              <w:tabs>
                <w:tab w:val="clear" w:pos="794"/>
                <w:tab w:val="left" w:pos="396"/>
              </w:tabs>
              <w:spacing w:before="20" w:after="20"/>
              <w:ind w:left="396" w:hanging="396"/>
              <w:rPr>
                <w:rFonts w:cstheme="minorHAnsi"/>
                <w:sz w:val="22"/>
                <w:szCs w:val="22"/>
                <w:lang w:val="es-ES"/>
              </w:rPr>
            </w:pPr>
            <w:r w:rsidRPr="00317100">
              <w:rPr>
                <w:rFonts w:cstheme="minorHAnsi"/>
                <w:sz w:val="22"/>
                <w:szCs w:val="22"/>
                <w:lang w:val="es-ES"/>
              </w:rPr>
              <w:t>–</w:t>
            </w:r>
            <w:r w:rsidRPr="00317100">
              <w:rPr>
                <w:rFonts w:cstheme="minorHAnsi"/>
                <w:sz w:val="22"/>
                <w:szCs w:val="22"/>
                <w:lang w:val="es-ES"/>
              </w:rPr>
              <w:tab/>
            </w:r>
            <w:r w:rsidR="00B510D9" w:rsidRPr="00317100">
              <w:rPr>
                <w:rFonts w:cstheme="minorHAnsi"/>
                <w:sz w:val="22"/>
                <w:szCs w:val="22"/>
                <w:lang w:val="es-ES"/>
              </w:rPr>
              <w:t>a</w:t>
            </w:r>
            <w:r w:rsidRPr="00317100">
              <w:rPr>
                <w:rFonts w:cstheme="minorHAnsi"/>
                <w:sz w:val="22"/>
                <w:szCs w:val="22"/>
                <w:lang w:val="es-ES"/>
              </w:rPr>
              <w:t>l Director de la Oficina de Desarrollo de las Telecomunicaciones;</w:t>
            </w:r>
          </w:p>
          <w:p w14:paraId="301D0E13" w14:textId="1243BE0B" w:rsidR="002205D9" w:rsidRPr="00317100" w:rsidRDefault="002205D9" w:rsidP="00B510D9">
            <w:pPr>
              <w:tabs>
                <w:tab w:val="clear" w:pos="794"/>
                <w:tab w:val="left" w:pos="396"/>
              </w:tabs>
              <w:spacing w:before="20" w:after="20"/>
              <w:ind w:left="396" w:hanging="396"/>
              <w:rPr>
                <w:rFonts w:cstheme="minorHAnsi"/>
                <w:sz w:val="22"/>
                <w:szCs w:val="22"/>
                <w:lang w:val="es-ES"/>
              </w:rPr>
            </w:pPr>
            <w:r w:rsidRPr="00317100">
              <w:rPr>
                <w:rFonts w:cstheme="minorHAnsi"/>
                <w:sz w:val="22"/>
                <w:szCs w:val="22"/>
                <w:lang w:val="es-ES"/>
              </w:rPr>
              <w:t>–</w:t>
            </w:r>
            <w:r w:rsidRPr="00317100">
              <w:rPr>
                <w:rFonts w:cstheme="minorHAnsi"/>
                <w:sz w:val="22"/>
                <w:szCs w:val="22"/>
                <w:lang w:val="es-ES"/>
              </w:rPr>
              <w:tab/>
            </w:r>
            <w:r w:rsidR="00B510D9" w:rsidRPr="00317100">
              <w:rPr>
                <w:rFonts w:cstheme="minorHAnsi"/>
                <w:sz w:val="22"/>
                <w:szCs w:val="22"/>
                <w:lang w:val="es-ES"/>
              </w:rPr>
              <w:t>a</w:t>
            </w:r>
            <w:r w:rsidRPr="00317100">
              <w:rPr>
                <w:rFonts w:cstheme="minorHAnsi"/>
                <w:sz w:val="22"/>
                <w:szCs w:val="22"/>
                <w:lang w:val="es-ES"/>
              </w:rPr>
              <w:t>l Director de la Oficina de Radiocomunicaciones;</w:t>
            </w:r>
          </w:p>
          <w:p w14:paraId="4559A533" w14:textId="13C527B0" w:rsidR="001350B9" w:rsidRPr="00317100" w:rsidRDefault="002205D9" w:rsidP="00B510D9">
            <w:pPr>
              <w:tabs>
                <w:tab w:val="clear" w:pos="794"/>
                <w:tab w:val="left" w:pos="396"/>
              </w:tabs>
              <w:spacing w:before="20" w:after="20"/>
              <w:ind w:left="396" w:hanging="396"/>
              <w:rPr>
                <w:rFonts w:cstheme="minorHAnsi"/>
                <w:sz w:val="22"/>
                <w:szCs w:val="22"/>
              </w:rPr>
            </w:pPr>
            <w:r w:rsidRPr="00317100">
              <w:rPr>
                <w:rFonts w:cstheme="minorHAnsi"/>
                <w:sz w:val="22"/>
                <w:szCs w:val="22"/>
                <w:lang w:val="es-ES"/>
              </w:rPr>
              <w:t>–</w:t>
            </w:r>
            <w:r w:rsidRPr="00317100">
              <w:rPr>
                <w:rFonts w:cstheme="minorHAnsi"/>
                <w:sz w:val="22"/>
                <w:szCs w:val="22"/>
                <w:lang w:val="es-ES"/>
              </w:rPr>
              <w:tab/>
            </w:r>
            <w:r w:rsidR="00B510D9" w:rsidRPr="00317100">
              <w:rPr>
                <w:rFonts w:cstheme="minorHAnsi"/>
                <w:sz w:val="22"/>
                <w:szCs w:val="22"/>
                <w:lang w:val="es-ES"/>
              </w:rPr>
              <w:t>a</w:t>
            </w:r>
            <w:r w:rsidRPr="00317100">
              <w:rPr>
                <w:rFonts w:cstheme="minorHAnsi"/>
                <w:sz w:val="22"/>
                <w:szCs w:val="22"/>
                <w:lang w:val="es-ES"/>
              </w:rPr>
              <w:t xml:space="preserve"> los Directores de las Oficinas </w:t>
            </w:r>
            <w:r w:rsidR="007C7B06" w:rsidRPr="00317100">
              <w:rPr>
                <w:rFonts w:cstheme="minorHAnsi"/>
                <w:sz w:val="22"/>
                <w:szCs w:val="22"/>
                <w:lang w:val="es-ES"/>
              </w:rPr>
              <w:t xml:space="preserve">Regionales </w:t>
            </w:r>
            <w:r w:rsidRPr="00317100">
              <w:rPr>
                <w:rFonts w:cstheme="minorHAnsi"/>
                <w:sz w:val="22"/>
                <w:szCs w:val="22"/>
                <w:lang w:val="es-ES"/>
              </w:rPr>
              <w:t>de la</w:t>
            </w:r>
            <w:r w:rsidR="00B510D9" w:rsidRPr="00317100">
              <w:rPr>
                <w:rFonts w:cstheme="minorHAnsi"/>
                <w:sz w:val="22"/>
                <w:szCs w:val="22"/>
                <w:lang w:val="es-ES"/>
              </w:rPr>
              <w:t> </w:t>
            </w:r>
            <w:r w:rsidRPr="00317100">
              <w:rPr>
                <w:rFonts w:cstheme="minorHAnsi"/>
                <w:sz w:val="22"/>
                <w:szCs w:val="22"/>
                <w:lang w:val="es-ES"/>
              </w:rPr>
              <w:t>UIT</w:t>
            </w:r>
          </w:p>
        </w:tc>
      </w:tr>
      <w:tr w:rsidR="00B510D9" w:rsidRPr="00317100" w14:paraId="7F2A8E70" w14:textId="77777777" w:rsidTr="00B510D9">
        <w:trPr>
          <w:cantSplit/>
          <w:trHeight w:val="340"/>
        </w:trPr>
        <w:tc>
          <w:tcPr>
            <w:tcW w:w="1410" w:type="dxa"/>
          </w:tcPr>
          <w:p w14:paraId="10CD130E" w14:textId="7F902E5D" w:rsidR="00B510D9" w:rsidRPr="00317100" w:rsidRDefault="00B510D9" w:rsidP="002205D9">
            <w:pPr>
              <w:spacing w:before="20" w:after="20"/>
              <w:rPr>
                <w:rFonts w:cstheme="minorHAnsi"/>
                <w:sz w:val="22"/>
                <w:szCs w:val="22"/>
              </w:rPr>
            </w:pPr>
            <w:r w:rsidRPr="00317100">
              <w:rPr>
                <w:rFonts w:cstheme="minorHAnsi"/>
                <w:sz w:val="22"/>
                <w:szCs w:val="22"/>
              </w:rPr>
              <w:t>Contacto:</w:t>
            </w:r>
          </w:p>
        </w:tc>
        <w:tc>
          <w:tcPr>
            <w:tcW w:w="3467" w:type="dxa"/>
          </w:tcPr>
          <w:p w14:paraId="2660BAC2" w14:textId="2F8CC310" w:rsidR="00B510D9" w:rsidRPr="00317100" w:rsidRDefault="00B510D9" w:rsidP="002205D9">
            <w:pPr>
              <w:spacing w:before="20" w:after="20"/>
              <w:rPr>
                <w:rFonts w:cstheme="minorHAnsi"/>
                <w:b/>
                <w:bCs/>
                <w:sz w:val="22"/>
                <w:szCs w:val="22"/>
                <w:lang w:val="en-GB"/>
              </w:rPr>
            </w:pPr>
            <w:r w:rsidRPr="00317100">
              <w:rPr>
                <w:rFonts w:cstheme="minorHAnsi"/>
                <w:b/>
                <w:bCs/>
                <w:sz w:val="22"/>
                <w:szCs w:val="22"/>
                <w:lang w:val="en-GB"/>
              </w:rPr>
              <w:t>Xiaoya Yang</w:t>
            </w:r>
          </w:p>
        </w:tc>
        <w:tc>
          <w:tcPr>
            <w:tcW w:w="5329" w:type="dxa"/>
            <w:vMerge/>
          </w:tcPr>
          <w:p w14:paraId="67E96091" w14:textId="77777777" w:rsidR="00B510D9" w:rsidRPr="00317100" w:rsidRDefault="00B510D9" w:rsidP="002205D9">
            <w:pPr>
              <w:spacing w:before="20" w:after="20"/>
              <w:rPr>
                <w:rFonts w:cstheme="minorHAnsi"/>
                <w:sz w:val="22"/>
                <w:szCs w:val="22"/>
                <w:lang w:val="es-ES"/>
              </w:rPr>
            </w:pPr>
          </w:p>
        </w:tc>
      </w:tr>
      <w:tr w:rsidR="001350B9" w:rsidRPr="00317100" w14:paraId="66D1BBEB" w14:textId="77777777" w:rsidTr="00B510D9">
        <w:trPr>
          <w:cantSplit/>
        </w:trPr>
        <w:tc>
          <w:tcPr>
            <w:tcW w:w="1410" w:type="dxa"/>
          </w:tcPr>
          <w:p w14:paraId="3B99421F" w14:textId="77777777" w:rsidR="001350B9" w:rsidRPr="00317100" w:rsidRDefault="001350B9" w:rsidP="002205D9">
            <w:pPr>
              <w:spacing w:before="20" w:after="20"/>
              <w:rPr>
                <w:rFonts w:cstheme="minorHAnsi"/>
                <w:sz w:val="22"/>
                <w:szCs w:val="22"/>
              </w:rPr>
            </w:pPr>
            <w:r w:rsidRPr="00317100">
              <w:rPr>
                <w:rFonts w:cstheme="minorHAnsi"/>
                <w:sz w:val="22"/>
                <w:szCs w:val="22"/>
              </w:rPr>
              <w:t>Tel.:</w:t>
            </w:r>
          </w:p>
        </w:tc>
        <w:tc>
          <w:tcPr>
            <w:tcW w:w="3467" w:type="dxa"/>
          </w:tcPr>
          <w:p w14:paraId="018A64CD" w14:textId="580B0F1B" w:rsidR="001350B9" w:rsidRPr="00317100" w:rsidRDefault="00B510D9" w:rsidP="002205D9">
            <w:pPr>
              <w:spacing w:before="20" w:after="20"/>
              <w:rPr>
                <w:rFonts w:cstheme="minorHAnsi"/>
                <w:sz w:val="22"/>
                <w:szCs w:val="22"/>
              </w:rPr>
            </w:pPr>
            <w:r w:rsidRPr="00317100">
              <w:rPr>
                <w:rFonts w:cstheme="minorHAnsi"/>
                <w:sz w:val="22"/>
                <w:szCs w:val="22"/>
              </w:rPr>
              <w:t>+41 22 730 6206</w:t>
            </w:r>
          </w:p>
        </w:tc>
        <w:tc>
          <w:tcPr>
            <w:tcW w:w="5329" w:type="dxa"/>
            <w:vMerge/>
          </w:tcPr>
          <w:p w14:paraId="3549AF2A" w14:textId="77777777" w:rsidR="001350B9" w:rsidRPr="00317100" w:rsidRDefault="001350B9" w:rsidP="00303D62">
            <w:pPr>
              <w:tabs>
                <w:tab w:val="left" w:pos="226"/>
                <w:tab w:val="left" w:pos="510"/>
              </w:tabs>
              <w:spacing w:before="0"/>
              <w:ind w:left="226" w:hanging="169"/>
              <w:rPr>
                <w:rFonts w:cstheme="minorHAnsi"/>
                <w:b/>
                <w:sz w:val="22"/>
                <w:szCs w:val="22"/>
              </w:rPr>
            </w:pPr>
          </w:p>
        </w:tc>
      </w:tr>
      <w:tr w:rsidR="001350B9" w:rsidRPr="00317100" w14:paraId="1DADDE00" w14:textId="77777777" w:rsidTr="00B510D9">
        <w:trPr>
          <w:cantSplit/>
        </w:trPr>
        <w:tc>
          <w:tcPr>
            <w:tcW w:w="1410" w:type="dxa"/>
          </w:tcPr>
          <w:p w14:paraId="17230DAA" w14:textId="77777777" w:rsidR="001350B9" w:rsidRPr="00317100" w:rsidRDefault="001350B9" w:rsidP="002205D9">
            <w:pPr>
              <w:spacing w:before="20" w:after="20"/>
              <w:rPr>
                <w:rFonts w:cstheme="minorHAnsi"/>
                <w:sz w:val="22"/>
                <w:szCs w:val="22"/>
              </w:rPr>
            </w:pPr>
            <w:r w:rsidRPr="00317100">
              <w:rPr>
                <w:rFonts w:cstheme="minorHAnsi"/>
                <w:sz w:val="22"/>
                <w:szCs w:val="22"/>
              </w:rPr>
              <w:t>Fax:</w:t>
            </w:r>
          </w:p>
        </w:tc>
        <w:tc>
          <w:tcPr>
            <w:tcW w:w="3467" w:type="dxa"/>
          </w:tcPr>
          <w:p w14:paraId="36CFE21D" w14:textId="3F53358D" w:rsidR="001350B9" w:rsidRPr="00317100" w:rsidRDefault="00B510D9" w:rsidP="002205D9">
            <w:pPr>
              <w:spacing w:before="20" w:after="20"/>
              <w:rPr>
                <w:rFonts w:cstheme="minorHAnsi"/>
                <w:sz w:val="22"/>
                <w:szCs w:val="22"/>
              </w:rPr>
            </w:pPr>
            <w:r w:rsidRPr="00317100">
              <w:rPr>
                <w:rFonts w:cstheme="minorHAnsi"/>
                <w:sz w:val="22"/>
                <w:szCs w:val="22"/>
              </w:rPr>
              <w:t>+41 22 730 5853</w:t>
            </w:r>
          </w:p>
        </w:tc>
        <w:tc>
          <w:tcPr>
            <w:tcW w:w="5329" w:type="dxa"/>
            <w:vMerge/>
          </w:tcPr>
          <w:p w14:paraId="60224494" w14:textId="77777777" w:rsidR="001350B9" w:rsidRPr="00317100" w:rsidRDefault="001350B9" w:rsidP="00303D62">
            <w:pPr>
              <w:tabs>
                <w:tab w:val="left" w:pos="226"/>
                <w:tab w:val="left" w:pos="510"/>
              </w:tabs>
              <w:spacing w:before="0"/>
              <w:ind w:left="226" w:hanging="169"/>
              <w:rPr>
                <w:rFonts w:cstheme="minorHAnsi"/>
                <w:b/>
                <w:sz w:val="22"/>
                <w:szCs w:val="22"/>
              </w:rPr>
            </w:pPr>
          </w:p>
        </w:tc>
      </w:tr>
      <w:tr w:rsidR="001350B9" w:rsidRPr="00317100" w14:paraId="6CE7FB9B" w14:textId="77777777" w:rsidTr="00B510D9">
        <w:trPr>
          <w:cantSplit/>
        </w:trPr>
        <w:tc>
          <w:tcPr>
            <w:tcW w:w="1410" w:type="dxa"/>
          </w:tcPr>
          <w:p w14:paraId="322A5F9F" w14:textId="77777777" w:rsidR="001350B9" w:rsidRPr="00317100" w:rsidRDefault="001350B9" w:rsidP="002205D9">
            <w:pPr>
              <w:spacing w:before="20" w:after="20"/>
              <w:rPr>
                <w:rFonts w:cstheme="minorHAnsi"/>
                <w:sz w:val="22"/>
                <w:szCs w:val="22"/>
              </w:rPr>
            </w:pPr>
            <w:r w:rsidRPr="00317100">
              <w:rPr>
                <w:rFonts w:cstheme="minorHAnsi"/>
                <w:sz w:val="22"/>
                <w:szCs w:val="22"/>
              </w:rPr>
              <w:t>Correo-e:</w:t>
            </w:r>
          </w:p>
        </w:tc>
        <w:tc>
          <w:tcPr>
            <w:tcW w:w="3467" w:type="dxa"/>
          </w:tcPr>
          <w:p w14:paraId="1EA32464" w14:textId="2471C28E" w:rsidR="001350B9" w:rsidRPr="00317100" w:rsidRDefault="008F4151" w:rsidP="002205D9">
            <w:pPr>
              <w:spacing w:before="20" w:after="20"/>
              <w:rPr>
                <w:rFonts w:cstheme="minorHAnsi"/>
                <w:sz w:val="22"/>
                <w:szCs w:val="22"/>
              </w:rPr>
            </w:pPr>
            <w:hyperlink r:id="rId9" w:history="1">
              <w:r w:rsidR="00B510D9" w:rsidRPr="00317100">
                <w:rPr>
                  <w:rStyle w:val="Hyperlink"/>
                  <w:rFonts w:cstheme="minorHAnsi"/>
                  <w:sz w:val="22"/>
                  <w:szCs w:val="22"/>
                </w:rPr>
                <w:t>tsbevents@itu.int</w:t>
              </w:r>
            </w:hyperlink>
          </w:p>
        </w:tc>
        <w:tc>
          <w:tcPr>
            <w:tcW w:w="5329" w:type="dxa"/>
            <w:vMerge/>
          </w:tcPr>
          <w:p w14:paraId="73B7CAB2" w14:textId="77777777" w:rsidR="001350B9" w:rsidRPr="00317100" w:rsidRDefault="001350B9" w:rsidP="00303D62">
            <w:pPr>
              <w:tabs>
                <w:tab w:val="clear" w:pos="794"/>
                <w:tab w:val="clear" w:pos="1191"/>
                <w:tab w:val="clear" w:pos="1588"/>
                <w:tab w:val="clear" w:pos="1985"/>
                <w:tab w:val="left" w:pos="226"/>
                <w:tab w:val="left" w:pos="510"/>
              </w:tabs>
              <w:spacing w:before="0"/>
              <w:ind w:left="226" w:hanging="169"/>
              <w:rPr>
                <w:rFonts w:cstheme="minorHAnsi"/>
                <w:sz w:val="22"/>
                <w:szCs w:val="22"/>
              </w:rPr>
            </w:pPr>
          </w:p>
        </w:tc>
      </w:tr>
      <w:tr w:rsidR="007B6316" w:rsidRPr="00317100" w14:paraId="03823149" w14:textId="77777777" w:rsidTr="00B510D9">
        <w:trPr>
          <w:cantSplit/>
        </w:trPr>
        <w:tc>
          <w:tcPr>
            <w:tcW w:w="1410" w:type="dxa"/>
          </w:tcPr>
          <w:p w14:paraId="4FEA9867" w14:textId="77777777" w:rsidR="007B6316" w:rsidRPr="00317100" w:rsidRDefault="007B6316" w:rsidP="002205D9">
            <w:pPr>
              <w:rPr>
                <w:rFonts w:cstheme="minorHAnsi"/>
                <w:sz w:val="22"/>
                <w:szCs w:val="22"/>
              </w:rPr>
            </w:pPr>
            <w:r w:rsidRPr="00317100">
              <w:rPr>
                <w:rFonts w:cstheme="minorHAnsi"/>
                <w:sz w:val="22"/>
                <w:szCs w:val="22"/>
              </w:rPr>
              <w:t>Asunto:</w:t>
            </w:r>
          </w:p>
        </w:tc>
        <w:tc>
          <w:tcPr>
            <w:tcW w:w="8796" w:type="dxa"/>
            <w:gridSpan w:val="2"/>
          </w:tcPr>
          <w:p w14:paraId="75E59496" w14:textId="4E291D82" w:rsidR="007B6316" w:rsidRPr="00317100" w:rsidRDefault="00B510D9" w:rsidP="00B510D9">
            <w:pPr>
              <w:rPr>
                <w:rFonts w:cstheme="minorHAnsi"/>
                <w:sz w:val="22"/>
                <w:szCs w:val="22"/>
              </w:rPr>
            </w:pPr>
            <w:r w:rsidRPr="00317100">
              <w:rPr>
                <w:rFonts w:cstheme="minorHAnsi"/>
                <w:b/>
                <w:bCs/>
                <w:sz w:val="22"/>
                <w:szCs w:val="22"/>
                <w:lang w:val="es-ES"/>
              </w:rPr>
              <w:t xml:space="preserve">Taller de la UIT sobre IA generativa: Retos y oportunidades para la seguridad y la privacidad </w:t>
            </w:r>
            <w:r w:rsidRPr="00317100">
              <w:rPr>
                <w:rFonts w:cstheme="minorHAnsi"/>
                <w:b/>
                <w:sz w:val="22"/>
                <w:szCs w:val="22"/>
                <w:lang w:val="es-ES"/>
              </w:rPr>
              <w:t>(Ginebra (Suiza), 19 de febrero de 2024)</w:t>
            </w:r>
          </w:p>
        </w:tc>
      </w:tr>
    </w:tbl>
    <w:p w14:paraId="34A97B7C" w14:textId="77777777" w:rsidR="00C34772" w:rsidRPr="00317100" w:rsidRDefault="00C34772" w:rsidP="00B510D9">
      <w:pPr>
        <w:pStyle w:val="Normalaftertitle"/>
        <w:rPr>
          <w:rFonts w:cstheme="minorHAnsi"/>
          <w:sz w:val="22"/>
          <w:szCs w:val="22"/>
        </w:rPr>
      </w:pPr>
      <w:bookmarkStart w:id="1" w:name="StartTyping_S"/>
      <w:bookmarkStart w:id="2" w:name="suitetext"/>
      <w:bookmarkStart w:id="3" w:name="text"/>
      <w:bookmarkEnd w:id="1"/>
      <w:bookmarkEnd w:id="2"/>
      <w:bookmarkEnd w:id="3"/>
      <w:r w:rsidRPr="00317100">
        <w:rPr>
          <w:rFonts w:cstheme="minorHAnsi"/>
          <w:sz w:val="22"/>
          <w:szCs w:val="22"/>
        </w:rPr>
        <w:t>Muy Señora mía/Muy Señor mío:</w:t>
      </w:r>
    </w:p>
    <w:p w14:paraId="7CB0246D" w14:textId="52B1706E" w:rsidR="00B510D9" w:rsidRPr="00317100" w:rsidRDefault="00B510D9" w:rsidP="00B510D9">
      <w:pPr>
        <w:rPr>
          <w:rFonts w:cstheme="minorHAnsi"/>
          <w:sz w:val="22"/>
          <w:szCs w:val="22"/>
          <w:lang w:val="es-ES"/>
        </w:rPr>
      </w:pPr>
      <w:r w:rsidRPr="00317100">
        <w:rPr>
          <w:rFonts w:cstheme="minorHAnsi"/>
          <w:sz w:val="22"/>
          <w:szCs w:val="22"/>
          <w:lang w:val="es-ES"/>
        </w:rPr>
        <w:t>1</w:t>
      </w:r>
      <w:r w:rsidRPr="00317100">
        <w:rPr>
          <w:rFonts w:cstheme="minorHAnsi"/>
          <w:sz w:val="22"/>
          <w:szCs w:val="22"/>
          <w:lang w:val="es-ES"/>
        </w:rPr>
        <w:tab/>
        <w:t xml:space="preserve">Me complace informarle de que la Unión Internacional de Telecomunicaciones (UIT) está organizando un </w:t>
      </w:r>
      <w:r w:rsidRPr="00317100">
        <w:rPr>
          <w:rFonts w:cstheme="minorHAnsi"/>
          <w:b/>
          <w:bCs/>
          <w:sz w:val="22"/>
          <w:szCs w:val="22"/>
          <w:lang w:val="es-ES"/>
        </w:rPr>
        <w:t>Taller de la UIT sobre IA Generativa: Retos y oportunidades para la seguridad y la privacidad</w:t>
      </w:r>
      <w:r w:rsidRPr="00317100">
        <w:rPr>
          <w:rFonts w:cstheme="minorHAnsi"/>
          <w:sz w:val="22"/>
          <w:szCs w:val="22"/>
          <w:lang w:val="es-ES"/>
        </w:rPr>
        <w:t xml:space="preserve">, en la </w:t>
      </w:r>
      <w:r w:rsidR="007C7B06" w:rsidRPr="00317100">
        <w:rPr>
          <w:rFonts w:cstheme="minorHAnsi"/>
          <w:sz w:val="22"/>
          <w:szCs w:val="22"/>
          <w:lang w:val="es-ES"/>
        </w:rPr>
        <w:t xml:space="preserve">Sede </w:t>
      </w:r>
      <w:r w:rsidRPr="00317100">
        <w:rPr>
          <w:rFonts w:cstheme="minorHAnsi"/>
          <w:sz w:val="22"/>
          <w:szCs w:val="22"/>
          <w:lang w:val="es-ES"/>
        </w:rPr>
        <w:t xml:space="preserve">de la UIT en Ginebra (Suiza), el </w:t>
      </w:r>
      <w:r w:rsidRPr="00317100">
        <w:rPr>
          <w:rFonts w:cstheme="minorHAnsi"/>
          <w:b/>
          <w:bCs/>
          <w:sz w:val="22"/>
          <w:szCs w:val="22"/>
          <w:lang w:val="es-ES"/>
        </w:rPr>
        <w:t>19 de febrero de 2024</w:t>
      </w:r>
      <w:r w:rsidRPr="00317100">
        <w:rPr>
          <w:rFonts w:cstheme="minorHAnsi"/>
          <w:sz w:val="22"/>
          <w:szCs w:val="22"/>
          <w:lang w:val="es-ES"/>
        </w:rPr>
        <w:t xml:space="preserve">. Se dispondrá de participación a distancia para el </w:t>
      </w:r>
      <w:r w:rsidR="000E79B6" w:rsidRPr="00317100">
        <w:rPr>
          <w:rFonts w:cstheme="minorHAnsi"/>
          <w:sz w:val="22"/>
          <w:szCs w:val="22"/>
          <w:lang w:val="es-ES"/>
        </w:rPr>
        <w:t xml:space="preserve">Taller </w:t>
      </w:r>
      <w:r w:rsidRPr="00317100">
        <w:rPr>
          <w:rFonts w:cstheme="minorHAnsi"/>
          <w:sz w:val="22"/>
          <w:szCs w:val="22"/>
          <w:lang w:val="es-ES"/>
        </w:rPr>
        <w:t>que se celebrará únicamente en inglés.</w:t>
      </w:r>
    </w:p>
    <w:p w14:paraId="0C726CE0" w14:textId="7DD8A638" w:rsidR="00B510D9" w:rsidRPr="00317100" w:rsidRDefault="00B510D9" w:rsidP="00B510D9">
      <w:pPr>
        <w:rPr>
          <w:rFonts w:cstheme="minorHAnsi"/>
          <w:sz w:val="22"/>
          <w:szCs w:val="22"/>
          <w:lang w:val="es-ES"/>
        </w:rPr>
      </w:pPr>
      <w:r w:rsidRPr="00317100">
        <w:rPr>
          <w:rFonts w:cstheme="minorHAnsi"/>
          <w:sz w:val="22"/>
          <w:szCs w:val="22"/>
          <w:lang w:val="es-ES"/>
        </w:rPr>
        <w:t>2</w:t>
      </w:r>
      <w:r w:rsidRPr="00317100">
        <w:rPr>
          <w:rFonts w:cstheme="minorHAnsi"/>
          <w:sz w:val="22"/>
          <w:szCs w:val="22"/>
          <w:lang w:val="es-ES"/>
        </w:rPr>
        <w:tab/>
        <w:t xml:space="preserve">La IA generativa produce contenidos en diferentes formatos, como textos, imágenes, sonidos, animaciones, modelos 3D, entre otros, en respuesta a instrucciones de los usuarios. Esta versatilidad tiene una doble repercusión sobre la seguridad, ya que ofrece unas oportunidades interesantes y, al mismo tiempo, plantea unos retos específicos a los que hay que prestar una atención muy particular. Por un lado, la IA generativa puede mejorar las capacidades de seguridad; pero, sin embargo, también da más capacidades a los ciberdelincuentes al aumentar su escalabilidad y su sofisticación, además de reducir la barrera de entrada para los piratas informáticos. Los principales riesgos para la seguridad consisten en las alucinaciones, las falsificaciones de la información (en inglés, </w:t>
      </w:r>
      <w:r w:rsidRPr="00317100">
        <w:rPr>
          <w:rFonts w:cstheme="minorHAnsi"/>
          <w:i/>
          <w:iCs/>
          <w:sz w:val="22"/>
          <w:szCs w:val="22"/>
          <w:lang w:val="es-ES"/>
        </w:rPr>
        <w:t>deepfake</w:t>
      </w:r>
      <w:r w:rsidRPr="00317100">
        <w:rPr>
          <w:rFonts w:cstheme="minorHAnsi"/>
          <w:sz w:val="22"/>
          <w:szCs w:val="22"/>
          <w:lang w:val="es-ES"/>
        </w:rPr>
        <w:t>) y la violación de los derechos de autor. Además, la IA generativa presenta amenazas para la privacidad de los datos, como la violación de los mismos, una anonimización inadecuada, el intercambio de datos no autorizado, los sesgos, la falta de consentimiento y de transparencia, y la conservación inadecuada de los datos. Es fundamental disponer de medidas globales de seguridad y privacidad para hacer frente a estos problemas de manera eficaz.</w:t>
      </w:r>
    </w:p>
    <w:p w14:paraId="1CC789D8" w14:textId="0BBF24FF" w:rsidR="00B510D9" w:rsidRPr="00317100" w:rsidRDefault="00B510D9" w:rsidP="007C7B06">
      <w:pPr>
        <w:keepNext/>
        <w:keepLines/>
        <w:rPr>
          <w:rFonts w:cstheme="minorHAnsi"/>
          <w:sz w:val="22"/>
          <w:szCs w:val="22"/>
          <w:lang w:val="es-ES"/>
        </w:rPr>
      </w:pPr>
      <w:r w:rsidRPr="00317100">
        <w:rPr>
          <w:rFonts w:cstheme="minorHAnsi"/>
          <w:sz w:val="22"/>
          <w:szCs w:val="22"/>
          <w:lang w:val="es-ES"/>
        </w:rPr>
        <w:t>3</w:t>
      </w:r>
      <w:r w:rsidRPr="00317100">
        <w:rPr>
          <w:rFonts w:cstheme="minorHAnsi"/>
          <w:sz w:val="22"/>
          <w:szCs w:val="22"/>
          <w:lang w:val="es-ES"/>
        </w:rPr>
        <w:tab/>
        <w:t xml:space="preserve">Entre los objetivos del </w:t>
      </w:r>
      <w:r w:rsidR="000E79B6" w:rsidRPr="00317100">
        <w:rPr>
          <w:rFonts w:cstheme="minorHAnsi"/>
          <w:sz w:val="22"/>
          <w:szCs w:val="22"/>
          <w:lang w:val="es-ES"/>
        </w:rPr>
        <w:t xml:space="preserve">Taller </w:t>
      </w:r>
      <w:r w:rsidRPr="00317100">
        <w:rPr>
          <w:rFonts w:cstheme="minorHAnsi"/>
          <w:sz w:val="22"/>
          <w:szCs w:val="22"/>
          <w:lang w:val="es-ES"/>
        </w:rPr>
        <w:t>figuran:</w:t>
      </w:r>
    </w:p>
    <w:p w14:paraId="2DFFED59" w14:textId="47B23C36" w:rsidR="00B510D9" w:rsidRPr="00317100" w:rsidRDefault="00B510D9" w:rsidP="00B510D9">
      <w:pPr>
        <w:pStyle w:val="enumlev1"/>
        <w:rPr>
          <w:rFonts w:cstheme="minorHAnsi"/>
          <w:sz w:val="22"/>
          <w:szCs w:val="22"/>
          <w:lang w:val="es-ES"/>
        </w:rPr>
      </w:pPr>
      <w:r w:rsidRPr="00317100">
        <w:rPr>
          <w:rFonts w:cstheme="minorHAnsi"/>
          <w:sz w:val="22"/>
          <w:szCs w:val="22"/>
          <w:lang w:val="es-ES"/>
        </w:rPr>
        <w:t>–</w:t>
      </w:r>
      <w:r w:rsidRPr="00317100">
        <w:rPr>
          <w:rFonts w:cstheme="minorHAnsi"/>
          <w:sz w:val="22"/>
          <w:szCs w:val="22"/>
          <w:lang w:val="es-ES"/>
        </w:rPr>
        <w:tab/>
      </w:r>
      <w:r w:rsidR="007C7B06" w:rsidRPr="00317100">
        <w:rPr>
          <w:rFonts w:cstheme="minorHAnsi"/>
          <w:sz w:val="22"/>
          <w:szCs w:val="22"/>
          <w:lang w:val="es-ES"/>
        </w:rPr>
        <w:t>i</w:t>
      </w:r>
      <w:r w:rsidRPr="00317100">
        <w:rPr>
          <w:rFonts w:cstheme="minorHAnsi"/>
          <w:sz w:val="22"/>
          <w:szCs w:val="22"/>
          <w:lang w:val="es-ES"/>
        </w:rPr>
        <w:t>dentificar y proporcionar una visión completa de los beneficios, así como de los riesgos para la seguridad y la privacidad asociados con las aplicaciones basadas en la IA generativa;</w:t>
      </w:r>
    </w:p>
    <w:p w14:paraId="4E414CEB" w14:textId="1BBCD1EA" w:rsidR="00B510D9" w:rsidRPr="00317100" w:rsidRDefault="00B510D9" w:rsidP="00B510D9">
      <w:pPr>
        <w:pStyle w:val="enumlev1"/>
        <w:rPr>
          <w:rFonts w:cstheme="minorHAnsi"/>
          <w:sz w:val="22"/>
          <w:szCs w:val="22"/>
          <w:lang w:val="es-ES"/>
        </w:rPr>
      </w:pPr>
      <w:r w:rsidRPr="00317100">
        <w:rPr>
          <w:rFonts w:cstheme="minorHAnsi"/>
          <w:sz w:val="22"/>
          <w:szCs w:val="22"/>
          <w:lang w:val="es-ES"/>
        </w:rPr>
        <w:t>–</w:t>
      </w:r>
      <w:r w:rsidRPr="00317100">
        <w:rPr>
          <w:rFonts w:cstheme="minorHAnsi"/>
          <w:sz w:val="22"/>
          <w:szCs w:val="22"/>
          <w:lang w:val="es-ES"/>
        </w:rPr>
        <w:tab/>
        <w:t>identificar medidas técnicas y organizativas de control de la seguridad y la privacidad para reducir los riesgos identificados;</w:t>
      </w:r>
    </w:p>
    <w:p w14:paraId="3A30A831" w14:textId="48B3F62B" w:rsidR="00B510D9" w:rsidRPr="00317100" w:rsidRDefault="00B510D9" w:rsidP="00B510D9">
      <w:pPr>
        <w:pStyle w:val="enumlev1"/>
        <w:rPr>
          <w:rFonts w:cstheme="minorHAnsi"/>
          <w:sz w:val="22"/>
          <w:szCs w:val="22"/>
          <w:lang w:val="es-ES"/>
        </w:rPr>
      </w:pPr>
      <w:r w:rsidRPr="00317100">
        <w:rPr>
          <w:rFonts w:cstheme="minorHAnsi"/>
          <w:sz w:val="22"/>
          <w:szCs w:val="22"/>
          <w:lang w:val="es-ES"/>
        </w:rPr>
        <w:t>–</w:t>
      </w:r>
      <w:r w:rsidRPr="00317100">
        <w:rPr>
          <w:rFonts w:cstheme="minorHAnsi"/>
          <w:sz w:val="22"/>
          <w:szCs w:val="22"/>
          <w:lang w:val="es-ES"/>
        </w:rPr>
        <w:tab/>
        <w:t>facilitar los intercambios sobre las actividades en curso en las organizaciones de normalización y en otras organizaciones relevantes en relación con la seguridad y la privacidad de las aplicaciones basadas en la IA generativa; e</w:t>
      </w:r>
    </w:p>
    <w:p w14:paraId="77B12AF3" w14:textId="3AF7B0E1" w:rsidR="00B510D9" w:rsidRPr="00317100" w:rsidRDefault="00B510D9" w:rsidP="00B510D9">
      <w:pPr>
        <w:pStyle w:val="enumlev1"/>
        <w:rPr>
          <w:rFonts w:cstheme="minorHAnsi"/>
          <w:sz w:val="22"/>
          <w:szCs w:val="22"/>
          <w:lang w:val="es-ES"/>
        </w:rPr>
      </w:pPr>
      <w:r w:rsidRPr="00317100">
        <w:rPr>
          <w:rFonts w:cstheme="minorHAnsi"/>
          <w:sz w:val="22"/>
          <w:szCs w:val="22"/>
          <w:lang w:val="es-ES"/>
        </w:rPr>
        <w:t>–</w:t>
      </w:r>
      <w:r w:rsidRPr="00317100">
        <w:rPr>
          <w:rFonts w:cstheme="minorHAnsi"/>
          <w:sz w:val="22"/>
          <w:szCs w:val="22"/>
          <w:lang w:val="es-ES"/>
        </w:rPr>
        <w:tab/>
        <w:t>identificar posibles futuras líneas de trabajo de la Comisión de Estudio 17 del UIT-T en este ámbito.</w:t>
      </w:r>
    </w:p>
    <w:p w14:paraId="62C9B399" w14:textId="7CB0DE3D" w:rsidR="00B510D9" w:rsidRPr="00317100" w:rsidRDefault="00B510D9" w:rsidP="00B510D9">
      <w:pPr>
        <w:rPr>
          <w:rFonts w:cstheme="minorHAnsi"/>
          <w:sz w:val="22"/>
          <w:szCs w:val="22"/>
          <w:lang w:val="es-ES"/>
        </w:rPr>
      </w:pPr>
      <w:r w:rsidRPr="00317100">
        <w:rPr>
          <w:rFonts w:cstheme="minorHAnsi"/>
          <w:sz w:val="22"/>
          <w:szCs w:val="22"/>
          <w:lang w:val="es-ES"/>
        </w:rPr>
        <w:lastRenderedPageBreak/>
        <w:t>4</w:t>
      </w:r>
      <w:r w:rsidRPr="00317100">
        <w:rPr>
          <w:rFonts w:cstheme="minorHAnsi"/>
          <w:sz w:val="22"/>
          <w:szCs w:val="22"/>
          <w:lang w:val="es-ES"/>
        </w:rPr>
        <w:tab/>
        <w:t xml:space="preserve">La participación en este Taller está abierta a los Estados Miembros, los Miembros de Sector, los Asociados y las Instituciones Académicas de la UIT, así como cualquier persona, de un país Miembro de la UIT, que desee contribuir a los trabajos. La participación es gratuita y no se concederán becas para el </w:t>
      </w:r>
      <w:r w:rsidR="007C7B06" w:rsidRPr="00317100">
        <w:rPr>
          <w:rFonts w:cstheme="minorHAnsi"/>
          <w:sz w:val="22"/>
          <w:szCs w:val="22"/>
          <w:lang w:val="es-ES"/>
        </w:rPr>
        <w:t>Taller</w:t>
      </w:r>
      <w:r w:rsidRPr="00317100">
        <w:rPr>
          <w:rFonts w:cstheme="minorHAnsi"/>
          <w:sz w:val="22"/>
          <w:szCs w:val="22"/>
          <w:lang w:val="es-ES"/>
        </w:rPr>
        <w:t>.</w:t>
      </w:r>
    </w:p>
    <w:p w14:paraId="6EFBD037" w14:textId="79F02586" w:rsidR="00B510D9" w:rsidRPr="00317100" w:rsidRDefault="00B510D9" w:rsidP="00B510D9">
      <w:pPr>
        <w:rPr>
          <w:rFonts w:cstheme="minorHAnsi"/>
          <w:sz w:val="22"/>
          <w:szCs w:val="22"/>
          <w:lang w:val="es-ES"/>
        </w:rPr>
      </w:pPr>
      <w:r w:rsidRPr="00317100">
        <w:rPr>
          <w:rFonts w:cstheme="minorHAnsi"/>
          <w:sz w:val="22"/>
          <w:szCs w:val="22"/>
          <w:lang w:val="es-ES"/>
        </w:rPr>
        <w:t>5</w:t>
      </w:r>
      <w:r w:rsidRPr="00317100">
        <w:rPr>
          <w:rFonts w:cstheme="minorHAnsi"/>
          <w:sz w:val="22"/>
          <w:szCs w:val="22"/>
          <w:lang w:val="es-ES"/>
        </w:rPr>
        <w:tab/>
        <w:t xml:space="preserve">Toda la información pertinente relativa al </w:t>
      </w:r>
      <w:r w:rsidR="007C7B06" w:rsidRPr="00317100">
        <w:rPr>
          <w:rFonts w:cstheme="minorHAnsi"/>
          <w:sz w:val="22"/>
          <w:szCs w:val="22"/>
          <w:lang w:val="es-ES"/>
        </w:rPr>
        <w:t xml:space="preserve">Taller </w:t>
      </w:r>
      <w:r w:rsidRPr="00317100">
        <w:rPr>
          <w:rFonts w:cstheme="minorHAnsi"/>
          <w:sz w:val="22"/>
          <w:szCs w:val="22"/>
          <w:lang w:val="es-ES"/>
        </w:rPr>
        <w:t>como el proyecto de programa, se publicar</w:t>
      </w:r>
      <w:r w:rsidR="007C7B06" w:rsidRPr="00317100">
        <w:rPr>
          <w:rFonts w:cstheme="minorHAnsi"/>
          <w:sz w:val="22"/>
          <w:szCs w:val="22"/>
          <w:lang w:val="es-ES"/>
        </w:rPr>
        <w:t>á</w:t>
      </w:r>
      <w:r w:rsidRPr="00317100">
        <w:rPr>
          <w:rFonts w:cstheme="minorHAnsi"/>
          <w:sz w:val="22"/>
          <w:szCs w:val="22"/>
          <w:lang w:val="es-ES"/>
        </w:rPr>
        <w:t xml:space="preserve"> en el sitio web del evento, en la dirección: </w:t>
      </w:r>
      <w:hyperlink r:id="rId10" w:history="1">
        <w:r w:rsidR="007C7B06" w:rsidRPr="00317100">
          <w:rPr>
            <w:rStyle w:val="Hyperlink"/>
            <w:rFonts w:cstheme="minorHAnsi"/>
            <w:sz w:val="22"/>
            <w:szCs w:val="22"/>
            <w:lang w:val="es-ES"/>
          </w:rPr>
          <w:t>https://www.itu.int/en/ITU-T/Workshops-and-Seminars/2024/0219/Pages/default.aspx</w:t>
        </w:r>
      </w:hyperlink>
      <w:r w:rsidR="007C7B06" w:rsidRPr="00317100">
        <w:rPr>
          <w:rFonts w:cstheme="minorHAnsi"/>
          <w:sz w:val="22"/>
          <w:szCs w:val="22"/>
        </w:rPr>
        <w:t>.</w:t>
      </w:r>
    </w:p>
    <w:p w14:paraId="4D6FD3CD" w14:textId="77777777" w:rsidR="00B510D9" w:rsidRPr="00317100" w:rsidRDefault="00B510D9" w:rsidP="00B510D9">
      <w:pPr>
        <w:rPr>
          <w:rFonts w:cstheme="minorHAnsi"/>
          <w:sz w:val="22"/>
          <w:szCs w:val="22"/>
          <w:lang w:val="es-ES"/>
        </w:rPr>
      </w:pPr>
      <w:r w:rsidRPr="00317100">
        <w:rPr>
          <w:rFonts w:cstheme="minorHAnsi"/>
          <w:sz w:val="22"/>
          <w:szCs w:val="22"/>
          <w:lang w:val="es-ES"/>
        </w:rPr>
        <w:t>El sitio web del evento se pondrá periódicamente al día a medida que se disponga de más información. Se ruega a los participantes que consulten periódicamente el sitio web para mantenerse al corriente de las actualizaciones.</w:t>
      </w:r>
    </w:p>
    <w:p w14:paraId="2B164D82" w14:textId="3D441819" w:rsidR="00B510D9" w:rsidRPr="00317100" w:rsidRDefault="00B510D9" w:rsidP="007C7B06">
      <w:pPr>
        <w:rPr>
          <w:rFonts w:cstheme="minorHAnsi"/>
          <w:sz w:val="22"/>
          <w:szCs w:val="22"/>
          <w:lang w:val="es-ES"/>
        </w:rPr>
      </w:pPr>
      <w:r w:rsidRPr="00317100">
        <w:rPr>
          <w:rFonts w:cstheme="minorHAnsi"/>
          <w:sz w:val="22"/>
          <w:szCs w:val="22"/>
          <w:lang w:val="es-ES"/>
        </w:rPr>
        <w:t>6</w:t>
      </w:r>
      <w:r w:rsidRPr="00317100">
        <w:rPr>
          <w:rFonts w:cstheme="minorHAnsi"/>
          <w:sz w:val="22"/>
          <w:szCs w:val="22"/>
          <w:lang w:val="es-ES"/>
        </w:rPr>
        <w:tab/>
        <w:t xml:space="preserve">La inscripción es obligatoria para todos los participantes que prevean asistir al </w:t>
      </w:r>
      <w:r w:rsidR="000E79B6" w:rsidRPr="00317100">
        <w:rPr>
          <w:rFonts w:cstheme="minorHAnsi"/>
          <w:sz w:val="22"/>
          <w:szCs w:val="22"/>
          <w:lang w:val="es-ES"/>
        </w:rPr>
        <w:t>Taller</w:t>
      </w:r>
      <w:r w:rsidRPr="00317100">
        <w:rPr>
          <w:rFonts w:cstheme="minorHAnsi"/>
          <w:sz w:val="22"/>
          <w:szCs w:val="22"/>
          <w:lang w:val="es-ES"/>
        </w:rPr>
        <w:t>. Le rogamos que tenga a bien completar cuanto antes el formulario de inscripción en línea disponible en la dirección: (</w:t>
      </w:r>
      <w:hyperlink r:id="rId11" w:history="1">
        <w:r w:rsidRPr="00317100">
          <w:rPr>
            <w:rStyle w:val="Hyperlink"/>
            <w:rFonts w:cstheme="minorHAnsi"/>
            <w:sz w:val="22"/>
            <w:szCs w:val="22"/>
            <w:lang w:val="es-ES"/>
          </w:rPr>
          <w:t>https://www.itu.int/net4/CRM/xreg/web/Registration.aspx?Event=C-00013259</w:t>
        </w:r>
      </w:hyperlink>
      <w:r w:rsidRPr="00317100">
        <w:rPr>
          <w:rFonts w:cstheme="minorHAnsi"/>
          <w:sz w:val="22"/>
          <w:szCs w:val="22"/>
          <w:lang w:val="es-ES"/>
        </w:rPr>
        <w:t>).</w:t>
      </w:r>
      <w:r w:rsidR="007C7B06" w:rsidRPr="00317100">
        <w:rPr>
          <w:rFonts w:cstheme="minorHAnsi"/>
          <w:sz w:val="22"/>
          <w:szCs w:val="22"/>
        </w:rPr>
        <w:t xml:space="preserve"> </w:t>
      </w:r>
      <w:r w:rsidRPr="00317100">
        <w:rPr>
          <w:rFonts w:cstheme="minorHAnsi"/>
          <w:b/>
          <w:bCs/>
          <w:sz w:val="22"/>
          <w:szCs w:val="22"/>
          <w:lang w:val="es-ES"/>
        </w:rPr>
        <w:t>Se alienta a los participantes interesados en asistir en persona a inscribirse con antelación</w:t>
      </w:r>
      <w:r w:rsidRPr="00317100">
        <w:rPr>
          <w:rFonts w:cstheme="minorHAnsi"/>
          <w:sz w:val="22"/>
          <w:szCs w:val="22"/>
          <w:lang w:val="es-ES"/>
        </w:rPr>
        <w:t xml:space="preserve"> y, debido al limitado aforo del lugar de celebración del evento, se les ruega completen dicha inscripción </w:t>
      </w:r>
      <w:r w:rsidRPr="00317100">
        <w:rPr>
          <w:rFonts w:cstheme="minorHAnsi"/>
          <w:b/>
          <w:bCs/>
          <w:sz w:val="22"/>
          <w:szCs w:val="22"/>
          <w:lang w:val="es-ES"/>
        </w:rPr>
        <w:t>a más tardar el 12 de febrero de 2024</w:t>
      </w:r>
      <w:r w:rsidRPr="00317100">
        <w:rPr>
          <w:rFonts w:cstheme="minorHAnsi"/>
          <w:sz w:val="22"/>
          <w:szCs w:val="22"/>
          <w:lang w:val="es-ES"/>
        </w:rPr>
        <w:t>.</w:t>
      </w:r>
      <w:r w:rsidR="007C7B06" w:rsidRPr="00317100">
        <w:rPr>
          <w:rFonts w:cstheme="minorHAnsi"/>
          <w:sz w:val="22"/>
          <w:szCs w:val="22"/>
          <w:lang w:val="es-ES"/>
        </w:rPr>
        <w:t xml:space="preserve"> </w:t>
      </w:r>
      <w:r w:rsidRPr="00317100">
        <w:rPr>
          <w:rFonts w:cstheme="minorHAnsi"/>
          <w:sz w:val="22"/>
          <w:szCs w:val="22"/>
          <w:lang w:val="es-ES"/>
        </w:rPr>
        <w:t>Por favor, tenga presente que la preinscripción de los participantes en nuestros eventos se lleva a cabo exclusivamente en línea.</w:t>
      </w:r>
    </w:p>
    <w:p w14:paraId="11A84527" w14:textId="77777777" w:rsidR="00B510D9" w:rsidRPr="00317100" w:rsidRDefault="00B510D9" w:rsidP="00B510D9">
      <w:pPr>
        <w:rPr>
          <w:rFonts w:cstheme="minorHAnsi"/>
          <w:sz w:val="22"/>
          <w:szCs w:val="22"/>
          <w:lang w:val="es-ES"/>
        </w:rPr>
      </w:pPr>
      <w:r w:rsidRPr="00317100">
        <w:rPr>
          <w:rFonts w:cstheme="minorHAnsi"/>
          <w:sz w:val="22"/>
          <w:szCs w:val="22"/>
          <w:lang w:val="es-ES"/>
        </w:rPr>
        <w:t>7</w:t>
      </w:r>
      <w:r w:rsidRPr="00317100">
        <w:rPr>
          <w:rFonts w:cstheme="minorHAnsi"/>
          <w:sz w:val="22"/>
          <w:szCs w:val="22"/>
          <w:lang w:val="es-ES"/>
        </w:rPr>
        <w:tab/>
        <w:t>Les recuerdo que los ciudadanos procedentes de ciertos países necesitan visado para ingresar y permanecer en Ginebra (Suiza). Ese visado debe conseguirse en la oficina (embajada o consulado) que representa a Suiza en su país o, en su defecto, en la más próxima a su país de partida. La tramitación y aprobación de visados puede llevar algún tiempo, por lo que se recomienda consultar directamente con la representación correspondiente y presentar la solicitud con suficiente antelación.</w:t>
      </w:r>
    </w:p>
    <w:p w14:paraId="7F71A33C" w14:textId="347F1E98" w:rsidR="00B510D9" w:rsidRPr="00317100" w:rsidRDefault="00B510D9" w:rsidP="00B510D9">
      <w:pPr>
        <w:rPr>
          <w:rFonts w:cstheme="minorHAnsi"/>
          <w:sz w:val="22"/>
          <w:szCs w:val="22"/>
          <w:lang w:val="es-ES"/>
        </w:rPr>
      </w:pPr>
      <w:r w:rsidRPr="00317100">
        <w:rPr>
          <w:rFonts w:cstheme="minorHAnsi"/>
          <w:sz w:val="22"/>
          <w:szCs w:val="22"/>
          <w:lang w:val="es-ES"/>
        </w:rPr>
        <w:t>Le saluda atentamente,</w:t>
      </w:r>
    </w:p>
    <w:p w14:paraId="340256EC" w14:textId="02081C6F" w:rsidR="00401C20" w:rsidRPr="00317100" w:rsidRDefault="008F4151" w:rsidP="00CB14F9">
      <w:pPr>
        <w:spacing w:before="960"/>
        <w:rPr>
          <w:rFonts w:cstheme="minorHAnsi"/>
          <w:sz w:val="22"/>
          <w:szCs w:val="22"/>
          <w:lang w:val="es-ES"/>
        </w:rPr>
      </w:pPr>
      <w:r>
        <w:rPr>
          <w:rFonts w:cstheme="minorHAnsi"/>
          <w:noProof/>
          <w:sz w:val="22"/>
          <w:szCs w:val="22"/>
          <w:lang w:val="es-ES"/>
        </w:rPr>
        <w:drawing>
          <wp:anchor distT="0" distB="0" distL="114300" distR="114300" simplePos="0" relativeHeight="251658240" behindDoc="1" locked="0" layoutInCell="1" allowOverlap="1" wp14:anchorId="0C37839A" wp14:editId="6C4D4FFD">
            <wp:simplePos x="0" y="0"/>
            <wp:positionH relativeFrom="column">
              <wp:posOffset>3810</wp:posOffset>
            </wp:positionH>
            <wp:positionV relativeFrom="paragraph">
              <wp:posOffset>147955</wp:posOffset>
            </wp:positionV>
            <wp:extent cx="613313" cy="276225"/>
            <wp:effectExtent l="0" t="0" r="0" b="0"/>
            <wp:wrapNone/>
            <wp:docPr id="42250901" name="Picture 1"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50901" name="Picture 1" descr="A black and blue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13313" cy="276225"/>
                    </a:xfrm>
                    <a:prstGeom prst="rect">
                      <a:avLst/>
                    </a:prstGeom>
                  </pic:spPr>
                </pic:pic>
              </a:graphicData>
            </a:graphic>
            <wp14:sizeRelH relativeFrom="margin">
              <wp14:pctWidth>0</wp14:pctWidth>
            </wp14:sizeRelH>
            <wp14:sizeRelV relativeFrom="margin">
              <wp14:pctHeight>0</wp14:pctHeight>
            </wp14:sizeRelV>
          </wp:anchor>
        </w:drawing>
      </w:r>
      <w:r w:rsidR="001350B9" w:rsidRPr="00317100">
        <w:rPr>
          <w:rFonts w:cstheme="minorHAnsi"/>
          <w:sz w:val="22"/>
          <w:szCs w:val="22"/>
          <w:lang w:val="es-ES"/>
        </w:rPr>
        <w:t>Seizo Onoe</w:t>
      </w:r>
      <w:r w:rsidR="007B6316" w:rsidRPr="00317100">
        <w:rPr>
          <w:rFonts w:cstheme="minorHAnsi"/>
          <w:sz w:val="22"/>
          <w:szCs w:val="22"/>
          <w:lang w:val="es-ES"/>
        </w:rPr>
        <w:br/>
      </w:r>
      <w:proofErr w:type="gramStart"/>
      <w:r w:rsidR="007B6316" w:rsidRPr="00317100">
        <w:rPr>
          <w:rFonts w:cstheme="minorHAnsi"/>
          <w:sz w:val="22"/>
          <w:szCs w:val="22"/>
          <w:lang w:val="es-ES"/>
        </w:rPr>
        <w:t>Director</w:t>
      </w:r>
      <w:proofErr w:type="gramEnd"/>
      <w:r w:rsidR="007B6316" w:rsidRPr="00317100">
        <w:rPr>
          <w:rFonts w:cstheme="minorHAnsi"/>
          <w:sz w:val="22"/>
          <w:szCs w:val="22"/>
          <w:lang w:val="es-ES"/>
        </w:rPr>
        <w:t xml:space="preserve"> de la Oficina de </w:t>
      </w:r>
      <w:r w:rsidR="007B6316" w:rsidRPr="00317100">
        <w:rPr>
          <w:rFonts w:cstheme="minorHAnsi"/>
          <w:sz w:val="22"/>
          <w:szCs w:val="22"/>
          <w:lang w:val="es-ES"/>
        </w:rPr>
        <w:br/>
        <w:t>Normalización de las Telecomunicaciones</w:t>
      </w:r>
    </w:p>
    <w:sectPr w:rsidR="00401C20" w:rsidRPr="00317100" w:rsidSect="00B87E9E">
      <w:headerReference w:type="default" r:id="rId13"/>
      <w:footerReference w:type="first" r:id="rId14"/>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9E5D2" w14:textId="77777777" w:rsidR="00E66B45" w:rsidRDefault="00E66B45">
      <w:r>
        <w:separator/>
      </w:r>
    </w:p>
  </w:endnote>
  <w:endnote w:type="continuationSeparator" w:id="0">
    <w:p w14:paraId="52C4C573" w14:textId="77777777" w:rsidR="00E66B45" w:rsidRDefault="00E66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21938" w14:textId="5CA9ABB2" w:rsidR="0014464D" w:rsidRPr="00D834E7" w:rsidRDefault="0014464D" w:rsidP="00FC416A">
    <w:pPr>
      <w:pStyle w:val="FirstFooter"/>
      <w:ind w:left="-397" w:right="-397"/>
      <w:jc w:val="center"/>
      <w:rPr>
        <w:color w:val="0070C0"/>
        <w:szCs w:val="18"/>
        <w:lang w:val="es-ES"/>
      </w:rPr>
    </w:pPr>
    <w:r w:rsidRPr="00D834E7">
      <w:rPr>
        <w:color w:val="0070C0"/>
        <w:szCs w:val="18"/>
        <w:lang w:val="es-ES"/>
      </w:rPr>
      <w:t>Unión Internacional de Telecomunicaciones • Place des Nations, CH</w:t>
    </w:r>
    <w:r w:rsidRPr="00D834E7">
      <w:rPr>
        <w:color w:val="0070C0"/>
        <w:szCs w:val="18"/>
        <w:lang w:val="es-ES"/>
      </w:rPr>
      <w:noBreakHyphen/>
      <w:t xml:space="preserve">1211 Ginebra 20, Suiza </w:t>
    </w:r>
    <w:r w:rsidRPr="00D834E7">
      <w:rPr>
        <w:color w:val="0070C0"/>
        <w:szCs w:val="18"/>
        <w:lang w:val="es-ES"/>
      </w:rPr>
      <w:br/>
      <w:t>Tel</w:t>
    </w:r>
    <w:r w:rsidR="00B510D9">
      <w:rPr>
        <w:color w:val="0070C0"/>
        <w:szCs w:val="18"/>
        <w:lang w:val="es-ES"/>
      </w:rPr>
      <w:t>.</w:t>
    </w:r>
    <w:r w:rsidRPr="00D834E7">
      <w:rPr>
        <w:color w:val="0070C0"/>
        <w:szCs w:val="18"/>
        <w:lang w:val="es-ES"/>
      </w:rPr>
      <w:t xml:space="preserve">: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F7B76" w14:textId="77777777" w:rsidR="00E66B45" w:rsidRDefault="00E66B45">
      <w:r>
        <w:t>____________________</w:t>
      </w:r>
    </w:p>
  </w:footnote>
  <w:footnote w:type="continuationSeparator" w:id="0">
    <w:p w14:paraId="20D04DCB" w14:textId="77777777" w:rsidR="00E66B45" w:rsidRDefault="00E66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30E2E" w14:textId="707D8729"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r w:rsidR="00A90A8F">
      <w:rPr>
        <w:rStyle w:val="PageNumber"/>
        <w:sz w:val="18"/>
        <w:szCs w:val="18"/>
      </w:rPr>
      <w:br/>
    </w:r>
    <w:r w:rsidR="00A90A8F" w:rsidRPr="00A90A8F">
      <w:rPr>
        <w:sz w:val="18"/>
        <w:szCs w:val="18"/>
      </w:rPr>
      <w:t>Circular TSB 156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C7D389A"/>
    <w:multiLevelType w:val="hybridMultilevel"/>
    <w:tmpl w:val="5FB4F80C"/>
    <w:lvl w:ilvl="0" w:tplc="4B2E79B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97730853">
    <w:abstractNumId w:val="0"/>
  </w:num>
  <w:num w:numId="2" w16cid:durableId="1345282128">
    <w:abstractNumId w:val="4"/>
  </w:num>
  <w:num w:numId="3" w16cid:durableId="1069613404">
    <w:abstractNumId w:val="2"/>
  </w:num>
  <w:num w:numId="4" w16cid:durableId="374936234">
    <w:abstractNumId w:val="1"/>
  </w:num>
  <w:num w:numId="5" w16cid:durableId="1432092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C37"/>
    <w:rsid w:val="00002529"/>
    <w:rsid w:val="00085662"/>
    <w:rsid w:val="000C382F"/>
    <w:rsid w:val="000E79B6"/>
    <w:rsid w:val="001173CC"/>
    <w:rsid w:val="001350B9"/>
    <w:rsid w:val="0014464D"/>
    <w:rsid w:val="001A54CC"/>
    <w:rsid w:val="002205D9"/>
    <w:rsid w:val="00257FB4"/>
    <w:rsid w:val="002E496E"/>
    <w:rsid w:val="00303D62"/>
    <w:rsid w:val="00317100"/>
    <w:rsid w:val="00335367"/>
    <w:rsid w:val="00370C2D"/>
    <w:rsid w:val="003D1E8D"/>
    <w:rsid w:val="003D673B"/>
    <w:rsid w:val="003F2855"/>
    <w:rsid w:val="00401C20"/>
    <w:rsid w:val="004A7957"/>
    <w:rsid w:val="004C4144"/>
    <w:rsid w:val="0055719E"/>
    <w:rsid w:val="00571C37"/>
    <w:rsid w:val="006969B4"/>
    <w:rsid w:val="006E4F7B"/>
    <w:rsid w:val="00781E2A"/>
    <w:rsid w:val="007933A2"/>
    <w:rsid w:val="007B6316"/>
    <w:rsid w:val="007C7B06"/>
    <w:rsid w:val="00814503"/>
    <w:rsid w:val="008258C2"/>
    <w:rsid w:val="008505BD"/>
    <w:rsid w:val="00850C78"/>
    <w:rsid w:val="00876165"/>
    <w:rsid w:val="00884D12"/>
    <w:rsid w:val="008C17AD"/>
    <w:rsid w:val="008D02CD"/>
    <w:rsid w:val="008F4151"/>
    <w:rsid w:val="0091370C"/>
    <w:rsid w:val="0095172A"/>
    <w:rsid w:val="009A0BA0"/>
    <w:rsid w:val="00A54E47"/>
    <w:rsid w:val="00A90A8F"/>
    <w:rsid w:val="00AB6E3A"/>
    <w:rsid w:val="00AE7093"/>
    <w:rsid w:val="00B422BC"/>
    <w:rsid w:val="00B43F77"/>
    <w:rsid w:val="00B510D9"/>
    <w:rsid w:val="00B55A3E"/>
    <w:rsid w:val="00B87E9E"/>
    <w:rsid w:val="00B95F0A"/>
    <w:rsid w:val="00B96180"/>
    <w:rsid w:val="00C116FE"/>
    <w:rsid w:val="00C17AC0"/>
    <w:rsid w:val="00C34772"/>
    <w:rsid w:val="00C5465A"/>
    <w:rsid w:val="00CB14F9"/>
    <w:rsid w:val="00D54642"/>
    <w:rsid w:val="00D834E7"/>
    <w:rsid w:val="00DD77C9"/>
    <w:rsid w:val="00DF3538"/>
    <w:rsid w:val="00E66B45"/>
    <w:rsid w:val="00E839B0"/>
    <w:rsid w:val="00E92C09"/>
    <w:rsid w:val="00F03361"/>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D3A2C3"/>
  <w15:docId w15:val="{25B491BE-40DE-4066-A827-5527C2853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B510D9"/>
    <w:rPr>
      <w:color w:val="605E5C"/>
      <w:shd w:val="clear" w:color="auto" w:fill="E1DFDD"/>
    </w:rPr>
  </w:style>
  <w:style w:type="paragraph" w:styleId="Revision">
    <w:name w:val="Revision"/>
    <w:hidden/>
    <w:uiPriority w:val="99"/>
    <w:semiHidden/>
    <w:rsid w:val="00A90A8F"/>
    <w:rPr>
      <w:rFonts w:asciiTheme="minorHAnsi" w:hAnsiTheme="minorHAns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4/CRM/xreg/web/Registration.aspx?Event=C-0001325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en/ITU-T/Workshops-and-Seminars/2024/0219/Pages/default.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54</TotalTime>
  <Pages>2</Pages>
  <Words>785</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5385</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Spanish83</dc:creator>
  <cp:lastModifiedBy>Braud, Olivia</cp:lastModifiedBy>
  <cp:revision>6</cp:revision>
  <cp:lastPrinted>2023-12-14T09:59:00Z</cp:lastPrinted>
  <dcterms:created xsi:type="dcterms:W3CDTF">2023-12-08T02:32:00Z</dcterms:created>
  <dcterms:modified xsi:type="dcterms:W3CDTF">2023-12-14T09:59:00Z</dcterms:modified>
</cp:coreProperties>
</file>