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A06B38" w14:paraId="3F65DEF1" w14:textId="77777777" w:rsidTr="007B6316">
        <w:trPr>
          <w:cantSplit/>
          <w:trHeight w:val="340"/>
        </w:trPr>
        <w:tc>
          <w:tcPr>
            <w:tcW w:w="1410" w:type="dxa"/>
            <w:gridSpan w:val="2"/>
          </w:tcPr>
          <w:p w14:paraId="462983AB" w14:textId="77777777" w:rsidR="007B6316" w:rsidRPr="00A06B38" w:rsidRDefault="007B6316" w:rsidP="00303D62">
            <w:pPr>
              <w:tabs>
                <w:tab w:val="left" w:pos="4111"/>
              </w:tabs>
              <w:spacing w:before="10"/>
              <w:ind w:left="57"/>
              <w:rPr>
                <w:sz w:val="22"/>
              </w:rPr>
            </w:pPr>
            <w:r w:rsidRPr="00A06B38">
              <w:rPr>
                <w:noProof/>
              </w:rPr>
              <w:drawing>
                <wp:inline distT="0" distB="0" distL="0" distR="0" wp14:anchorId="4E423BB6" wp14:editId="5DF9892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1AD0D97" w14:textId="77777777" w:rsidR="007B6316" w:rsidRPr="00A06B38" w:rsidRDefault="007B6316" w:rsidP="007B6316">
            <w:pPr>
              <w:spacing w:before="0"/>
              <w:rPr>
                <w:rFonts w:cs="Times New Roman Bold"/>
                <w:b/>
                <w:bCs/>
                <w:smallCaps/>
                <w:sz w:val="26"/>
                <w:szCs w:val="26"/>
              </w:rPr>
            </w:pPr>
            <w:r w:rsidRPr="00A06B38">
              <w:rPr>
                <w:rFonts w:cs="Times New Roman Bold"/>
                <w:b/>
                <w:bCs/>
                <w:smallCaps/>
                <w:sz w:val="36"/>
                <w:szCs w:val="36"/>
              </w:rPr>
              <w:t>Unión Internacional de Telecomunicaciones</w:t>
            </w:r>
          </w:p>
          <w:p w14:paraId="26EF24DC" w14:textId="77777777" w:rsidR="007B6316" w:rsidRPr="00A06B38" w:rsidRDefault="007B6316" w:rsidP="007B6316">
            <w:pPr>
              <w:spacing w:before="0"/>
            </w:pPr>
            <w:r w:rsidRPr="00A06B38">
              <w:rPr>
                <w:rFonts w:cs="Times New Roman Bold"/>
                <w:b/>
                <w:bCs/>
                <w:smallCaps/>
                <w:sz w:val="28"/>
                <w:szCs w:val="28"/>
              </w:rPr>
              <w:t>Oficina</w:t>
            </w:r>
            <w:r w:rsidRPr="00A06B38">
              <w:rPr>
                <w:rFonts w:cs="Times New Roman Bold"/>
                <w:b/>
                <w:bCs/>
                <w:iCs/>
                <w:smallCaps/>
                <w:sz w:val="22"/>
                <w:szCs w:val="22"/>
              </w:rPr>
              <w:t xml:space="preserve"> </w:t>
            </w:r>
            <w:r w:rsidRPr="00A06B38">
              <w:rPr>
                <w:rFonts w:cs="Times New Roman Bold"/>
                <w:b/>
                <w:bCs/>
                <w:iCs/>
                <w:smallCaps/>
                <w:sz w:val="28"/>
                <w:szCs w:val="28"/>
              </w:rPr>
              <w:t>de Normalización de las Telecomunicaciones</w:t>
            </w:r>
          </w:p>
        </w:tc>
      </w:tr>
      <w:tr w:rsidR="007B6316" w:rsidRPr="00A06B38" w14:paraId="68A9C951" w14:textId="77777777" w:rsidTr="002861F4">
        <w:trPr>
          <w:cantSplit/>
          <w:trHeight w:val="340"/>
        </w:trPr>
        <w:tc>
          <w:tcPr>
            <w:tcW w:w="1126" w:type="dxa"/>
          </w:tcPr>
          <w:p w14:paraId="4226A748" w14:textId="77777777" w:rsidR="007B6316" w:rsidRPr="00A06B38" w:rsidRDefault="007B6316" w:rsidP="00303D62">
            <w:pPr>
              <w:tabs>
                <w:tab w:val="left" w:pos="4111"/>
              </w:tabs>
              <w:spacing w:before="10"/>
              <w:ind w:left="57"/>
              <w:rPr>
                <w:b/>
                <w:bCs/>
                <w:sz w:val="22"/>
              </w:rPr>
            </w:pPr>
          </w:p>
        </w:tc>
        <w:tc>
          <w:tcPr>
            <w:tcW w:w="3751" w:type="dxa"/>
            <w:gridSpan w:val="2"/>
          </w:tcPr>
          <w:p w14:paraId="5FEC45ED" w14:textId="77777777" w:rsidR="007B6316" w:rsidRPr="00A06B38" w:rsidRDefault="007B6316" w:rsidP="00303D62">
            <w:pPr>
              <w:tabs>
                <w:tab w:val="left" w:pos="4111"/>
              </w:tabs>
              <w:spacing w:before="0"/>
              <w:ind w:left="57"/>
              <w:rPr>
                <w:b/>
              </w:rPr>
            </w:pPr>
          </w:p>
        </w:tc>
        <w:tc>
          <w:tcPr>
            <w:tcW w:w="5329" w:type="dxa"/>
          </w:tcPr>
          <w:p w14:paraId="06438DF6" w14:textId="77777777" w:rsidR="007B6316" w:rsidRPr="00A06B38" w:rsidRDefault="007B6316" w:rsidP="007B6316">
            <w:pPr>
              <w:tabs>
                <w:tab w:val="clear" w:pos="794"/>
                <w:tab w:val="clear" w:pos="1191"/>
                <w:tab w:val="clear" w:pos="1588"/>
                <w:tab w:val="clear" w:pos="1985"/>
                <w:tab w:val="left" w:pos="284"/>
              </w:tabs>
              <w:spacing w:after="120"/>
              <w:ind w:left="284" w:hanging="227"/>
            </w:pPr>
            <w:r w:rsidRPr="00A06B38">
              <w:rPr>
                <w:szCs w:val="24"/>
              </w:rPr>
              <w:t>Ginebra,</w:t>
            </w:r>
            <w:r w:rsidR="002861F4" w:rsidRPr="00A06B38">
              <w:rPr>
                <w:sz w:val="22"/>
                <w:szCs w:val="22"/>
              </w:rPr>
              <w:t xml:space="preserve"> </w:t>
            </w:r>
            <w:r w:rsidR="002861F4" w:rsidRPr="00A06B38">
              <w:rPr>
                <w:szCs w:val="24"/>
              </w:rPr>
              <w:t>28 de noviembre de 2023</w:t>
            </w:r>
          </w:p>
        </w:tc>
      </w:tr>
      <w:tr w:rsidR="001350B9" w:rsidRPr="00A06B38" w14:paraId="660C3E70" w14:textId="77777777" w:rsidTr="002861F4">
        <w:trPr>
          <w:cantSplit/>
          <w:trHeight w:val="340"/>
        </w:trPr>
        <w:tc>
          <w:tcPr>
            <w:tcW w:w="1126" w:type="dxa"/>
          </w:tcPr>
          <w:p w14:paraId="549D160C" w14:textId="77777777" w:rsidR="001350B9" w:rsidRPr="00A06B38" w:rsidRDefault="001350B9" w:rsidP="00303D62">
            <w:pPr>
              <w:tabs>
                <w:tab w:val="left" w:pos="4111"/>
              </w:tabs>
              <w:spacing w:before="10"/>
              <w:ind w:left="57"/>
              <w:rPr>
                <w:b/>
              </w:rPr>
            </w:pPr>
            <w:r w:rsidRPr="00A06B38">
              <w:rPr>
                <w:b/>
              </w:rPr>
              <w:t>Ref.:</w:t>
            </w:r>
          </w:p>
          <w:p w14:paraId="29639A3C" w14:textId="77777777" w:rsidR="001350B9" w:rsidRPr="00A06B38" w:rsidRDefault="001350B9" w:rsidP="007B6316">
            <w:pPr>
              <w:tabs>
                <w:tab w:val="left" w:pos="4111"/>
              </w:tabs>
              <w:spacing w:before="10"/>
              <w:ind w:left="57"/>
              <w:rPr>
                <w:b/>
              </w:rPr>
            </w:pPr>
          </w:p>
        </w:tc>
        <w:tc>
          <w:tcPr>
            <w:tcW w:w="3751" w:type="dxa"/>
            <w:gridSpan w:val="2"/>
          </w:tcPr>
          <w:p w14:paraId="6D20BB66" w14:textId="77777777" w:rsidR="001350B9" w:rsidRPr="00A06B38" w:rsidRDefault="002861F4" w:rsidP="00303D62">
            <w:pPr>
              <w:tabs>
                <w:tab w:val="left" w:pos="4111"/>
              </w:tabs>
              <w:spacing w:before="0"/>
              <w:ind w:left="57"/>
              <w:rPr>
                <w:b/>
              </w:rPr>
            </w:pPr>
            <w:r w:rsidRPr="00A06B38">
              <w:rPr>
                <w:b/>
              </w:rPr>
              <w:t>Circular TSB 157</w:t>
            </w:r>
          </w:p>
          <w:p w14:paraId="1BC21C76" w14:textId="77777777" w:rsidR="001350B9" w:rsidRPr="00A06B38" w:rsidRDefault="002861F4" w:rsidP="00303D62">
            <w:pPr>
              <w:tabs>
                <w:tab w:val="left" w:pos="4111"/>
              </w:tabs>
              <w:spacing w:before="0"/>
              <w:ind w:left="57"/>
              <w:rPr>
                <w:b/>
              </w:rPr>
            </w:pPr>
            <w:r w:rsidRPr="00A06B38">
              <w:t>CE 2/RC</w:t>
            </w:r>
          </w:p>
          <w:p w14:paraId="00CA9DA2" w14:textId="77777777" w:rsidR="001350B9" w:rsidRPr="00A06B38" w:rsidRDefault="001350B9" w:rsidP="007B6316">
            <w:pPr>
              <w:tabs>
                <w:tab w:val="left" w:pos="4111"/>
              </w:tabs>
              <w:spacing w:before="0"/>
              <w:ind w:left="57"/>
            </w:pPr>
          </w:p>
        </w:tc>
        <w:tc>
          <w:tcPr>
            <w:tcW w:w="5329" w:type="dxa"/>
            <w:vMerge w:val="restart"/>
          </w:tcPr>
          <w:p w14:paraId="780DFD41" w14:textId="77777777" w:rsidR="001350B9" w:rsidRPr="00A06B38" w:rsidRDefault="002861F4" w:rsidP="00303D62">
            <w:pPr>
              <w:tabs>
                <w:tab w:val="clear" w:pos="794"/>
                <w:tab w:val="clear" w:pos="1191"/>
                <w:tab w:val="clear" w:pos="1588"/>
                <w:tab w:val="clear" w:pos="1985"/>
                <w:tab w:val="left" w:pos="284"/>
              </w:tabs>
              <w:spacing w:before="0"/>
              <w:ind w:left="284" w:hanging="227"/>
            </w:pPr>
            <w:bookmarkStart w:id="0" w:name="Addressee_S"/>
            <w:bookmarkEnd w:id="0"/>
            <w:r w:rsidRPr="00A06B38">
              <w:t>–</w:t>
            </w:r>
            <w:r w:rsidR="001350B9" w:rsidRPr="00A06B38">
              <w:tab/>
              <w:t xml:space="preserve">A las Administraciones de los Estados </w:t>
            </w:r>
            <w:r w:rsidRPr="00A06B38">
              <w:t>Miembros</w:t>
            </w:r>
            <w:r w:rsidRPr="00A06B38">
              <w:br/>
            </w:r>
            <w:r w:rsidR="001350B9" w:rsidRPr="00A06B38">
              <w:t>de la Unión</w:t>
            </w:r>
          </w:p>
          <w:p w14:paraId="4BB9A9AA" w14:textId="77777777" w:rsidR="001350B9" w:rsidRPr="00A06B38" w:rsidRDefault="002861F4" w:rsidP="00303D62">
            <w:pPr>
              <w:tabs>
                <w:tab w:val="left" w:pos="4111"/>
              </w:tabs>
              <w:spacing w:before="0"/>
            </w:pPr>
            <w:r w:rsidRPr="00A06B38">
              <w:rPr>
                <w:b/>
                <w:bCs/>
              </w:rPr>
              <w:t>Copia a:</w:t>
            </w:r>
          </w:p>
          <w:p w14:paraId="2CAEB84C" w14:textId="77777777" w:rsidR="001350B9" w:rsidRPr="00A06B38" w:rsidRDefault="002861F4" w:rsidP="002861F4">
            <w:pPr>
              <w:tabs>
                <w:tab w:val="clear" w:pos="794"/>
                <w:tab w:val="clear" w:pos="1191"/>
                <w:tab w:val="clear" w:pos="1588"/>
                <w:tab w:val="clear" w:pos="1985"/>
                <w:tab w:val="left" w:pos="284"/>
              </w:tabs>
              <w:spacing w:before="0"/>
              <w:ind w:left="284" w:hanging="227"/>
            </w:pPr>
            <w:r w:rsidRPr="00A06B38">
              <w:t>–</w:t>
            </w:r>
            <w:r w:rsidRPr="00A06B38">
              <w:tab/>
              <w:t>A los Miembros de</w:t>
            </w:r>
            <w:r w:rsidR="001350B9" w:rsidRPr="00A06B38">
              <w:t xml:space="preserve"> Sector UIT</w:t>
            </w:r>
            <w:r w:rsidR="001350B9" w:rsidRPr="00A06B38">
              <w:noBreakHyphen/>
              <w:t>T;</w:t>
            </w:r>
          </w:p>
          <w:p w14:paraId="45E117C5" w14:textId="77777777" w:rsidR="002861F4" w:rsidRPr="00A06B38" w:rsidRDefault="002861F4" w:rsidP="002861F4">
            <w:pPr>
              <w:tabs>
                <w:tab w:val="clear" w:pos="794"/>
                <w:tab w:val="clear" w:pos="1191"/>
                <w:tab w:val="clear" w:pos="1588"/>
                <w:tab w:val="clear" w:pos="1985"/>
                <w:tab w:val="left" w:pos="284"/>
              </w:tabs>
              <w:spacing w:before="0"/>
              <w:ind w:left="284" w:hanging="227"/>
            </w:pPr>
            <w:r w:rsidRPr="00A06B38">
              <w:t>–</w:t>
            </w:r>
            <w:r w:rsidR="001350B9" w:rsidRPr="00A06B38">
              <w:tab/>
            </w:r>
            <w:r w:rsidRPr="00A06B38">
              <w:t>A los Asociados de la Comisión de Estudio 2 del UIT</w:t>
            </w:r>
            <w:r w:rsidRPr="00A06B38">
              <w:noBreakHyphen/>
              <w:t>T;</w:t>
            </w:r>
          </w:p>
          <w:p w14:paraId="6759CA70" w14:textId="77777777" w:rsidR="002861F4" w:rsidRPr="00A06B38" w:rsidRDefault="002861F4" w:rsidP="002861F4">
            <w:pPr>
              <w:tabs>
                <w:tab w:val="clear" w:pos="794"/>
                <w:tab w:val="clear" w:pos="1191"/>
                <w:tab w:val="clear" w:pos="1588"/>
                <w:tab w:val="clear" w:pos="1985"/>
                <w:tab w:val="left" w:pos="284"/>
              </w:tabs>
              <w:spacing w:before="0"/>
              <w:ind w:left="284" w:hanging="227"/>
            </w:pPr>
            <w:r w:rsidRPr="00A06B38">
              <w:t>–</w:t>
            </w:r>
            <w:r w:rsidRPr="00A06B38">
              <w:tab/>
              <w:t xml:space="preserve">A las Instituciones Académicas de la UIT; </w:t>
            </w:r>
          </w:p>
          <w:p w14:paraId="7AB81DC6" w14:textId="77777777" w:rsidR="002861F4" w:rsidRPr="00A06B38" w:rsidRDefault="002861F4" w:rsidP="002861F4">
            <w:pPr>
              <w:tabs>
                <w:tab w:val="clear" w:pos="794"/>
                <w:tab w:val="clear" w:pos="1191"/>
                <w:tab w:val="clear" w:pos="1588"/>
                <w:tab w:val="clear" w:pos="1985"/>
                <w:tab w:val="left" w:pos="284"/>
              </w:tabs>
              <w:spacing w:before="0"/>
              <w:ind w:left="284" w:hanging="227"/>
            </w:pPr>
            <w:r w:rsidRPr="00A06B38">
              <w:t>–</w:t>
            </w:r>
            <w:r w:rsidRPr="00A06B38">
              <w:tab/>
              <w:t xml:space="preserve">Al </w:t>
            </w:r>
            <w:proofErr w:type="gramStart"/>
            <w:r w:rsidRPr="00A06B38">
              <w:t>Presidente</w:t>
            </w:r>
            <w:proofErr w:type="gramEnd"/>
            <w:r w:rsidRPr="00A06B38">
              <w:t xml:space="preserve"> y a los Vicepresidentes de la</w:t>
            </w:r>
            <w:r w:rsidRPr="00A06B38">
              <w:br/>
              <w:t>Comisión de Estudio 2 del UIT-T;</w:t>
            </w:r>
          </w:p>
          <w:p w14:paraId="045B3523" w14:textId="77777777" w:rsidR="002861F4" w:rsidRPr="00A06B38" w:rsidRDefault="002861F4" w:rsidP="002861F4">
            <w:pPr>
              <w:tabs>
                <w:tab w:val="clear" w:pos="794"/>
                <w:tab w:val="clear" w:pos="1191"/>
                <w:tab w:val="clear" w:pos="1588"/>
                <w:tab w:val="clear" w:pos="1985"/>
                <w:tab w:val="left" w:pos="284"/>
              </w:tabs>
              <w:spacing w:before="0"/>
              <w:ind w:left="284" w:hanging="227"/>
            </w:pPr>
            <w:r w:rsidRPr="00A06B38">
              <w:t>–</w:t>
            </w:r>
            <w:r w:rsidRPr="00A06B38">
              <w:tab/>
              <w:t xml:space="preserve">Al </w:t>
            </w:r>
            <w:proofErr w:type="gramStart"/>
            <w:r w:rsidRPr="00A06B38">
              <w:t>Direc</w:t>
            </w:r>
            <w:r w:rsidR="00A06B38">
              <w:t>tor</w:t>
            </w:r>
            <w:proofErr w:type="gramEnd"/>
            <w:r w:rsidR="00A06B38">
              <w:t xml:space="preserve"> de la Oficina de Desarrollo</w:t>
            </w:r>
            <w:r w:rsidR="00A06B38">
              <w:br/>
            </w:r>
            <w:r w:rsidRPr="00A06B38">
              <w:t>de las Telecomunicaciones;</w:t>
            </w:r>
          </w:p>
          <w:p w14:paraId="3A122B19" w14:textId="77777777" w:rsidR="001350B9" w:rsidRPr="00A06B38" w:rsidRDefault="002861F4" w:rsidP="002861F4">
            <w:pPr>
              <w:tabs>
                <w:tab w:val="clear" w:pos="794"/>
                <w:tab w:val="clear" w:pos="1191"/>
                <w:tab w:val="clear" w:pos="1588"/>
                <w:tab w:val="clear" w:pos="1985"/>
                <w:tab w:val="left" w:pos="284"/>
              </w:tabs>
              <w:spacing w:before="0" w:after="120"/>
              <w:ind w:left="284" w:hanging="227"/>
            </w:pPr>
            <w:r w:rsidRPr="00A06B38">
              <w:t>–</w:t>
            </w:r>
            <w:r w:rsidRPr="00A06B38">
              <w:tab/>
              <w:t xml:space="preserve">Al </w:t>
            </w:r>
            <w:proofErr w:type="gramStart"/>
            <w:r w:rsidRPr="00A06B38">
              <w:t>Director</w:t>
            </w:r>
            <w:proofErr w:type="gramEnd"/>
            <w:r w:rsidRPr="00A06B38">
              <w:t xml:space="preserve"> de la Oficina de Radiocomunicaciones</w:t>
            </w:r>
          </w:p>
        </w:tc>
      </w:tr>
      <w:tr w:rsidR="001350B9" w:rsidRPr="00A06B38" w14:paraId="2EF71B79" w14:textId="77777777" w:rsidTr="002861F4">
        <w:trPr>
          <w:cantSplit/>
        </w:trPr>
        <w:tc>
          <w:tcPr>
            <w:tcW w:w="1126" w:type="dxa"/>
          </w:tcPr>
          <w:p w14:paraId="7EC43F27" w14:textId="77777777" w:rsidR="001350B9" w:rsidRPr="00A06B38" w:rsidRDefault="001350B9" w:rsidP="00303D62">
            <w:pPr>
              <w:tabs>
                <w:tab w:val="left" w:pos="4111"/>
              </w:tabs>
              <w:spacing w:before="10"/>
              <w:ind w:left="57"/>
              <w:rPr>
                <w:b/>
              </w:rPr>
            </w:pPr>
            <w:r w:rsidRPr="00A06B38">
              <w:rPr>
                <w:b/>
              </w:rPr>
              <w:t>Tel.:</w:t>
            </w:r>
          </w:p>
        </w:tc>
        <w:tc>
          <w:tcPr>
            <w:tcW w:w="3751" w:type="dxa"/>
            <w:gridSpan w:val="2"/>
          </w:tcPr>
          <w:p w14:paraId="49B7ADA8" w14:textId="77777777" w:rsidR="001350B9" w:rsidRPr="00A06B38" w:rsidRDefault="001350B9" w:rsidP="00303D62">
            <w:pPr>
              <w:tabs>
                <w:tab w:val="left" w:pos="4111"/>
              </w:tabs>
              <w:spacing w:before="0"/>
              <w:ind w:left="57"/>
              <w:rPr>
                <w:rStyle w:val="Hyperlink"/>
              </w:rPr>
            </w:pPr>
            <w:r w:rsidRPr="00A06B38">
              <w:t>+41 22 730</w:t>
            </w:r>
            <w:r w:rsidR="002861F4" w:rsidRPr="00A06B38">
              <w:t xml:space="preserve"> 5415</w:t>
            </w:r>
          </w:p>
        </w:tc>
        <w:tc>
          <w:tcPr>
            <w:tcW w:w="5329" w:type="dxa"/>
            <w:vMerge/>
          </w:tcPr>
          <w:p w14:paraId="268DF4DA" w14:textId="77777777" w:rsidR="001350B9" w:rsidRPr="00A06B38" w:rsidRDefault="001350B9" w:rsidP="00303D62">
            <w:pPr>
              <w:tabs>
                <w:tab w:val="left" w:pos="226"/>
                <w:tab w:val="left" w:pos="510"/>
              </w:tabs>
              <w:spacing w:before="0"/>
              <w:ind w:left="226" w:hanging="169"/>
              <w:rPr>
                <w:b/>
              </w:rPr>
            </w:pPr>
          </w:p>
        </w:tc>
      </w:tr>
      <w:tr w:rsidR="001350B9" w:rsidRPr="00A06B38" w14:paraId="37872843" w14:textId="77777777" w:rsidTr="002861F4">
        <w:trPr>
          <w:cantSplit/>
        </w:trPr>
        <w:tc>
          <w:tcPr>
            <w:tcW w:w="1126" w:type="dxa"/>
          </w:tcPr>
          <w:p w14:paraId="58E5C759" w14:textId="77777777" w:rsidR="001350B9" w:rsidRPr="00A06B38" w:rsidRDefault="001350B9" w:rsidP="00303D62">
            <w:pPr>
              <w:tabs>
                <w:tab w:val="left" w:pos="4111"/>
              </w:tabs>
              <w:spacing w:before="10"/>
              <w:ind w:left="57"/>
              <w:rPr>
                <w:b/>
              </w:rPr>
            </w:pPr>
            <w:r w:rsidRPr="00A06B38">
              <w:rPr>
                <w:b/>
              </w:rPr>
              <w:t>Fax:</w:t>
            </w:r>
          </w:p>
        </w:tc>
        <w:tc>
          <w:tcPr>
            <w:tcW w:w="3751" w:type="dxa"/>
            <w:gridSpan w:val="2"/>
          </w:tcPr>
          <w:p w14:paraId="021D8BBC" w14:textId="77777777" w:rsidR="001350B9" w:rsidRPr="00A06B38" w:rsidRDefault="001350B9" w:rsidP="00303D62">
            <w:pPr>
              <w:tabs>
                <w:tab w:val="left" w:pos="4111"/>
              </w:tabs>
              <w:spacing w:before="0"/>
              <w:ind w:left="57"/>
              <w:rPr>
                <w:rStyle w:val="Hyperlink"/>
              </w:rPr>
            </w:pPr>
            <w:r w:rsidRPr="00A06B38">
              <w:t>+41 22 730 5853</w:t>
            </w:r>
          </w:p>
        </w:tc>
        <w:tc>
          <w:tcPr>
            <w:tcW w:w="5329" w:type="dxa"/>
            <w:vMerge/>
          </w:tcPr>
          <w:p w14:paraId="42865C13" w14:textId="77777777" w:rsidR="001350B9" w:rsidRPr="00A06B38" w:rsidRDefault="001350B9" w:rsidP="00303D62">
            <w:pPr>
              <w:tabs>
                <w:tab w:val="left" w:pos="226"/>
                <w:tab w:val="left" w:pos="510"/>
              </w:tabs>
              <w:spacing w:before="0"/>
              <w:ind w:left="226" w:hanging="169"/>
              <w:rPr>
                <w:b/>
              </w:rPr>
            </w:pPr>
          </w:p>
        </w:tc>
      </w:tr>
      <w:tr w:rsidR="001350B9" w:rsidRPr="00A06B38" w14:paraId="1811DFEE" w14:textId="77777777" w:rsidTr="002861F4">
        <w:trPr>
          <w:cantSplit/>
        </w:trPr>
        <w:tc>
          <w:tcPr>
            <w:tcW w:w="1126" w:type="dxa"/>
          </w:tcPr>
          <w:p w14:paraId="57205746" w14:textId="77777777" w:rsidR="001350B9" w:rsidRPr="00A06B38" w:rsidRDefault="001350B9" w:rsidP="00303D62">
            <w:pPr>
              <w:tabs>
                <w:tab w:val="left" w:pos="4111"/>
              </w:tabs>
              <w:spacing w:before="10"/>
              <w:ind w:left="57"/>
              <w:rPr>
                <w:b/>
              </w:rPr>
            </w:pPr>
            <w:r w:rsidRPr="00A06B38">
              <w:rPr>
                <w:b/>
              </w:rPr>
              <w:t>Correo-e:</w:t>
            </w:r>
          </w:p>
        </w:tc>
        <w:tc>
          <w:tcPr>
            <w:tcW w:w="3751" w:type="dxa"/>
            <w:gridSpan w:val="2"/>
          </w:tcPr>
          <w:p w14:paraId="0EC0F678" w14:textId="77777777" w:rsidR="001350B9" w:rsidRPr="00A06B38" w:rsidRDefault="003B41E1" w:rsidP="00303D62">
            <w:pPr>
              <w:tabs>
                <w:tab w:val="left" w:pos="4111"/>
              </w:tabs>
              <w:spacing w:before="0"/>
              <w:ind w:left="57"/>
            </w:pPr>
            <w:hyperlink r:id="rId9" w:history="1">
              <w:r w:rsidR="002861F4" w:rsidRPr="00A06B38">
                <w:rPr>
                  <w:rStyle w:val="Hyperlink"/>
                </w:rPr>
                <w:t>tsbsg2@itu.int</w:t>
              </w:r>
            </w:hyperlink>
            <w:r w:rsidR="001350B9" w:rsidRPr="00A06B38">
              <w:t xml:space="preserve"> </w:t>
            </w:r>
          </w:p>
        </w:tc>
        <w:tc>
          <w:tcPr>
            <w:tcW w:w="5329" w:type="dxa"/>
            <w:vMerge/>
          </w:tcPr>
          <w:p w14:paraId="1BBC0B80" w14:textId="77777777" w:rsidR="001350B9" w:rsidRPr="00A06B38" w:rsidRDefault="001350B9" w:rsidP="00303D62">
            <w:pPr>
              <w:tabs>
                <w:tab w:val="clear" w:pos="794"/>
                <w:tab w:val="clear" w:pos="1191"/>
                <w:tab w:val="clear" w:pos="1588"/>
                <w:tab w:val="clear" w:pos="1985"/>
                <w:tab w:val="left" w:pos="226"/>
                <w:tab w:val="left" w:pos="510"/>
              </w:tabs>
              <w:spacing w:before="0"/>
              <w:ind w:left="226" w:hanging="169"/>
            </w:pPr>
          </w:p>
        </w:tc>
      </w:tr>
      <w:tr w:rsidR="007B6316" w:rsidRPr="00A06B38" w14:paraId="3E2B8DA5" w14:textId="77777777" w:rsidTr="002861F4">
        <w:trPr>
          <w:cantSplit/>
        </w:trPr>
        <w:tc>
          <w:tcPr>
            <w:tcW w:w="1126" w:type="dxa"/>
          </w:tcPr>
          <w:p w14:paraId="00C86A4F" w14:textId="77777777" w:rsidR="007B6316" w:rsidRPr="00A06B38" w:rsidRDefault="007B6316" w:rsidP="002861F4">
            <w:pPr>
              <w:tabs>
                <w:tab w:val="left" w:pos="4111"/>
              </w:tabs>
              <w:spacing w:before="0" w:after="360"/>
              <w:ind w:left="57"/>
              <w:rPr>
                <w:b/>
              </w:rPr>
            </w:pPr>
            <w:r w:rsidRPr="00A06B38">
              <w:rPr>
                <w:b/>
              </w:rPr>
              <w:t>Asunto:</w:t>
            </w:r>
          </w:p>
        </w:tc>
        <w:tc>
          <w:tcPr>
            <w:tcW w:w="9080" w:type="dxa"/>
            <w:gridSpan w:val="3"/>
          </w:tcPr>
          <w:p w14:paraId="23A2F8B2" w14:textId="77777777" w:rsidR="007B6316" w:rsidRPr="00A06B38" w:rsidRDefault="002861F4" w:rsidP="002861F4">
            <w:pPr>
              <w:tabs>
                <w:tab w:val="left" w:pos="4111"/>
              </w:tabs>
              <w:spacing w:before="0" w:after="360"/>
              <w:rPr>
                <w:b/>
              </w:rPr>
            </w:pPr>
            <w:r w:rsidRPr="00A06B38">
              <w:rPr>
                <w:b/>
                <w:bCs/>
              </w:rPr>
              <w:t>Actualización de la Lista recapitulativa de las restricciones de servicio</w:t>
            </w:r>
          </w:p>
        </w:tc>
      </w:tr>
    </w:tbl>
    <w:p w14:paraId="27E5D523" w14:textId="77777777" w:rsidR="00C34772" w:rsidRPr="00A06B38" w:rsidRDefault="00C34772" w:rsidP="002861F4">
      <w:pPr>
        <w:pStyle w:val="Normalaftertitle"/>
      </w:pPr>
      <w:bookmarkStart w:id="1" w:name="StartTyping_S"/>
      <w:bookmarkStart w:id="2" w:name="suitetext"/>
      <w:bookmarkStart w:id="3" w:name="text"/>
      <w:bookmarkEnd w:id="1"/>
      <w:bookmarkEnd w:id="2"/>
      <w:bookmarkEnd w:id="3"/>
      <w:r w:rsidRPr="00A06B38">
        <w:t>Muy Señora mía/Muy Señor mío:</w:t>
      </w:r>
    </w:p>
    <w:p w14:paraId="372E67F2" w14:textId="77777777" w:rsidR="002861F4" w:rsidRPr="00A06B38" w:rsidRDefault="002861F4" w:rsidP="002861F4">
      <w:r w:rsidRPr="00A06B38">
        <w:t>En su reciente reunión (Ginebra, 8-17 de noviembre de 2023), la CE 2 del UIT-T examinó la información contenida en la Lista recapitulativa de las restricciones de servicio (</w:t>
      </w:r>
      <w:hyperlink r:id="rId10" w:history="1">
        <w:r w:rsidRPr="00A06B38">
          <w:rPr>
            <w:rStyle w:val="Hyperlink"/>
          </w:rPr>
          <w:t>https://www.itu.int/pub/T-SP-SR.1-2012</w:t>
        </w:r>
      </w:hyperlink>
      <w:r w:rsidRPr="00A06B38">
        <w:t>), que puede consultarse en el apartado «Restricciones de servicio» del Boletín de Explotación (</w:t>
      </w:r>
      <w:hyperlink r:id="rId11" w:history="1">
        <w:r w:rsidRPr="00A06B38">
          <w:rPr>
            <w:rStyle w:val="Hyperlink"/>
          </w:rPr>
          <w:t>https://www.itu.int/pub/T-SP-OB</w:t>
        </w:r>
      </w:hyperlink>
      <w:r w:rsidRPr="00A06B38">
        <w:t>). Esta lista no se ha actualizado desde 2012.</w:t>
      </w:r>
    </w:p>
    <w:p w14:paraId="0A568CA7" w14:textId="77777777" w:rsidR="002861F4" w:rsidRPr="00A06B38" w:rsidRDefault="002861F4" w:rsidP="002861F4">
      <w:pPr>
        <w:rPr>
          <w:spacing w:val="-2"/>
        </w:rPr>
      </w:pPr>
      <w:r w:rsidRPr="00A06B38">
        <w:rPr>
          <w:spacing w:val="-2"/>
        </w:rPr>
        <w:t xml:space="preserve">El objetivo de esta Circular es actualizar la Lista para compartir información relacionada con las restricciones de servicio que existen en un entorno nacional, a fin de que, en la medida de lo posible, queden claros y sean transparentes los servicios que no están permitidos en una jurisdicción nacional. Desde la última actualización de la lista, el entorno de las telecomunicaciones/TIC ha evolucionado, por lo que es importante ponerla al día. </w:t>
      </w:r>
    </w:p>
    <w:p w14:paraId="355E9F10" w14:textId="77777777" w:rsidR="002861F4" w:rsidRPr="00A06B38" w:rsidRDefault="002861F4" w:rsidP="002861F4">
      <w:r w:rsidRPr="00A06B38">
        <w:t>Animo a los Estados Miembros a adoptar las siguientes medidas en relación con la Lista recapitulativa de las restricciones de servicio:</w:t>
      </w:r>
    </w:p>
    <w:p w14:paraId="0A08EBBA" w14:textId="77777777" w:rsidR="002861F4" w:rsidRPr="00A06B38" w:rsidRDefault="002861F4" w:rsidP="002861F4">
      <w:pPr>
        <w:pStyle w:val="enumlev1"/>
      </w:pPr>
      <w:r w:rsidRPr="00A06B38">
        <w:t>1)</w:t>
      </w:r>
      <w:r w:rsidRPr="00A06B38">
        <w:tab/>
        <w:t>Verificar si la información relativa a su entorno nacional en los documentos mencionados sigue siendo pertinente.</w:t>
      </w:r>
    </w:p>
    <w:p w14:paraId="1347F9EB" w14:textId="77777777" w:rsidR="002861F4" w:rsidRPr="00A06B38" w:rsidRDefault="002861F4" w:rsidP="002861F4">
      <w:pPr>
        <w:pStyle w:val="enumlev1"/>
      </w:pPr>
      <w:r w:rsidRPr="00A06B38">
        <w:t>2)</w:t>
      </w:r>
      <w:r w:rsidRPr="00A06B38">
        <w:tab/>
        <w:t>Facilitar a la TSB información actualizada sobre las restricciones de servicio vigentes en su entorno nacional que pueda incluirse en la Lista recapitulativa de las restricciones de servicio.</w:t>
      </w:r>
    </w:p>
    <w:p w14:paraId="4B4B5A74" w14:textId="77777777" w:rsidR="002861F4" w:rsidRPr="00A06B38" w:rsidRDefault="002861F4" w:rsidP="002861F4">
      <w:pPr>
        <w:pStyle w:val="enumlev1"/>
      </w:pPr>
      <w:r w:rsidRPr="00A06B38">
        <w:t>3)</w:t>
      </w:r>
      <w:r w:rsidRPr="00A06B38">
        <w:tab/>
        <w:t>En el caso de los Estados miembros sobre los que actualmente no figura información en la Lista recapitulativa de las restricciones de servicio, proporcionar a la TSB dicha información.</w:t>
      </w:r>
    </w:p>
    <w:p w14:paraId="24D9E2D1" w14:textId="77777777" w:rsidR="002861F4" w:rsidRPr="00A06B38" w:rsidRDefault="002861F4" w:rsidP="002861F4">
      <w:r w:rsidRPr="00A06B38">
        <w:t>Se invita a los Estados Miembros a enviar sus respuestas a la Secretaría de la TSB (</w:t>
      </w:r>
      <w:hyperlink r:id="rId12" w:history="1">
        <w:r w:rsidRPr="00A06B38">
          <w:rPr>
            <w:rStyle w:val="Hyperlink"/>
          </w:rPr>
          <w:t>tsbtson@itu.int</w:t>
        </w:r>
      </w:hyperlink>
      <w:r w:rsidRPr="00A06B38">
        <w:t>) a más tardar el 31 de enero de 2024 para incluirla en una actualización de Lista recapitulativa de las restricciones de servicio. Las respuestas recibidas después de esa fecha se anunciarán en el Boletín de Explotación.</w:t>
      </w:r>
    </w:p>
    <w:p w14:paraId="55DF3B20" w14:textId="77777777" w:rsidR="007B6316" w:rsidRPr="00A06B38" w:rsidRDefault="007B6316" w:rsidP="002861F4">
      <w:r w:rsidRPr="00A06B38">
        <w:lastRenderedPageBreak/>
        <w:t>Atentamente,</w:t>
      </w:r>
    </w:p>
    <w:p w14:paraId="4ED14B4A" w14:textId="539B7B55" w:rsidR="00401C20" w:rsidRPr="00A06B38" w:rsidRDefault="003B41E1" w:rsidP="00830CE2">
      <w:pPr>
        <w:spacing w:before="960"/>
      </w:pPr>
      <w:r>
        <w:rPr>
          <w:rFonts w:cstheme="minorHAnsi"/>
          <w:noProof/>
          <w:szCs w:val="22"/>
        </w:rPr>
        <w:drawing>
          <wp:anchor distT="0" distB="0" distL="114300" distR="114300" simplePos="0" relativeHeight="251658240" behindDoc="1" locked="0" layoutInCell="1" allowOverlap="1" wp14:anchorId="0ED76125" wp14:editId="3D16BBD0">
            <wp:simplePos x="0" y="0"/>
            <wp:positionH relativeFrom="column">
              <wp:posOffset>3810</wp:posOffset>
            </wp:positionH>
            <wp:positionV relativeFrom="paragraph">
              <wp:posOffset>208280</wp:posOffset>
            </wp:positionV>
            <wp:extent cx="676759" cy="304800"/>
            <wp:effectExtent l="0" t="0" r="9525" b="0"/>
            <wp:wrapNone/>
            <wp:docPr id="829614467"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14467" name="Picture 1" descr="A black and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6759" cy="304800"/>
                    </a:xfrm>
                    <a:prstGeom prst="rect">
                      <a:avLst/>
                    </a:prstGeom>
                  </pic:spPr>
                </pic:pic>
              </a:graphicData>
            </a:graphic>
            <wp14:sizeRelH relativeFrom="margin">
              <wp14:pctWidth>0</wp14:pctWidth>
            </wp14:sizeRelH>
            <wp14:sizeRelV relativeFrom="margin">
              <wp14:pctHeight>0</wp14:pctHeight>
            </wp14:sizeRelV>
          </wp:anchor>
        </w:drawing>
      </w:r>
      <w:r w:rsidR="001350B9" w:rsidRPr="00A06B38">
        <w:rPr>
          <w:rFonts w:cstheme="minorHAnsi"/>
          <w:szCs w:val="22"/>
        </w:rPr>
        <w:t>Seizo Onoe</w:t>
      </w:r>
      <w:r w:rsidR="007B6316" w:rsidRPr="00A06B38">
        <w:br/>
      </w:r>
      <w:proofErr w:type="gramStart"/>
      <w:r w:rsidR="007B6316" w:rsidRPr="00A06B38">
        <w:t>Director</w:t>
      </w:r>
      <w:proofErr w:type="gramEnd"/>
      <w:r w:rsidR="007B6316" w:rsidRPr="00A06B38">
        <w:t xml:space="preserve"> de la Oficina de </w:t>
      </w:r>
      <w:r w:rsidR="007B6316" w:rsidRPr="00A06B38">
        <w:br/>
        <w:t>Normalización de las Telecomunicaciones</w:t>
      </w:r>
    </w:p>
    <w:sectPr w:rsidR="00401C20" w:rsidRPr="00A06B38"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1A2D" w14:textId="77777777" w:rsidR="002861F4" w:rsidRDefault="002861F4">
      <w:r>
        <w:separator/>
      </w:r>
    </w:p>
  </w:endnote>
  <w:endnote w:type="continuationSeparator" w:id="0">
    <w:p w14:paraId="12DC5335" w14:textId="77777777" w:rsidR="002861F4" w:rsidRDefault="0028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0681"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2861F4">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C8A2" w14:textId="77777777" w:rsidR="002861F4" w:rsidRDefault="002861F4">
      <w:r>
        <w:t>____________________</w:t>
      </w:r>
    </w:p>
  </w:footnote>
  <w:footnote w:type="continuationSeparator" w:id="0">
    <w:p w14:paraId="75B74EC5" w14:textId="77777777" w:rsidR="002861F4" w:rsidRDefault="0028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C86F"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06B38">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596450944">
    <w:abstractNumId w:val="0"/>
  </w:num>
  <w:num w:numId="2" w16cid:durableId="527838406">
    <w:abstractNumId w:val="3"/>
  </w:num>
  <w:num w:numId="3" w16cid:durableId="709918128">
    <w:abstractNumId w:val="2"/>
  </w:num>
  <w:num w:numId="4" w16cid:durableId="3809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F4"/>
    <w:rsid w:val="00002529"/>
    <w:rsid w:val="00085662"/>
    <w:rsid w:val="000C382F"/>
    <w:rsid w:val="001173CC"/>
    <w:rsid w:val="001350B9"/>
    <w:rsid w:val="0014464D"/>
    <w:rsid w:val="001A54CC"/>
    <w:rsid w:val="00257FB4"/>
    <w:rsid w:val="002861F4"/>
    <w:rsid w:val="002E496E"/>
    <w:rsid w:val="00303D62"/>
    <w:rsid w:val="00335367"/>
    <w:rsid w:val="00370C2D"/>
    <w:rsid w:val="003B41E1"/>
    <w:rsid w:val="003D1E8D"/>
    <w:rsid w:val="003D673B"/>
    <w:rsid w:val="003F2855"/>
    <w:rsid w:val="00401C20"/>
    <w:rsid w:val="004A7957"/>
    <w:rsid w:val="004C4144"/>
    <w:rsid w:val="0055719E"/>
    <w:rsid w:val="006969B4"/>
    <w:rsid w:val="006E4F7B"/>
    <w:rsid w:val="00781E2A"/>
    <w:rsid w:val="007933A2"/>
    <w:rsid w:val="007B6316"/>
    <w:rsid w:val="00814503"/>
    <w:rsid w:val="008258C2"/>
    <w:rsid w:val="00830CE2"/>
    <w:rsid w:val="008505BD"/>
    <w:rsid w:val="00850C78"/>
    <w:rsid w:val="00876165"/>
    <w:rsid w:val="00884D12"/>
    <w:rsid w:val="008C17AD"/>
    <w:rsid w:val="008D02CD"/>
    <w:rsid w:val="0091370C"/>
    <w:rsid w:val="0095172A"/>
    <w:rsid w:val="00994A79"/>
    <w:rsid w:val="009A0BA0"/>
    <w:rsid w:val="00A06B38"/>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A216E"/>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BCD39"/>
  <w15:docId w15:val="{47E30B31-0B80-4FAB-89B3-0582DD9F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SP-OB/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T-SP-SR.1-2012/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B7EF-5DE7-4365-9B09-365ABCD7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12</TotalTime>
  <Pages>2</Pages>
  <Words>401</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2819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2023-12-06T09:57:00Z</cp:lastPrinted>
  <dcterms:created xsi:type="dcterms:W3CDTF">2023-11-28T15:07:00Z</dcterms:created>
  <dcterms:modified xsi:type="dcterms:W3CDTF">2023-12-06T09:58:00Z</dcterms:modified>
</cp:coreProperties>
</file>