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08"/>
        <w:gridCol w:w="5042"/>
      </w:tblGrid>
      <w:tr w:rsidR="00EF6A23" w:rsidRPr="00BB0AF5" w14:paraId="3FDAE1F3" w14:textId="77777777" w:rsidTr="003F083D">
        <w:trPr>
          <w:cantSplit/>
        </w:trPr>
        <w:tc>
          <w:tcPr>
            <w:tcW w:w="0" w:type="auto"/>
            <w:vAlign w:val="center"/>
          </w:tcPr>
          <w:p w14:paraId="3DE42CAA" w14:textId="77777777" w:rsidR="00EF6A23" w:rsidRPr="00BB0AF5" w:rsidRDefault="00EF6A23" w:rsidP="00D14F31">
            <w:pPr>
              <w:tabs>
                <w:tab w:val="right" w:pos="8732"/>
              </w:tabs>
              <w:spacing w:before="0"/>
              <w:rPr>
                <w:b/>
                <w:bCs/>
                <w:iCs/>
                <w:color w:val="FFFFFF"/>
                <w:sz w:val="30"/>
                <w:szCs w:val="30"/>
              </w:rPr>
            </w:pPr>
            <w:r w:rsidRPr="00BB0AF5">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BB0AF5" w:rsidRDefault="00EF6A23" w:rsidP="00EF6A23">
            <w:pPr>
              <w:spacing w:before="0"/>
              <w:rPr>
                <w:rFonts w:cs="Times New Roman Bold"/>
                <w:b/>
                <w:bCs/>
                <w:iCs/>
                <w:smallCaps/>
                <w:sz w:val="34"/>
                <w:szCs w:val="34"/>
              </w:rPr>
            </w:pPr>
            <w:r w:rsidRPr="00BB0AF5">
              <w:rPr>
                <w:rFonts w:cs="Times New Roman Bold"/>
                <w:b/>
                <w:bCs/>
                <w:iCs/>
                <w:smallCaps/>
                <w:sz w:val="34"/>
                <w:szCs w:val="34"/>
              </w:rPr>
              <w:t>Union internationale des télécommunications</w:t>
            </w:r>
          </w:p>
          <w:p w14:paraId="089E66D0" w14:textId="77777777" w:rsidR="00EF6A23" w:rsidRPr="00BB0AF5" w:rsidRDefault="00EF6A23" w:rsidP="00EF6A23">
            <w:pPr>
              <w:spacing w:before="0"/>
              <w:rPr>
                <w:color w:val="FFFFFF"/>
                <w:sz w:val="26"/>
                <w:szCs w:val="26"/>
              </w:rPr>
            </w:pPr>
            <w:r w:rsidRPr="00BB0AF5">
              <w:rPr>
                <w:rFonts w:cs="Times New Roman Bold"/>
                <w:b/>
                <w:bCs/>
                <w:iCs/>
                <w:smallCaps/>
                <w:sz w:val="28"/>
                <w:szCs w:val="28"/>
              </w:rPr>
              <w:t>B</w:t>
            </w:r>
            <w:r w:rsidRPr="00BB0AF5">
              <w:rPr>
                <w:b/>
                <w:bCs/>
                <w:iCs/>
                <w:smallCaps/>
                <w:sz w:val="28"/>
                <w:szCs w:val="28"/>
              </w:rPr>
              <w:t>ureau de la Normalisation des Télécommunications</w:t>
            </w:r>
          </w:p>
        </w:tc>
      </w:tr>
      <w:tr w:rsidR="00036F4F" w:rsidRPr="00462485" w14:paraId="18B25741" w14:textId="77777777" w:rsidTr="00462485">
        <w:trPr>
          <w:cantSplit/>
          <w:trHeight w:val="697"/>
        </w:trPr>
        <w:tc>
          <w:tcPr>
            <w:tcW w:w="0" w:type="auto"/>
          </w:tcPr>
          <w:p w14:paraId="4B1AFD72" w14:textId="77777777" w:rsidR="00036F4F" w:rsidRPr="00462485"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462485" w:rsidRDefault="00036F4F" w:rsidP="00A5280F">
            <w:pPr>
              <w:tabs>
                <w:tab w:val="left" w:pos="4111"/>
              </w:tabs>
              <w:spacing w:before="10"/>
              <w:ind w:left="57"/>
              <w:rPr>
                <w:rFonts w:cstheme="minorHAnsi"/>
                <w:b/>
                <w:sz w:val="22"/>
                <w:szCs w:val="22"/>
              </w:rPr>
            </w:pPr>
          </w:p>
        </w:tc>
        <w:tc>
          <w:tcPr>
            <w:tcW w:w="5051" w:type="dxa"/>
          </w:tcPr>
          <w:p w14:paraId="0DC34ECA" w14:textId="0CDFDF98" w:rsidR="00036F4F" w:rsidRPr="00462485"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462485">
              <w:rPr>
                <w:rFonts w:cstheme="minorHAnsi"/>
                <w:sz w:val="22"/>
                <w:szCs w:val="22"/>
              </w:rPr>
              <w:t>Genève, le</w:t>
            </w:r>
            <w:r w:rsidR="004419E9" w:rsidRPr="00462485">
              <w:rPr>
                <w:rFonts w:cstheme="minorHAnsi"/>
                <w:sz w:val="22"/>
                <w:szCs w:val="22"/>
              </w:rPr>
              <w:t xml:space="preserve"> </w:t>
            </w:r>
            <w:r w:rsidR="000D53B7" w:rsidRPr="00462485">
              <w:rPr>
                <w:rFonts w:cstheme="minorHAnsi"/>
                <w:sz w:val="22"/>
                <w:szCs w:val="22"/>
              </w:rPr>
              <w:t>19 décembre 2023</w:t>
            </w:r>
          </w:p>
        </w:tc>
      </w:tr>
      <w:tr w:rsidR="00445B68" w:rsidRPr="00462485" w14:paraId="16CDDFEF" w14:textId="77777777" w:rsidTr="00307FB4">
        <w:trPr>
          <w:cantSplit/>
          <w:trHeight w:val="340"/>
        </w:trPr>
        <w:tc>
          <w:tcPr>
            <w:tcW w:w="0" w:type="auto"/>
          </w:tcPr>
          <w:p w14:paraId="3EFF375D" w14:textId="58556577" w:rsidR="00445B68" w:rsidRPr="00462485" w:rsidRDefault="00445B68" w:rsidP="00307FB4">
            <w:pPr>
              <w:tabs>
                <w:tab w:val="left" w:pos="4111"/>
              </w:tabs>
              <w:spacing w:before="10"/>
              <w:ind w:left="57"/>
              <w:rPr>
                <w:rFonts w:cstheme="minorHAnsi"/>
                <w:b/>
                <w:bCs/>
                <w:sz w:val="22"/>
                <w:szCs w:val="22"/>
              </w:rPr>
            </w:pPr>
            <w:proofErr w:type="gramStart"/>
            <w:r w:rsidRPr="00462485">
              <w:rPr>
                <w:rFonts w:cstheme="minorHAnsi"/>
                <w:b/>
                <w:bCs/>
                <w:sz w:val="22"/>
                <w:szCs w:val="22"/>
              </w:rPr>
              <w:t>Réf.:</w:t>
            </w:r>
            <w:proofErr w:type="gramEnd"/>
          </w:p>
        </w:tc>
        <w:tc>
          <w:tcPr>
            <w:tcW w:w="3399" w:type="dxa"/>
          </w:tcPr>
          <w:p w14:paraId="5FFBBC9B" w14:textId="3C3FD1ED" w:rsidR="00445B68" w:rsidRPr="00462485" w:rsidRDefault="00445B68" w:rsidP="00A5280F">
            <w:pPr>
              <w:tabs>
                <w:tab w:val="left" w:pos="4111"/>
              </w:tabs>
              <w:spacing w:before="10"/>
              <w:ind w:left="57"/>
              <w:rPr>
                <w:rFonts w:cstheme="minorHAnsi"/>
                <w:b/>
                <w:sz w:val="22"/>
                <w:szCs w:val="22"/>
              </w:rPr>
            </w:pPr>
            <w:r w:rsidRPr="00462485">
              <w:rPr>
                <w:rFonts w:cstheme="minorHAnsi"/>
                <w:b/>
                <w:sz w:val="22"/>
                <w:szCs w:val="22"/>
              </w:rPr>
              <w:t xml:space="preserve">Circulaire TSB </w:t>
            </w:r>
            <w:r w:rsidR="000D53B7" w:rsidRPr="00462485">
              <w:rPr>
                <w:rFonts w:cstheme="minorHAnsi"/>
                <w:b/>
                <w:sz w:val="22"/>
                <w:szCs w:val="22"/>
              </w:rPr>
              <w:t>163</w:t>
            </w:r>
          </w:p>
          <w:p w14:paraId="577F6DA2" w14:textId="643A1D4A" w:rsidR="00445B68" w:rsidRPr="00462485" w:rsidRDefault="000D53B7" w:rsidP="00307FB4">
            <w:pPr>
              <w:tabs>
                <w:tab w:val="left" w:pos="4111"/>
              </w:tabs>
              <w:spacing w:before="10"/>
              <w:ind w:left="57"/>
              <w:rPr>
                <w:rFonts w:cstheme="minorHAnsi"/>
                <w:b/>
                <w:bCs/>
                <w:sz w:val="22"/>
                <w:szCs w:val="22"/>
              </w:rPr>
            </w:pPr>
            <w:r w:rsidRPr="00462485">
              <w:rPr>
                <w:rFonts w:cstheme="minorHAnsi"/>
                <w:b/>
                <w:bCs/>
                <w:sz w:val="22"/>
                <w:szCs w:val="22"/>
              </w:rPr>
              <w:t>Manifestations du TSB/SC</w:t>
            </w:r>
          </w:p>
        </w:tc>
        <w:tc>
          <w:tcPr>
            <w:tcW w:w="5051" w:type="dxa"/>
            <w:vMerge w:val="restart"/>
          </w:tcPr>
          <w:p w14:paraId="56FFB697" w14:textId="77777777" w:rsidR="00307FB4" w:rsidRPr="00462485" w:rsidRDefault="00307FB4" w:rsidP="00307FB4">
            <w:pPr>
              <w:tabs>
                <w:tab w:val="left" w:pos="226"/>
                <w:tab w:val="left" w:pos="4111"/>
              </w:tabs>
              <w:spacing w:before="0"/>
              <w:ind w:left="226" w:hanging="226"/>
              <w:rPr>
                <w:rFonts w:cstheme="minorHAnsi"/>
                <w:b/>
                <w:bCs/>
                <w:sz w:val="22"/>
                <w:szCs w:val="22"/>
              </w:rPr>
            </w:pPr>
            <w:bookmarkStart w:id="0" w:name="Addressee_F"/>
            <w:bookmarkEnd w:id="0"/>
            <w:proofErr w:type="gramStart"/>
            <w:r w:rsidRPr="00462485">
              <w:rPr>
                <w:rFonts w:cstheme="minorHAnsi"/>
                <w:b/>
                <w:bCs/>
                <w:sz w:val="22"/>
                <w:szCs w:val="22"/>
              </w:rPr>
              <w:t>Aux:</w:t>
            </w:r>
            <w:proofErr w:type="gramEnd"/>
          </w:p>
          <w:p w14:paraId="35271D8E" w14:textId="536C0CE8" w:rsidR="00307FB4" w:rsidRPr="00462485" w:rsidRDefault="00307FB4" w:rsidP="00307FB4">
            <w:pPr>
              <w:tabs>
                <w:tab w:val="left" w:pos="4111"/>
              </w:tabs>
              <w:spacing w:before="0"/>
              <w:ind w:left="426" w:hanging="426"/>
              <w:rPr>
                <w:rFonts w:cstheme="minorHAnsi"/>
                <w:sz w:val="22"/>
                <w:szCs w:val="22"/>
              </w:rPr>
            </w:pPr>
            <w:r w:rsidRPr="00462485">
              <w:rPr>
                <w:rFonts w:cstheme="minorHAnsi"/>
                <w:sz w:val="22"/>
                <w:szCs w:val="22"/>
              </w:rPr>
              <w:t>–</w:t>
            </w:r>
            <w:r w:rsidRPr="00462485">
              <w:rPr>
                <w:rFonts w:cstheme="minorHAnsi"/>
                <w:sz w:val="22"/>
                <w:szCs w:val="22"/>
              </w:rPr>
              <w:tab/>
              <w:t xml:space="preserve">Administrations des États Membres de </w:t>
            </w:r>
            <w:proofErr w:type="gramStart"/>
            <w:r w:rsidRPr="00462485">
              <w:rPr>
                <w:rFonts w:cstheme="minorHAnsi"/>
                <w:sz w:val="22"/>
                <w:szCs w:val="22"/>
              </w:rPr>
              <w:t>l'Union;</w:t>
            </w:r>
            <w:proofErr w:type="gramEnd"/>
          </w:p>
          <w:p w14:paraId="38A5A6AE" w14:textId="47344D7B" w:rsidR="00307FB4" w:rsidRPr="00462485" w:rsidRDefault="00307FB4" w:rsidP="00307FB4">
            <w:pPr>
              <w:tabs>
                <w:tab w:val="left" w:pos="4111"/>
              </w:tabs>
              <w:spacing w:before="0"/>
              <w:ind w:left="426" w:hanging="426"/>
              <w:rPr>
                <w:rFonts w:cstheme="minorHAnsi"/>
                <w:sz w:val="22"/>
                <w:szCs w:val="22"/>
              </w:rPr>
            </w:pPr>
            <w:r w:rsidRPr="00462485">
              <w:rPr>
                <w:rFonts w:cstheme="minorHAnsi"/>
                <w:sz w:val="22"/>
                <w:szCs w:val="22"/>
              </w:rPr>
              <w:t>–</w:t>
            </w:r>
            <w:r w:rsidRPr="00462485">
              <w:rPr>
                <w:rFonts w:cstheme="minorHAnsi"/>
                <w:sz w:val="22"/>
                <w:szCs w:val="22"/>
              </w:rPr>
              <w:tab/>
              <w:t>Membres du Secteur de l'UIT-</w:t>
            </w:r>
            <w:proofErr w:type="gramStart"/>
            <w:r w:rsidRPr="00462485">
              <w:rPr>
                <w:rFonts w:cstheme="minorHAnsi"/>
                <w:sz w:val="22"/>
                <w:szCs w:val="22"/>
              </w:rPr>
              <w:t>T;</w:t>
            </w:r>
            <w:proofErr w:type="gramEnd"/>
          </w:p>
          <w:p w14:paraId="45F82FBC" w14:textId="7313CB0A" w:rsidR="00307FB4" w:rsidRPr="00462485" w:rsidRDefault="00307FB4" w:rsidP="00307FB4">
            <w:pPr>
              <w:tabs>
                <w:tab w:val="left" w:pos="4111"/>
              </w:tabs>
              <w:spacing w:before="0"/>
              <w:ind w:left="426" w:hanging="426"/>
              <w:rPr>
                <w:rFonts w:cstheme="minorHAnsi"/>
                <w:sz w:val="22"/>
                <w:szCs w:val="22"/>
              </w:rPr>
            </w:pPr>
            <w:r w:rsidRPr="00462485">
              <w:rPr>
                <w:rFonts w:cstheme="minorHAnsi"/>
                <w:sz w:val="22"/>
                <w:szCs w:val="22"/>
              </w:rPr>
              <w:t>–</w:t>
            </w:r>
            <w:r w:rsidRPr="00462485">
              <w:rPr>
                <w:rFonts w:cstheme="minorHAnsi"/>
                <w:sz w:val="22"/>
                <w:szCs w:val="22"/>
              </w:rPr>
              <w:tab/>
              <w:t>Associés de l'UIT-</w:t>
            </w:r>
            <w:proofErr w:type="gramStart"/>
            <w:r w:rsidRPr="00462485">
              <w:rPr>
                <w:rFonts w:cstheme="minorHAnsi"/>
                <w:sz w:val="22"/>
                <w:szCs w:val="22"/>
              </w:rPr>
              <w:t>T;</w:t>
            </w:r>
            <w:proofErr w:type="gramEnd"/>
          </w:p>
          <w:p w14:paraId="461460AE" w14:textId="5666B808" w:rsidR="00445B68" w:rsidRPr="00462485" w:rsidRDefault="00307FB4" w:rsidP="00307FB4">
            <w:pPr>
              <w:tabs>
                <w:tab w:val="left" w:pos="4111"/>
              </w:tabs>
              <w:spacing w:before="0"/>
              <w:ind w:left="426" w:hanging="426"/>
              <w:rPr>
                <w:rFonts w:cstheme="minorHAnsi"/>
                <w:sz w:val="22"/>
                <w:szCs w:val="22"/>
              </w:rPr>
            </w:pPr>
            <w:r w:rsidRPr="00462485">
              <w:rPr>
                <w:rFonts w:cstheme="minorHAnsi"/>
                <w:sz w:val="22"/>
                <w:szCs w:val="22"/>
              </w:rPr>
              <w:t>–</w:t>
            </w:r>
            <w:r w:rsidRPr="00462485">
              <w:rPr>
                <w:rFonts w:cstheme="minorHAnsi"/>
                <w:sz w:val="22"/>
                <w:szCs w:val="22"/>
              </w:rPr>
              <w:tab/>
              <w:t>Établissements universitaires participant aux travaux de l'UIT</w:t>
            </w:r>
          </w:p>
        </w:tc>
      </w:tr>
      <w:tr w:rsidR="00307FB4" w:rsidRPr="00462485" w14:paraId="06A3F0E7" w14:textId="77777777" w:rsidTr="00307FB4">
        <w:trPr>
          <w:cantSplit/>
          <w:trHeight w:val="340"/>
        </w:trPr>
        <w:tc>
          <w:tcPr>
            <w:tcW w:w="0" w:type="auto"/>
          </w:tcPr>
          <w:p w14:paraId="5CF43A7B" w14:textId="19DE9588" w:rsidR="00307FB4" w:rsidRPr="00462485" w:rsidRDefault="00307FB4" w:rsidP="00A5280F">
            <w:pPr>
              <w:tabs>
                <w:tab w:val="left" w:pos="4111"/>
              </w:tabs>
              <w:spacing w:before="10"/>
              <w:ind w:left="57"/>
              <w:rPr>
                <w:rFonts w:cstheme="minorHAnsi"/>
                <w:b/>
                <w:bCs/>
                <w:sz w:val="22"/>
                <w:szCs w:val="22"/>
              </w:rPr>
            </w:pPr>
            <w:proofErr w:type="gramStart"/>
            <w:r w:rsidRPr="00462485">
              <w:rPr>
                <w:rFonts w:cstheme="minorHAnsi"/>
                <w:b/>
                <w:bCs/>
                <w:sz w:val="22"/>
                <w:szCs w:val="22"/>
              </w:rPr>
              <w:t>Contact:</w:t>
            </w:r>
            <w:proofErr w:type="gramEnd"/>
          </w:p>
        </w:tc>
        <w:tc>
          <w:tcPr>
            <w:tcW w:w="3399" w:type="dxa"/>
          </w:tcPr>
          <w:p w14:paraId="2074781F" w14:textId="2E1FCE94" w:rsidR="00307FB4" w:rsidRPr="00462485" w:rsidRDefault="000D53B7" w:rsidP="00A5280F">
            <w:pPr>
              <w:tabs>
                <w:tab w:val="left" w:pos="4111"/>
              </w:tabs>
              <w:spacing w:before="10"/>
              <w:ind w:left="57"/>
              <w:rPr>
                <w:rFonts w:cstheme="minorHAnsi"/>
                <w:bCs/>
                <w:sz w:val="22"/>
                <w:szCs w:val="22"/>
              </w:rPr>
            </w:pPr>
            <w:r w:rsidRPr="00462485">
              <w:rPr>
                <w:rFonts w:cstheme="minorHAnsi"/>
                <w:bCs/>
                <w:sz w:val="22"/>
                <w:szCs w:val="22"/>
              </w:rPr>
              <w:t>Simao Campos</w:t>
            </w:r>
          </w:p>
        </w:tc>
        <w:tc>
          <w:tcPr>
            <w:tcW w:w="5051" w:type="dxa"/>
            <w:vMerge/>
          </w:tcPr>
          <w:p w14:paraId="2F310545" w14:textId="77777777" w:rsidR="00307FB4" w:rsidRPr="00462485" w:rsidRDefault="00307FB4"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462485" w14:paraId="724FD23E" w14:textId="77777777" w:rsidTr="00307FB4">
        <w:trPr>
          <w:cantSplit/>
        </w:trPr>
        <w:tc>
          <w:tcPr>
            <w:tcW w:w="0" w:type="auto"/>
          </w:tcPr>
          <w:p w14:paraId="73149CCD" w14:textId="77777777" w:rsidR="00445B68" w:rsidRPr="00462485" w:rsidRDefault="00445B68" w:rsidP="00A5280F">
            <w:pPr>
              <w:tabs>
                <w:tab w:val="left" w:pos="4111"/>
              </w:tabs>
              <w:spacing w:before="10"/>
              <w:ind w:left="57"/>
              <w:rPr>
                <w:rFonts w:cstheme="minorHAnsi"/>
                <w:b/>
                <w:bCs/>
                <w:sz w:val="22"/>
                <w:szCs w:val="22"/>
              </w:rPr>
            </w:pPr>
            <w:proofErr w:type="gramStart"/>
            <w:r w:rsidRPr="00462485">
              <w:rPr>
                <w:rFonts w:cstheme="minorHAnsi"/>
                <w:b/>
                <w:bCs/>
                <w:sz w:val="22"/>
                <w:szCs w:val="22"/>
              </w:rPr>
              <w:t>Tél.:</w:t>
            </w:r>
            <w:proofErr w:type="gramEnd"/>
          </w:p>
        </w:tc>
        <w:tc>
          <w:tcPr>
            <w:tcW w:w="3399" w:type="dxa"/>
          </w:tcPr>
          <w:p w14:paraId="78D06186" w14:textId="4C260C1D" w:rsidR="00445B68" w:rsidRPr="00462485" w:rsidRDefault="00445B68" w:rsidP="00A5280F">
            <w:pPr>
              <w:tabs>
                <w:tab w:val="left" w:pos="4111"/>
              </w:tabs>
              <w:spacing w:before="0"/>
              <w:ind w:left="57"/>
              <w:rPr>
                <w:rFonts w:cstheme="minorHAnsi"/>
                <w:sz w:val="22"/>
                <w:szCs w:val="22"/>
              </w:rPr>
            </w:pPr>
            <w:r w:rsidRPr="00462485">
              <w:rPr>
                <w:rFonts w:cstheme="minorHAnsi"/>
                <w:sz w:val="22"/>
                <w:szCs w:val="22"/>
              </w:rPr>
              <w:t>+41 22 730</w:t>
            </w:r>
            <w:r w:rsidR="00307FB4" w:rsidRPr="00462485">
              <w:rPr>
                <w:rFonts w:cstheme="minorHAnsi"/>
                <w:sz w:val="22"/>
                <w:szCs w:val="22"/>
              </w:rPr>
              <w:t xml:space="preserve"> 6805</w:t>
            </w:r>
          </w:p>
        </w:tc>
        <w:tc>
          <w:tcPr>
            <w:tcW w:w="5051" w:type="dxa"/>
            <w:vMerge/>
          </w:tcPr>
          <w:p w14:paraId="6D3A5806" w14:textId="77777777" w:rsidR="00445B68" w:rsidRPr="00462485" w:rsidRDefault="00445B68" w:rsidP="00A5280F">
            <w:pPr>
              <w:tabs>
                <w:tab w:val="left" w:pos="226"/>
                <w:tab w:val="left" w:pos="4111"/>
              </w:tabs>
              <w:spacing w:before="0"/>
              <w:ind w:left="226" w:hanging="226"/>
              <w:rPr>
                <w:rFonts w:cstheme="minorHAnsi"/>
                <w:b/>
                <w:sz w:val="22"/>
                <w:szCs w:val="22"/>
              </w:rPr>
            </w:pPr>
          </w:p>
        </w:tc>
      </w:tr>
      <w:tr w:rsidR="00307FB4" w:rsidRPr="00462485" w14:paraId="030F9AE5" w14:textId="77777777" w:rsidTr="00462485">
        <w:trPr>
          <w:cantSplit/>
          <w:trHeight w:val="355"/>
        </w:trPr>
        <w:tc>
          <w:tcPr>
            <w:tcW w:w="0" w:type="auto"/>
          </w:tcPr>
          <w:p w14:paraId="7B417C4C" w14:textId="77777777" w:rsidR="00307FB4" w:rsidRPr="00462485" w:rsidRDefault="00307FB4" w:rsidP="00A5280F">
            <w:pPr>
              <w:tabs>
                <w:tab w:val="left" w:pos="4111"/>
              </w:tabs>
              <w:spacing w:before="10"/>
              <w:ind w:left="57"/>
              <w:rPr>
                <w:rFonts w:cstheme="minorHAnsi"/>
                <w:b/>
                <w:bCs/>
                <w:sz w:val="22"/>
                <w:szCs w:val="22"/>
              </w:rPr>
            </w:pPr>
            <w:proofErr w:type="gramStart"/>
            <w:r w:rsidRPr="00462485">
              <w:rPr>
                <w:rFonts w:cstheme="minorHAnsi"/>
                <w:b/>
                <w:bCs/>
                <w:sz w:val="22"/>
                <w:szCs w:val="22"/>
              </w:rPr>
              <w:t>Télécopie:</w:t>
            </w:r>
            <w:proofErr w:type="gramEnd"/>
          </w:p>
        </w:tc>
        <w:tc>
          <w:tcPr>
            <w:tcW w:w="3399" w:type="dxa"/>
          </w:tcPr>
          <w:p w14:paraId="1A4A5F7B" w14:textId="77777777" w:rsidR="00307FB4" w:rsidRPr="00462485" w:rsidRDefault="00307FB4" w:rsidP="00A5280F">
            <w:pPr>
              <w:tabs>
                <w:tab w:val="left" w:pos="4111"/>
              </w:tabs>
              <w:spacing w:before="0"/>
              <w:ind w:left="57"/>
              <w:rPr>
                <w:rFonts w:cstheme="minorHAnsi"/>
                <w:sz w:val="22"/>
                <w:szCs w:val="22"/>
              </w:rPr>
            </w:pPr>
            <w:r w:rsidRPr="00462485">
              <w:rPr>
                <w:rFonts w:cstheme="minorHAnsi"/>
                <w:sz w:val="22"/>
                <w:szCs w:val="22"/>
              </w:rPr>
              <w:t>+41 22 730 5853</w:t>
            </w:r>
          </w:p>
        </w:tc>
        <w:tc>
          <w:tcPr>
            <w:tcW w:w="5051" w:type="dxa"/>
            <w:vMerge/>
          </w:tcPr>
          <w:p w14:paraId="323DAC81" w14:textId="77777777" w:rsidR="00307FB4" w:rsidRPr="00462485" w:rsidRDefault="00307FB4" w:rsidP="00A5280F">
            <w:pPr>
              <w:tabs>
                <w:tab w:val="left" w:pos="226"/>
                <w:tab w:val="left" w:pos="4111"/>
              </w:tabs>
              <w:spacing w:before="0"/>
              <w:ind w:left="226" w:hanging="226"/>
              <w:rPr>
                <w:rFonts w:cstheme="minorHAnsi"/>
                <w:b/>
                <w:sz w:val="22"/>
                <w:szCs w:val="22"/>
              </w:rPr>
            </w:pPr>
          </w:p>
        </w:tc>
      </w:tr>
      <w:tr w:rsidR="00307FB4" w:rsidRPr="00462485" w14:paraId="640FB6B9" w14:textId="77777777" w:rsidTr="00462485">
        <w:trPr>
          <w:cantSplit/>
          <w:trHeight w:val="1793"/>
        </w:trPr>
        <w:tc>
          <w:tcPr>
            <w:tcW w:w="0" w:type="auto"/>
          </w:tcPr>
          <w:p w14:paraId="15527369" w14:textId="0865F49A" w:rsidR="00307FB4" w:rsidRPr="00462485" w:rsidRDefault="00307FB4" w:rsidP="00A5280F">
            <w:pPr>
              <w:tabs>
                <w:tab w:val="left" w:pos="4111"/>
              </w:tabs>
              <w:spacing w:before="10"/>
              <w:ind w:left="57"/>
              <w:rPr>
                <w:rFonts w:cstheme="minorHAnsi"/>
                <w:b/>
                <w:bCs/>
                <w:sz w:val="22"/>
                <w:szCs w:val="22"/>
              </w:rPr>
            </w:pPr>
            <w:proofErr w:type="gramStart"/>
            <w:r w:rsidRPr="00462485">
              <w:rPr>
                <w:rFonts w:cstheme="minorHAnsi"/>
                <w:b/>
                <w:bCs/>
                <w:sz w:val="22"/>
                <w:szCs w:val="22"/>
              </w:rPr>
              <w:t>Courriel:</w:t>
            </w:r>
            <w:proofErr w:type="gramEnd"/>
          </w:p>
        </w:tc>
        <w:tc>
          <w:tcPr>
            <w:tcW w:w="3399" w:type="dxa"/>
          </w:tcPr>
          <w:p w14:paraId="172249CE" w14:textId="6B0314A0" w:rsidR="00307FB4" w:rsidRPr="00462485" w:rsidRDefault="002B1379" w:rsidP="00A5280F">
            <w:pPr>
              <w:tabs>
                <w:tab w:val="left" w:pos="4111"/>
              </w:tabs>
              <w:spacing w:before="0"/>
              <w:ind w:left="57"/>
              <w:rPr>
                <w:rFonts w:cstheme="minorHAnsi"/>
                <w:sz w:val="22"/>
                <w:szCs w:val="22"/>
              </w:rPr>
            </w:pPr>
            <w:hyperlink r:id="rId9" w:history="1">
              <w:r w:rsidR="000D53B7" w:rsidRPr="00462485">
                <w:rPr>
                  <w:rStyle w:val="Hyperlink"/>
                  <w:rFonts w:cstheme="minorHAnsi"/>
                  <w:sz w:val="22"/>
                  <w:szCs w:val="22"/>
                </w:rPr>
                <w:t>tsbevents@itu.int</w:t>
              </w:r>
            </w:hyperlink>
          </w:p>
        </w:tc>
        <w:tc>
          <w:tcPr>
            <w:tcW w:w="5051" w:type="dxa"/>
          </w:tcPr>
          <w:p w14:paraId="55E5D357" w14:textId="77777777" w:rsidR="00307FB4" w:rsidRPr="00462485" w:rsidRDefault="00307FB4" w:rsidP="00307FB4">
            <w:pPr>
              <w:tabs>
                <w:tab w:val="clear" w:pos="794"/>
                <w:tab w:val="left" w:pos="226"/>
                <w:tab w:val="left" w:pos="4111"/>
              </w:tabs>
              <w:spacing w:before="0"/>
              <w:ind w:left="226" w:hanging="226"/>
              <w:rPr>
                <w:rFonts w:cstheme="minorHAnsi"/>
                <w:b/>
                <w:bCs/>
                <w:sz w:val="22"/>
                <w:szCs w:val="22"/>
              </w:rPr>
            </w:pPr>
            <w:proofErr w:type="gramStart"/>
            <w:r w:rsidRPr="00462485">
              <w:rPr>
                <w:rFonts w:cstheme="minorHAnsi"/>
                <w:b/>
                <w:bCs/>
                <w:sz w:val="22"/>
                <w:szCs w:val="22"/>
              </w:rPr>
              <w:t>Copie:</w:t>
            </w:r>
            <w:proofErr w:type="gramEnd"/>
          </w:p>
          <w:p w14:paraId="6CE98CB1" w14:textId="30E34639" w:rsidR="00307FB4" w:rsidRPr="00462485" w:rsidRDefault="00307FB4" w:rsidP="00307FB4">
            <w:pPr>
              <w:tabs>
                <w:tab w:val="clear" w:pos="794"/>
                <w:tab w:val="left" w:pos="4111"/>
              </w:tabs>
              <w:spacing w:before="0"/>
              <w:ind w:left="426" w:hanging="426"/>
              <w:rPr>
                <w:rFonts w:cstheme="minorHAnsi"/>
                <w:sz w:val="22"/>
                <w:szCs w:val="22"/>
              </w:rPr>
            </w:pPr>
            <w:r w:rsidRPr="00462485">
              <w:rPr>
                <w:rFonts w:cstheme="minorHAnsi"/>
                <w:sz w:val="22"/>
                <w:szCs w:val="22"/>
              </w:rPr>
              <w:t>–</w:t>
            </w:r>
            <w:r w:rsidRPr="00462485">
              <w:rPr>
                <w:rFonts w:cstheme="minorHAnsi"/>
                <w:sz w:val="22"/>
                <w:szCs w:val="22"/>
              </w:rPr>
              <w:tab/>
              <w:t xml:space="preserve">Aux Présidents et Vice-Présidents des Commissions </w:t>
            </w:r>
            <w:proofErr w:type="gramStart"/>
            <w:r w:rsidRPr="00462485">
              <w:rPr>
                <w:rFonts w:cstheme="minorHAnsi"/>
                <w:sz w:val="22"/>
                <w:szCs w:val="22"/>
              </w:rPr>
              <w:t>d'études;</w:t>
            </w:r>
            <w:proofErr w:type="gramEnd"/>
          </w:p>
          <w:p w14:paraId="56C75C35" w14:textId="1A09D40C" w:rsidR="00307FB4" w:rsidRPr="00462485" w:rsidRDefault="00307FB4" w:rsidP="00307FB4">
            <w:pPr>
              <w:tabs>
                <w:tab w:val="clear" w:pos="794"/>
                <w:tab w:val="left" w:pos="4111"/>
              </w:tabs>
              <w:spacing w:before="0"/>
              <w:ind w:left="426" w:hanging="426"/>
              <w:rPr>
                <w:rFonts w:cstheme="minorHAnsi"/>
                <w:sz w:val="22"/>
                <w:szCs w:val="22"/>
              </w:rPr>
            </w:pPr>
            <w:r w:rsidRPr="00462485">
              <w:rPr>
                <w:rFonts w:cstheme="minorHAnsi"/>
                <w:sz w:val="22"/>
                <w:szCs w:val="22"/>
              </w:rPr>
              <w:t>–</w:t>
            </w:r>
            <w:r w:rsidRPr="00462485">
              <w:rPr>
                <w:rFonts w:cstheme="minorHAnsi"/>
                <w:sz w:val="22"/>
                <w:szCs w:val="22"/>
              </w:rPr>
              <w:tab/>
              <w:t xml:space="preserve">Au Directeur du Bureau de développement des </w:t>
            </w:r>
            <w:proofErr w:type="gramStart"/>
            <w:r w:rsidRPr="00462485">
              <w:rPr>
                <w:rFonts w:cstheme="minorHAnsi"/>
                <w:sz w:val="22"/>
                <w:szCs w:val="22"/>
              </w:rPr>
              <w:t>télécommunications;</w:t>
            </w:r>
            <w:proofErr w:type="gramEnd"/>
          </w:p>
          <w:p w14:paraId="19762254" w14:textId="061893F3" w:rsidR="00307FB4" w:rsidRPr="00462485" w:rsidRDefault="00307FB4" w:rsidP="00307FB4">
            <w:pPr>
              <w:tabs>
                <w:tab w:val="clear" w:pos="794"/>
                <w:tab w:val="left" w:pos="4111"/>
              </w:tabs>
              <w:spacing w:before="0"/>
              <w:ind w:left="426" w:hanging="426"/>
              <w:rPr>
                <w:rFonts w:cstheme="minorHAnsi"/>
                <w:sz w:val="22"/>
                <w:szCs w:val="22"/>
              </w:rPr>
            </w:pPr>
            <w:r w:rsidRPr="00462485">
              <w:rPr>
                <w:rFonts w:cstheme="minorHAnsi"/>
                <w:sz w:val="22"/>
                <w:szCs w:val="22"/>
              </w:rPr>
              <w:t>–</w:t>
            </w:r>
            <w:r w:rsidRPr="00462485">
              <w:rPr>
                <w:rFonts w:cstheme="minorHAnsi"/>
                <w:sz w:val="22"/>
                <w:szCs w:val="22"/>
              </w:rPr>
              <w:tab/>
              <w:t>Au Directeur du Bureau des radiocommunications</w:t>
            </w:r>
          </w:p>
        </w:tc>
      </w:tr>
      <w:tr w:rsidR="00517A03" w:rsidRPr="00462485" w14:paraId="5435C04A" w14:textId="77777777" w:rsidTr="00C41B89">
        <w:trPr>
          <w:cantSplit/>
          <w:trHeight w:val="397"/>
        </w:trPr>
        <w:tc>
          <w:tcPr>
            <w:tcW w:w="0" w:type="auto"/>
          </w:tcPr>
          <w:p w14:paraId="2A0B9B4F" w14:textId="77777777" w:rsidR="00517A03" w:rsidRPr="00462485" w:rsidRDefault="00517A03" w:rsidP="00307FB4">
            <w:pPr>
              <w:tabs>
                <w:tab w:val="left" w:pos="4111"/>
              </w:tabs>
              <w:ind w:left="57"/>
              <w:rPr>
                <w:rFonts w:cstheme="minorHAnsi"/>
                <w:b/>
                <w:bCs/>
                <w:sz w:val="22"/>
                <w:szCs w:val="22"/>
              </w:rPr>
            </w:pPr>
            <w:proofErr w:type="gramStart"/>
            <w:r w:rsidRPr="00462485">
              <w:rPr>
                <w:rFonts w:cstheme="minorHAnsi"/>
                <w:b/>
                <w:bCs/>
                <w:sz w:val="22"/>
                <w:szCs w:val="22"/>
              </w:rPr>
              <w:t>Objet:</w:t>
            </w:r>
            <w:proofErr w:type="gramEnd"/>
          </w:p>
        </w:tc>
        <w:tc>
          <w:tcPr>
            <w:tcW w:w="0" w:type="auto"/>
            <w:gridSpan w:val="2"/>
          </w:tcPr>
          <w:p w14:paraId="1A51EE75" w14:textId="0C9AB1BC" w:rsidR="00517A03" w:rsidRPr="00462485" w:rsidRDefault="000D53B7" w:rsidP="000D53B7">
            <w:pPr>
              <w:tabs>
                <w:tab w:val="left" w:pos="4111"/>
              </w:tabs>
              <w:spacing w:after="120"/>
              <w:ind w:left="57"/>
              <w:rPr>
                <w:rFonts w:cstheme="minorHAnsi"/>
                <w:b/>
                <w:bCs/>
                <w:sz w:val="22"/>
                <w:szCs w:val="22"/>
              </w:rPr>
            </w:pPr>
            <w:r w:rsidRPr="00462485">
              <w:rPr>
                <w:rFonts w:cstheme="minorHAnsi"/>
                <w:b/>
                <w:bCs/>
                <w:sz w:val="22"/>
                <w:szCs w:val="22"/>
              </w:rPr>
              <w:t>Atelier conjoint UIT-OMS sur l'écoute sans risque dans le contexte des jeux vidéo et des sports électroniques</w:t>
            </w:r>
            <w:r w:rsidRPr="00462485">
              <w:rPr>
                <w:rFonts w:cstheme="minorHAnsi"/>
                <w:b/>
                <w:bCs/>
                <w:sz w:val="22"/>
                <w:szCs w:val="22"/>
              </w:rPr>
              <w:br/>
              <w:t>(Genève, Suisse, 30-31 janvier 2024)</w:t>
            </w:r>
          </w:p>
        </w:tc>
      </w:tr>
    </w:tbl>
    <w:p w14:paraId="2D1EC328" w14:textId="77777777" w:rsidR="00517A03" w:rsidRPr="00462485" w:rsidRDefault="00517A03" w:rsidP="00462485">
      <w:pPr>
        <w:rPr>
          <w:rFonts w:cstheme="minorHAnsi"/>
          <w:sz w:val="22"/>
          <w:szCs w:val="22"/>
        </w:rPr>
      </w:pPr>
      <w:bookmarkStart w:id="1" w:name="StartTyping_F"/>
      <w:bookmarkEnd w:id="1"/>
      <w:r w:rsidRPr="00462485">
        <w:rPr>
          <w:rFonts w:cstheme="minorHAnsi"/>
          <w:sz w:val="22"/>
          <w:szCs w:val="22"/>
        </w:rPr>
        <w:t>Madame, Monsieur,</w:t>
      </w:r>
    </w:p>
    <w:p w14:paraId="28DBB0AE" w14:textId="5DD69945" w:rsidR="000D53B7" w:rsidRPr="00462485" w:rsidRDefault="000D53B7" w:rsidP="00462485">
      <w:pPr>
        <w:rPr>
          <w:rFonts w:cstheme="minorHAnsi"/>
          <w:bCs/>
          <w:sz w:val="22"/>
          <w:szCs w:val="22"/>
        </w:rPr>
      </w:pPr>
      <w:r w:rsidRPr="00462485">
        <w:rPr>
          <w:rFonts w:cstheme="minorHAnsi"/>
          <w:bCs/>
          <w:sz w:val="22"/>
          <w:szCs w:val="22"/>
        </w:rPr>
        <w:t>1</w:t>
      </w:r>
      <w:r w:rsidRPr="00462485">
        <w:rPr>
          <w:rFonts w:cstheme="minorHAnsi"/>
          <w:bCs/>
          <w:sz w:val="22"/>
          <w:szCs w:val="22"/>
        </w:rPr>
        <w:tab/>
        <w:t xml:space="preserve">L'Union internationale des télécommunications (UIT), en collaboration avec l'Organisation mondiale de la santé (OMS), organise un atelier sur le thème </w:t>
      </w:r>
      <w:r w:rsidRPr="00462485">
        <w:rPr>
          <w:rFonts w:cstheme="minorHAnsi"/>
          <w:sz w:val="22"/>
          <w:szCs w:val="22"/>
        </w:rPr>
        <w:t>"</w:t>
      </w:r>
      <w:r w:rsidRPr="00462485">
        <w:rPr>
          <w:rFonts w:cstheme="minorHAnsi"/>
          <w:b/>
          <w:bCs/>
          <w:sz w:val="22"/>
          <w:szCs w:val="22"/>
        </w:rPr>
        <w:t>Écoute sans risque dans le contexte des jeux vidéo et des sports électroniques</w:t>
      </w:r>
      <w:r w:rsidRPr="00462485">
        <w:rPr>
          <w:rFonts w:cstheme="minorHAnsi"/>
          <w:sz w:val="22"/>
          <w:szCs w:val="22"/>
        </w:rPr>
        <w:t>"</w:t>
      </w:r>
      <w:r w:rsidRPr="00462485">
        <w:rPr>
          <w:rFonts w:cstheme="minorHAnsi"/>
          <w:bCs/>
          <w:sz w:val="22"/>
          <w:szCs w:val="22"/>
        </w:rPr>
        <w:t xml:space="preserve">, qui aura lieu à Genève, au siège de l'UIT, les </w:t>
      </w:r>
      <w:r w:rsidRPr="00462485">
        <w:rPr>
          <w:rFonts w:cstheme="minorHAnsi"/>
          <w:b/>
          <w:bCs/>
          <w:sz w:val="22"/>
          <w:szCs w:val="22"/>
        </w:rPr>
        <w:t>30</w:t>
      </w:r>
      <w:r w:rsidRPr="00462485">
        <w:rPr>
          <w:rFonts w:cstheme="minorHAnsi"/>
          <w:bCs/>
          <w:sz w:val="22"/>
          <w:szCs w:val="22"/>
        </w:rPr>
        <w:t xml:space="preserve"> et </w:t>
      </w:r>
      <w:r w:rsidRPr="00462485">
        <w:rPr>
          <w:rFonts w:cstheme="minorHAnsi"/>
          <w:b/>
          <w:bCs/>
          <w:sz w:val="22"/>
          <w:szCs w:val="22"/>
        </w:rPr>
        <w:t>31 janvier 2024</w:t>
      </w:r>
      <w:r w:rsidRPr="00462485">
        <w:rPr>
          <w:rFonts w:cstheme="minorHAnsi"/>
          <w:bCs/>
          <w:sz w:val="22"/>
          <w:szCs w:val="22"/>
        </w:rPr>
        <w:t>. Des services de sous-titrage et de participation à distance seront assurés pour cet atelier.</w:t>
      </w:r>
    </w:p>
    <w:p w14:paraId="0F15C66D" w14:textId="4F638C40" w:rsidR="000D53B7" w:rsidRPr="00462485" w:rsidRDefault="000D53B7" w:rsidP="00462485">
      <w:pPr>
        <w:rPr>
          <w:rFonts w:cstheme="minorHAnsi"/>
          <w:bCs/>
          <w:sz w:val="22"/>
          <w:szCs w:val="22"/>
        </w:rPr>
      </w:pPr>
      <w:r w:rsidRPr="00462485">
        <w:rPr>
          <w:rFonts w:cstheme="minorHAnsi"/>
          <w:bCs/>
          <w:sz w:val="22"/>
          <w:szCs w:val="22"/>
        </w:rPr>
        <w:t>2</w:t>
      </w:r>
      <w:r w:rsidRPr="00462485">
        <w:rPr>
          <w:rFonts w:cstheme="minorHAnsi"/>
          <w:bCs/>
          <w:sz w:val="22"/>
          <w:szCs w:val="22"/>
        </w:rPr>
        <w:tab/>
        <w:t>Les jeux vidéo et les sports électroniques sont de plus en plus populaires à l'échelle mondiale, attirant quelque 3 milliards de passionnés. Avec 600 millions d'utilisateurs sur console et 1,1 milliard sur ordinateur personnel, les jeux vidéo se sont imposés comme une forme de divertissement de premier plan et ont donné naissance à de nouveaux courants de jeu compétitif, appelés sports électroniques, qui consistent en des jeux vidéo compétitifs et organisés au cours desquels deux ou plusieurs camps (individus</w:t>
      </w:r>
      <w:r w:rsidR="00462485">
        <w:rPr>
          <w:rFonts w:cstheme="minorHAnsi"/>
          <w:bCs/>
          <w:sz w:val="22"/>
          <w:szCs w:val="22"/>
        </w:rPr>
        <w:t> </w:t>
      </w:r>
      <w:r w:rsidRPr="00462485">
        <w:rPr>
          <w:rFonts w:cstheme="minorHAnsi"/>
          <w:bCs/>
          <w:sz w:val="22"/>
          <w:szCs w:val="22"/>
        </w:rPr>
        <w:t>ou équipes) s'affrontent dans des conditions réglementées et structurées. Néanmoins, la prévalence croissante d'une exposition auditive forte et prolongée à ces activités a soulevé de graves inquiétudes quant à la santé, en particulier en ce qui concerne les lésions auditives et la perte d'audition due au bruit.</w:t>
      </w:r>
    </w:p>
    <w:p w14:paraId="5169F473" w14:textId="43031B1B" w:rsidR="000D53B7" w:rsidRPr="00462485" w:rsidRDefault="000D53B7" w:rsidP="00462485">
      <w:pPr>
        <w:keepLines/>
        <w:rPr>
          <w:rFonts w:cstheme="minorHAnsi"/>
          <w:bCs/>
          <w:sz w:val="22"/>
          <w:szCs w:val="22"/>
        </w:rPr>
      </w:pPr>
      <w:r w:rsidRPr="00462485">
        <w:rPr>
          <w:rFonts w:cstheme="minorHAnsi"/>
          <w:bCs/>
          <w:sz w:val="22"/>
          <w:szCs w:val="22"/>
        </w:rPr>
        <w:t>3</w:t>
      </w:r>
      <w:r w:rsidRPr="00462485">
        <w:rPr>
          <w:rFonts w:cstheme="minorHAnsi"/>
          <w:bCs/>
          <w:sz w:val="22"/>
          <w:szCs w:val="22"/>
        </w:rPr>
        <w:tab/>
        <w:t>Pour répondre à ce problème de santé publique, l'UIT et l'OMS ont mis à l'étude un sujet commun en vue d'élaborer une norme mondiale pour une écoute sans risque dans le contexte des jeux vidéo et des activités liées aux sports électroniques, qui viendra compléter les lignes directrices relatives aux dispositifs d'écoute sans risque (</w:t>
      </w:r>
      <w:hyperlink r:id="rId10" w:history="1">
        <w:r w:rsidRPr="00462485">
          <w:rPr>
            <w:rStyle w:val="Hyperlink"/>
            <w:rFonts w:cstheme="minorHAnsi"/>
            <w:bCs/>
            <w:sz w:val="22"/>
            <w:szCs w:val="22"/>
          </w:rPr>
          <w:t>UIT-T H.870</w:t>
        </w:r>
      </w:hyperlink>
      <w:r w:rsidRPr="00462485">
        <w:rPr>
          <w:rFonts w:cstheme="minorHAnsi"/>
          <w:bCs/>
          <w:sz w:val="22"/>
          <w:szCs w:val="22"/>
        </w:rPr>
        <w:t xml:space="preserve">) et celles relatives à une écoute sans risque </w:t>
      </w:r>
      <w:hyperlink r:id="rId11" w:history="1">
        <w:r w:rsidRPr="00462485">
          <w:rPr>
            <w:rStyle w:val="Hyperlink"/>
            <w:rFonts w:cstheme="minorHAnsi"/>
            <w:bCs/>
            <w:sz w:val="22"/>
            <w:szCs w:val="22"/>
          </w:rPr>
          <w:t>dans les lieux et les manifestations de divertissement</w:t>
        </w:r>
      </w:hyperlink>
      <w:r w:rsidRPr="00462485">
        <w:rPr>
          <w:rFonts w:cstheme="minorHAnsi"/>
          <w:bCs/>
          <w:sz w:val="22"/>
          <w:szCs w:val="22"/>
        </w:rPr>
        <w:t>. Le processus d'élaboration de la nouvelle norme comprend une série d'ateliers techniques interactifs, qui serviront de cadre au rassemblement de spécialistes, de parties prenantes et de représentants de l'industrie maîtrisant le sujet, afin de favoriser la concrétisation de mesures concertées et d'aboutir à la formulation de lignes directrices et de normes pour une écoute sans risque dans le contexte des jeux vidéo et des sports électroniques.</w:t>
      </w:r>
    </w:p>
    <w:p w14:paraId="68D3CA19" w14:textId="77777777" w:rsidR="000D53B7" w:rsidRPr="00462485" w:rsidRDefault="000D53B7" w:rsidP="00462485">
      <w:pPr>
        <w:rPr>
          <w:rFonts w:cstheme="minorHAnsi"/>
          <w:bCs/>
          <w:sz w:val="22"/>
          <w:szCs w:val="22"/>
        </w:rPr>
      </w:pPr>
      <w:r w:rsidRPr="00462485">
        <w:rPr>
          <w:rFonts w:cstheme="minorHAnsi"/>
          <w:bCs/>
          <w:sz w:val="22"/>
          <w:szCs w:val="22"/>
        </w:rPr>
        <w:t>4</w:t>
      </w:r>
      <w:r w:rsidRPr="00462485">
        <w:rPr>
          <w:rFonts w:cstheme="minorHAnsi"/>
          <w:bCs/>
          <w:sz w:val="22"/>
          <w:szCs w:val="22"/>
        </w:rPr>
        <w:tab/>
        <w:t xml:space="preserve">Cet atelier s'inscrit dans le droit fil de </w:t>
      </w:r>
      <w:hyperlink r:id="rId12" w:history="1">
        <w:r w:rsidRPr="00462485">
          <w:rPr>
            <w:rStyle w:val="Hyperlink"/>
            <w:rFonts w:cstheme="minorHAnsi"/>
            <w:bCs/>
            <w:sz w:val="22"/>
            <w:szCs w:val="22"/>
          </w:rPr>
          <w:t>l'atelier conjoint organisé en septembre 2023</w:t>
        </w:r>
      </w:hyperlink>
      <w:r w:rsidRPr="00462485">
        <w:rPr>
          <w:rFonts w:cstheme="minorHAnsi"/>
          <w:bCs/>
          <w:sz w:val="22"/>
          <w:szCs w:val="22"/>
        </w:rPr>
        <w:t xml:space="preserve"> en vue de faire progresser la compréhension, au sein de la vaste communauté des praticiens et des amateurs de jeux vidéo et de sports électroniques, des cas d'utilisation et des fonctionnalités qui pourraient tirer parti de directives et de normes adaptées pour une écoute sans risque. </w:t>
      </w:r>
    </w:p>
    <w:p w14:paraId="1FFD179F" w14:textId="77777777" w:rsidR="000D53B7" w:rsidRPr="00462485" w:rsidRDefault="000D53B7" w:rsidP="00462485">
      <w:pPr>
        <w:rPr>
          <w:rFonts w:cstheme="minorHAnsi"/>
          <w:bCs/>
          <w:sz w:val="22"/>
          <w:szCs w:val="22"/>
        </w:rPr>
      </w:pPr>
      <w:r w:rsidRPr="00462485">
        <w:rPr>
          <w:rFonts w:cstheme="minorHAnsi"/>
          <w:bCs/>
          <w:sz w:val="22"/>
          <w:szCs w:val="22"/>
        </w:rPr>
        <w:lastRenderedPageBreak/>
        <w:t>5</w:t>
      </w:r>
      <w:r w:rsidRPr="00462485">
        <w:rPr>
          <w:rFonts w:cstheme="minorHAnsi"/>
          <w:bCs/>
          <w:sz w:val="22"/>
          <w:szCs w:val="22"/>
        </w:rPr>
        <w:tab/>
        <w:t xml:space="preserve">Les principaux objectifs de l'atelier sont les </w:t>
      </w:r>
      <w:proofErr w:type="gramStart"/>
      <w:r w:rsidRPr="00462485">
        <w:rPr>
          <w:rFonts w:cstheme="minorHAnsi"/>
          <w:bCs/>
          <w:sz w:val="22"/>
          <w:szCs w:val="22"/>
        </w:rPr>
        <w:t>suivants:</w:t>
      </w:r>
      <w:proofErr w:type="gramEnd"/>
    </w:p>
    <w:p w14:paraId="4B7FEFE0" w14:textId="2CB25929" w:rsidR="000D53B7" w:rsidRPr="00462485" w:rsidRDefault="000D53B7" w:rsidP="00462485">
      <w:pPr>
        <w:pStyle w:val="enumlev1"/>
        <w:rPr>
          <w:rFonts w:cstheme="minorHAnsi"/>
          <w:sz w:val="22"/>
          <w:szCs w:val="22"/>
        </w:rPr>
      </w:pPr>
      <w:r w:rsidRPr="00462485">
        <w:rPr>
          <w:rFonts w:cstheme="minorHAnsi"/>
          <w:sz w:val="22"/>
          <w:szCs w:val="22"/>
        </w:rPr>
        <w:t>–</w:t>
      </w:r>
      <w:r w:rsidRPr="00462485">
        <w:rPr>
          <w:rFonts w:cstheme="minorHAnsi"/>
          <w:sz w:val="22"/>
          <w:szCs w:val="22"/>
        </w:rPr>
        <w:tab/>
        <w:t>Examen de l'avant-projet, qui a été mis à jour pour inclure de nouveaux éléments ainsi que de nouvelles définitions et caractéristiques compte tenu des résultats de l'atelier de septembre 2023.</w:t>
      </w:r>
    </w:p>
    <w:p w14:paraId="0622384C" w14:textId="6D3E07F1" w:rsidR="000D53B7" w:rsidRPr="00462485" w:rsidRDefault="000D53B7" w:rsidP="00462485">
      <w:pPr>
        <w:pStyle w:val="enumlev1"/>
        <w:rPr>
          <w:rFonts w:cstheme="minorHAnsi"/>
          <w:sz w:val="22"/>
          <w:szCs w:val="22"/>
        </w:rPr>
      </w:pPr>
      <w:r w:rsidRPr="00462485">
        <w:rPr>
          <w:rFonts w:cstheme="minorHAnsi"/>
          <w:sz w:val="22"/>
          <w:szCs w:val="22"/>
        </w:rPr>
        <w:t>–</w:t>
      </w:r>
      <w:r w:rsidRPr="00462485">
        <w:rPr>
          <w:rFonts w:cstheme="minorHAnsi"/>
          <w:sz w:val="22"/>
          <w:szCs w:val="22"/>
        </w:rPr>
        <w:tab/>
        <w:t>Examen des caractéristiques à inclure dans la norme proposée pour une écoute sans risque dans le contexte des jeux vidéo et des sports électroniques.</w:t>
      </w:r>
    </w:p>
    <w:p w14:paraId="69D67FDE" w14:textId="7FC393FF" w:rsidR="000D53B7" w:rsidRPr="00462485" w:rsidRDefault="000D53B7" w:rsidP="00462485">
      <w:pPr>
        <w:pStyle w:val="enumlev1"/>
        <w:rPr>
          <w:rFonts w:cstheme="minorHAnsi"/>
          <w:sz w:val="22"/>
          <w:szCs w:val="22"/>
        </w:rPr>
      </w:pPr>
      <w:r w:rsidRPr="00462485">
        <w:rPr>
          <w:rFonts w:cstheme="minorHAnsi"/>
          <w:sz w:val="22"/>
          <w:szCs w:val="22"/>
        </w:rPr>
        <w:t>–</w:t>
      </w:r>
      <w:r w:rsidRPr="00462485">
        <w:rPr>
          <w:rFonts w:cstheme="minorHAnsi"/>
          <w:sz w:val="22"/>
          <w:szCs w:val="22"/>
        </w:rPr>
        <w:tab/>
        <w:t>Hiérarchisation des caractéristiques qui pourraient être incluses dans la norme proposée.</w:t>
      </w:r>
    </w:p>
    <w:p w14:paraId="64F453B1" w14:textId="7933020F" w:rsidR="000D53B7" w:rsidRPr="00462485" w:rsidRDefault="000D53B7" w:rsidP="00462485">
      <w:pPr>
        <w:pStyle w:val="enumlev1"/>
        <w:rPr>
          <w:rFonts w:cstheme="minorHAnsi"/>
          <w:sz w:val="22"/>
          <w:szCs w:val="22"/>
        </w:rPr>
      </w:pPr>
      <w:r w:rsidRPr="00462485">
        <w:rPr>
          <w:rFonts w:cstheme="minorHAnsi"/>
          <w:sz w:val="22"/>
          <w:szCs w:val="22"/>
        </w:rPr>
        <w:t>–</w:t>
      </w:r>
      <w:r w:rsidRPr="00462485">
        <w:rPr>
          <w:rFonts w:cstheme="minorHAnsi"/>
          <w:sz w:val="22"/>
          <w:szCs w:val="22"/>
        </w:rPr>
        <w:tab/>
        <w:t>Examen des éventuels problèmes et des limitations qui peuvent apparaître lors de la mise en œuvre des fonctionnalités suggérées et/ou de l'utilisation des fonctionnalités d'écoute sans risque par les utilisateurs de logiciels et d'équipements de jeux vidéo.</w:t>
      </w:r>
    </w:p>
    <w:p w14:paraId="0C3BAAA9" w14:textId="77777777" w:rsidR="000D53B7" w:rsidRPr="00462485" w:rsidRDefault="000D53B7" w:rsidP="00462485">
      <w:pPr>
        <w:rPr>
          <w:rFonts w:cstheme="minorHAnsi"/>
          <w:bCs/>
          <w:sz w:val="22"/>
          <w:szCs w:val="22"/>
        </w:rPr>
      </w:pPr>
      <w:r w:rsidRPr="00462485">
        <w:rPr>
          <w:rFonts w:cstheme="minorHAnsi"/>
          <w:bCs/>
          <w:sz w:val="22"/>
          <w:szCs w:val="22"/>
        </w:rPr>
        <w:t>6</w:t>
      </w:r>
      <w:r w:rsidRPr="00462485">
        <w:rPr>
          <w:rFonts w:cstheme="minorHAnsi"/>
          <w:bCs/>
          <w:sz w:val="22"/>
          <w:szCs w:val="22"/>
        </w:rPr>
        <w:tab/>
        <w:t xml:space="preserve">Cette manifestation rassemblera des spécialistes des domaines de l'audiologie, des jeux vidéo, des sports électroniques, de la technologie et de la santé publique, afin d'examiner les normes existantes en matière d'écoute sans risque (par exemple la Recommandation </w:t>
      </w:r>
      <w:hyperlink r:id="rId13" w:history="1">
        <w:r w:rsidRPr="00462485">
          <w:rPr>
            <w:rStyle w:val="Hyperlink"/>
            <w:rFonts w:cstheme="minorHAnsi"/>
            <w:bCs/>
            <w:sz w:val="22"/>
            <w:szCs w:val="22"/>
          </w:rPr>
          <w:t>UIT-T H.870</w:t>
        </w:r>
      </w:hyperlink>
      <w:r w:rsidRPr="00462485">
        <w:rPr>
          <w:rFonts w:cstheme="minorHAnsi"/>
          <w:bCs/>
          <w:sz w:val="22"/>
          <w:szCs w:val="22"/>
        </w:rPr>
        <w:t>) et de débattre des défis à relever et des possibilités offertes concernant l'écoute sans risque dans le contexte des jeux vidéo et des sports électroniques.</w:t>
      </w:r>
    </w:p>
    <w:p w14:paraId="680EC473" w14:textId="016CBC81" w:rsidR="000D53B7" w:rsidRPr="00462485" w:rsidRDefault="000D53B7" w:rsidP="00462485">
      <w:pPr>
        <w:rPr>
          <w:rFonts w:cstheme="minorHAnsi"/>
          <w:bCs/>
          <w:sz w:val="22"/>
          <w:szCs w:val="22"/>
        </w:rPr>
      </w:pPr>
      <w:r w:rsidRPr="00462485">
        <w:rPr>
          <w:rFonts w:cstheme="minorHAnsi"/>
          <w:bCs/>
          <w:sz w:val="22"/>
          <w:szCs w:val="22"/>
        </w:rPr>
        <w:t>7</w:t>
      </w:r>
      <w:r w:rsidRPr="00462485">
        <w:rPr>
          <w:rFonts w:cstheme="minorHAnsi"/>
          <w:bCs/>
          <w:sz w:val="22"/>
          <w:szCs w:val="22"/>
        </w:rPr>
        <w:tab/>
        <w:t>La participation à l'atelier est gratuite et ouverte aux membres de l'UIT et aux spécialistes invités. Veuillez toutefois noter que l'inscription en personne ou en ligne est obligatoire (voir le paragraphe 8).</w:t>
      </w:r>
    </w:p>
    <w:p w14:paraId="19934C51" w14:textId="77777777" w:rsidR="000D53B7" w:rsidRPr="00462485" w:rsidRDefault="000D53B7" w:rsidP="00462485">
      <w:pPr>
        <w:rPr>
          <w:rFonts w:cstheme="minorHAnsi"/>
          <w:bCs/>
          <w:sz w:val="22"/>
          <w:szCs w:val="22"/>
        </w:rPr>
      </w:pPr>
      <w:r w:rsidRPr="00462485">
        <w:rPr>
          <w:rFonts w:cstheme="minorHAnsi"/>
          <w:bCs/>
          <w:sz w:val="22"/>
          <w:szCs w:val="22"/>
        </w:rPr>
        <w:t>8</w:t>
      </w:r>
      <w:r w:rsidRPr="00462485">
        <w:rPr>
          <w:rFonts w:cstheme="minorHAnsi"/>
          <w:bCs/>
          <w:sz w:val="22"/>
          <w:szCs w:val="22"/>
        </w:rPr>
        <w:tab/>
        <w:t xml:space="preserve">Toutes les informations utiles concernant l'atelier, notamment le projet de programme, seront communiquées sur le site web de la manifestation à l'adresse </w:t>
      </w:r>
      <w:proofErr w:type="gramStart"/>
      <w:r w:rsidRPr="00462485">
        <w:rPr>
          <w:rFonts w:cstheme="minorHAnsi"/>
          <w:bCs/>
          <w:sz w:val="22"/>
          <w:szCs w:val="22"/>
        </w:rPr>
        <w:t>suivante:</w:t>
      </w:r>
      <w:proofErr w:type="gramEnd"/>
      <w:r w:rsidRPr="00462485">
        <w:rPr>
          <w:rFonts w:cstheme="minorHAnsi"/>
          <w:bCs/>
          <w:sz w:val="22"/>
          <w:szCs w:val="22"/>
        </w:rPr>
        <w:t xml:space="preserve"> </w:t>
      </w:r>
      <w:hyperlink r:id="rId14" w:history="1">
        <w:r w:rsidRPr="00462485">
          <w:rPr>
            <w:rStyle w:val="Hyperlink"/>
            <w:rFonts w:cstheme="minorHAnsi"/>
            <w:bCs/>
            <w:sz w:val="22"/>
            <w:szCs w:val="22"/>
          </w:rPr>
          <w:t>https://itu.int/en/ITU-T/Workshops-and-Seminars/2024/0130</w:t>
        </w:r>
      </w:hyperlink>
      <w:r w:rsidRPr="00462485">
        <w:rPr>
          <w:rFonts w:cstheme="minorHAnsi"/>
          <w:bCs/>
          <w:sz w:val="22"/>
          <w:szCs w:val="22"/>
        </w:rPr>
        <w:t>. La page web de la manifestation sera mise à jour périodiquement, à mesure que parviendront des informations nouvelles. Il est recommandé aux participants de consulter régulièrement le site web pour prendre connaissance des dernières informations.</w:t>
      </w:r>
    </w:p>
    <w:p w14:paraId="42E37F6A" w14:textId="26A2A1FE" w:rsidR="000D53B7" w:rsidRPr="00462485" w:rsidRDefault="000D53B7" w:rsidP="00462485">
      <w:pPr>
        <w:rPr>
          <w:rFonts w:cstheme="minorHAnsi"/>
          <w:b/>
          <w:bCs/>
          <w:sz w:val="22"/>
          <w:szCs w:val="22"/>
        </w:rPr>
      </w:pPr>
      <w:r w:rsidRPr="00462485">
        <w:rPr>
          <w:rFonts w:cstheme="minorHAnsi"/>
          <w:bCs/>
          <w:sz w:val="22"/>
          <w:szCs w:val="22"/>
        </w:rPr>
        <w:t>9</w:t>
      </w:r>
      <w:r w:rsidRPr="00462485">
        <w:rPr>
          <w:rFonts w:cstheme="minorHAnsi"/>
          <w:bCs/>
          <w:sz w:val="22"/>
          <w:szCs w:val="22"/>
        </w:rPr>
        <w:tab/>
        <w:t xml:space="preserve">Afin de permettre au TSB de prendre les dispositions nécessaires concernant l'organisation de l'atelier, je vous saurais gré de bien vouloir vous inscrire dès que possible à l'adresse </w:t>
      </w:r>
      <w:proofErr w:type="gramStart"/>
      <w:r w:rsidRPr="00462485">
        <w:rPr>
          <w:rFonts w:cstheme="minorHAnsi"/>
          <w:bCs/>
          <w:sz w:val="22"/>
          <w:szCs w:val="22"/>
        </w:rPr>
        <w:t>suivante:</w:t>
      </w:r>
      <w:proofErr w:type="gramEnd"/>
      <w:r w:rsidRPr="00462485">
        <w:rPr>
          <w:rFonts w:cstheme="minorHAnsi"/>
          <w:bCs/>
          <w:sz w:val="22"/>
          <w:szCs w:val="22"/>
        </w:rPr>
        <w:t xml:space="preserve"> </w:t>
      </w:r>
      <w:hyperlink r:id="rId15" w:history="1">
        <w:r w:rsidR="00C8613E" w:rsidRPr="00462485">
          <w:rPr>
            <w:rStyle w:val="Hyperlink"/>
            <w:rFonts w:cstheme="minorHAnsi"/>
            <w:sz w:val="22"/>
            <w:szCs w:val="22"/>
          </w:rPr>
          <w:t>https://www.itu.int/net4/CRM/xreg/web/Registration.aspx?Event=C-00013585</w:t>
        </w:r>
      </w:hyperlink>
      <w:r w:rsidR="00C8613E" w:rsidRPr="00462485">
        <w:rPr>
          <w:rFonts w:cstheme="minorHAnsi"/>
          <w:sz w:val="22"/>
          <w:szCs w:val="22"/>
        </w:rPr>
        <w:t xml:space="preserve">. </w:t>
      </w:r>
      <w:r w:rsidRPr="00462485">
        <w:rPr>
          <w:rFonts w:cstheme="minorHAnsi"/>
          <w:b/>
          <w:bCs/>
          <w:sz w:val="22"/>
          <w:szCs w:val="22"/>
        </w:rPr>
        <w:t>Veuillez noter que l'inscription préalable des participants aux ateliers est obligatoire et se fait en ligne.</w:t>
      </w:r>
    </w:p>
    <w:p w14:paraId="2C9BE3FE" w14:textId="77777777" w:rsidR="000D53B7" w:rsidRPr="00462485" w:rsidRDefault="000D53B7" w:rsidP="00462485">
      <w:pPr>
        <w:keepLines/>
        <w:rPr>
          <w:rFonts w:cstheme="minorHAnsi"/>
          <w:bCs/>
          <w:sz w:val="22"/>
          <w:szCs w:val="22"/>
        </w:rPr>
      </w:pPr>
      <w:r w:rsidRPr="00462485">
        <w:rPr>
          <w:rFonts w:cstheme="minorHAnsi"/>
          <w:bCs/>
          <w:sz w:val="22"/>
          <w:szCs w:val="22"/>
        </w:rPr>
        <w:t>10</w:t>
      </w:r>
      <w:r w:rsidRPr="00462485">
        <w:rPr>
          <w:rFonts w:cstheme="minorHAnsi"/>
          <w:bCs/>
          <w:sz w:val="22"/>
          <w:szCs w:val="22"/>
        </w:rPr>
        <w:tab/>
        <w:t>Nous vous rappelons que, pour les ressortissants de certains pays, l'entrée et le séjour, quelle qu'en soit la durée, sur le territoire de la Suisse sont soumis à l'obtention d'un visa. Ce visa doit être demandé et obtenu auprès de la représentation de la Suisse (ambassade ou consulat) dans votre pays ou, à défaut, dans le pays le plus proche de votre pays de départ. En cas de problème pour des États Membres, des Membres de Secteur et des Associés de l'UIT ou des établissements universitaires participant aux travaux de l'UIT, et sur demande officielle de leur part au TSB, l'Union peut intervenir auprès des autorités suisses compétentes pour faciliter l'émission du visa. Elles doivent être envoyées à la Section des voyages de l'UIT (</w:t>
      </w:r>
      <w:hyperlink r:id="rId16" w:history="1">
        <w:r w:rsidRPr="00462485">
          <w:rPr>
            <w:rStyle w:val="Hyperlink"/>
            <w:rFonts w:cstheme="minorHAnsi"/>
            <w:bCs/>
            <w:sz w:val="22"/>
            <w:szCs w:val="22"/>
          </w:rPr>
          <w:t>travel@itu.int</w:t>
        </w:r>
      </w:hyperlink>
      <w:r w:rsidRPr="00462485">
        <w:rPr>
          <w:rFonts w:cstheme="minorHAnsi"/>
          <w:bCs/>
          <w:sz w:val="22"/>
          <w:szCs w:val="22"/>
        </w:rPr>
        <w:t>) avec la mention "assistance pour le visa".</w:t>
      </w:r>
    </w:p>
    <w:p w14:paraId="6A4CD67F" w14:textId="248FE9E4" w:rsidR="00307FB4" w:rsidRPr="00462485" w:rsidRDefault="00307FB4" w:rsidP="00462485">
      <w:pPr>
        <w:rPr>
          <w:rFonts w:cstheme="minorHAnsi"/>
          <w:bCs/>
          <w:sz w:val="22"/>
          <w:szCs w:val="22"/>
        </w:rPr>
      </w:pPr>
      <w:r w:rsidRPr="00462485">
        <w:rPr>
          <w:rFonts w:cstheme="minorHAnsi"/>
          <w:bCs/>
          <w:sz w:val="22"/>
          <w:szCs w:val="22"/>
        </w:rPr>
        <w:t>Veuillez agréer, Madame, Monsieur, l'assurance de ma considération distinguée.</w:t>
      </w:r>
    </w:p>
    <w:p w14:paraId="3B647157" w14:textId="4488FDDC" w:rsidR="00517A03" w:rsidRPr="00462485" w:rsidRDefault="002B1379" w:rsidP="00462485">
      <w:pPr>
        <w:spacing w:before="84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567FB404" wp14:editId="563C2C65">
            <wp:simplePos x="0" y="0"/>
            <wp:positionH relativeFrom="column">
              <wp:posOffset>3810</wp:posOffset>
            </wp:positionH>
            <wp:positionV relativeFrom="paragraph">
              <wp:posOffset>88900</wp:posOffset>
            </wp:positionV>
            <wp:extent cx="533399" cy="400050"/>
            <wp:effectExtent l="0" t="0" r="635" b="0"/>
            <wp:wrapNone/>
            <wp:docPr id="28318484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84841" name="Picture 1" descr="A black and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33399" cy="400050"/>
                    </a:xfrm>
                    <a:prstGeom prst="rect">
                      <a:avLst/>
                    </a:prstGeom>
                  </pic:spPr>
                </pic:pic>
              </a:graphicData>
            </a:graphic>
            <wp14:sizeRelH relativeFrom="margin">
              <wp14:pctWidth>0</wp14:pctWidth>
            </wp14:sizeRelH>
            <wp14:sizeRelV relativeFrom="margin">
              <wp14:pctHeight>0</wp14:pctHeight>
            </wp14:sizeRelV>
          </wp:anchor>
        </w:drawing>
      </w:r>
      <w:r w:rsidR="00307FB4" w:rsidRPr="00462485">
        <w:rPr>
          <w:rFonts w:cstheme="minorHAnsi"/>
          <w:bCs/>
          <w:sz w:val="22"/>
          <w:szCs w:val="22"/>
        </w:rPr>
        <w:t>Seizo Onoe</w:t>
      </w:r>
      <w:r w:rsidR="00B60868" w:rsidRPr="00462485">
        <w:rPr>
          <w:rFonts w:cstheme="minorHAnsi"/>
          <w:bCs/>
          <w:sz w:val="22"/>
          <w:szCs w:val="22"/>
        </w:rPr>
        <w:br/>
      </w:r>
      <w:r w:rsidR="00307FB4" w:rsidRPr="00462485">
        <w:rPr>
          <w:rFonts w:cstheme="minorHAnsi"/>
          <w:bCs/>
          <w:sz w:val="22"/>
          <w:szCs w:val="22"/>
        </w:rPr>
        <w:t>Directeur du Bureau de la normalisation</w:t>
      </w:r>
      <w:r w:rsidR="00B60868" w:rsidRPr="00462485">
        <w:rPr>
          <w:rFonts w:cstheme="minorHAnsi"/>
          <w:bCs/>
          <w:sz w:val="22"/>
          <w:szCs w:val="22"/>
        </w:rPr>
        <w:br/>
      </w:r>
      <w:r w:rsidR="00307FB4" w:rsidRPr="00462485">
        <w:rPr>
          <w:rFonts w:cstheme="minorHAnsi"/>
          <w:bCs/>
          <w:sz w:val="22"/>
          <w:szCs w:val="22"/>
        </w:rPr>
        <w:t>des télécommunications</w:t>
      </w:r>
    </w:p>
    <w:sectPr w:rsidR="00517A03" w:rsidRPr="00462485" w:rsidSect="00AB10D5">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5AFE" w14:textId="77777777" w:rsidR="00AB10D5" w:rsidRDefault="00AB10D5">
      <w:r>
        <w:separator/>
      </w:r>
    </w:p>
  </w:endnote>
  <w:endnote w:type="continuationSeparator" w:id="0">
    <w:p w14:paraId="28391051" w14:textId="77777777" w:rsidR="00AB10D5" w:rsidRDefault="00AB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3D38" w14:textId="77777777" w:rsidR="00AB10D5" w:rsidRDefault="00AB10D5">
      <w:r>
        <w:t>____________________</w:t>
      </w:r>
    </w:p>
  </w:footnote>
  <w:footnote w:type="continuationSeparator" w:id="0">
    <w:p w14:paraId="26C5A318" w14:textId="77777777" w:rsidR="00AB10D5" w:rsidRDefault="00AB1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6AEA3286" w:rsidR="00697BC1" w:rsidRPr="00697BC1" w:rsidRDefault="002B1379"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0D53B7">
      <w:rPr>
        <w:noProof/>
        <w:sz w:val="18"/>
        <w:szCs w:val="16"/>
      </w:rPr>
      <w:t>163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753999"/>
    <w:multiLevelType w:val="hybridMultilevel"/>
    <w:tmpl w:val="A8FA322E"/>
    <w:lvl w:ilvl="0" w:tplc="1B90D032">
      <w:start w:val="1"/>
      <w:numFmt w:val="bullet"/>
      <w:lvlRestart w:val="0"/>
      <w:lvlText w:val="–"/>
      <w:lvlJc w:val="left"/>
      <w:pPr>
        <w:ind w:left="1287" w:hanging="363"/>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 w:numId="5" w16cid:durableId="189538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D53B7"/>
    <w:rsid w:val="001026FD"/>
    <w:rsid w:val="001077FD"/>
    <w:rsid w:val="00113C1F"/>
    <w:rsid w:val="00115DD7"/>
    <w:rsid w:val="00167472"/>
    <w:rsid w:val="00167F92"/>
    <w:rsid w:val="00173738"/>
    <w:rsid w:val="001B79A3"/>
    <w:rsid w:val="001D4C05"/>
    <w:rsid w:val="002152A3"/>
    <w:rsid w:val="0023667A"/>
    <w:rsid w:val="002937DB"/>
    <w:rsid w:val="002B1379"/>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62485"/>
    <w:rsid w:val="0048088B"/>
    <w:rsid w:val="004977C9"/>
    <w:rsid w:val="004B732E"/>
    <w:rsid w:val="004D51F4"/>
    <w:rsid w:val="004D64E0"/>
    <w:rsid w:val="004E725A"/>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7D1B06"/>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B10D5"/>
    <w:rsid w:val="00AC37B5"/>
    <w:rsid w:val="00AD752F"/>
    <w:rsid w:val="00AF08A4"/>
    <w:rsid w:val="00AF0D7D"/>
    <w:rsid w:val="00B27B41"/>
    <w:rsid w:val="00B42659"/>
    <w:rsid w:val="00B46F2D"/>
    <w:rsid w:val="00B60868"/>
    <w:rsid w:val="00B8573E"/>
    <w:rsid w:val="00BB0AF5"/>
    <w:rsid w:val="00BB24C0"/>
    <w:rsid w:val="00BD6ECF"/>
    <w:rsid w:val="00C26F2E"/>
    <w:rsid w:val="00C302E3"/>
    <w:rsid w:val="00C41B89"/>
    <w:rsid w:val="00C45376"/>
    <w:rsid w:val="00C8613E"/>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H.870-202203-I/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u.int/en/ITU-T/Workshops-and-Seminars/2023/0928"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fr/publications/i/item/9789240043114"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3585" TargetMode="External"/><Relationship Id="rId10" Type="http://schemas.openxmlformats.org/officeDocument/2006/relationships/hyperlink" Target="https://www.itu.int/rec/T-REC-H.870-202203-I/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en/ITU-T/Workshops-and-Seminars/2024/013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14</TotalTime>
  <Pages>2</Pages>
  <Words>964</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7036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9</cp:revision>
  <cp:lastPrinted>2024-01-30T12:28:00Z</cp:lastPrinted>
  <dcterms:created xsi:type="dcterms:W3CDTF">2023-12-21T13:58:00Z</dcterms:created>
  <dcterms:modified xsi:type="dcterms:W3CDTF">2024-01-30T12:28:00Z</dcterms:modified>
</cp:coreProperties>
</file>