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6" w:type="dxa"/>
        <w:tblInd w:w="8" w:type="dxa"/>
        <w:tblLayout w:type="fixed"/>
        <w:tblLook w:val="0000" w:firstRow="0" w:lastRow="0" w:firstColumn="0" w:lastColumn="0" w:noHBand="0" w:noVBand="0"/>
      </w:tblPr>
      <w:tblGrid>
        <w:gridCol w:w="1409"/>
        <w:gridCol w:w="3470"/>
        <w:gridCol w:w="5327"/>
      </w:tblGrid>
      <w:tr w:rsidR="007B6316" w:rsidRPr="005F534F" w14:paraId="10472432" w14:textId="77777777" w:rsidTr="00660D9A">
        <w:trPr>
          <w:cantSplit/>
          <w:trHeight w:val="340"/>
        </w:trPr>
        <w:tc>
          <w:tcPr>
            <w:tcW w:w="1410" w:type="dxa"/>
          </w:tcPr>
          <w:p w14:paraId="072E3B63" w14:textId="77777777" w:rsidR="007B6316" w:rsidRPr="005F534F" w:rsidRDefault="007B6316" w:rsidP="00303D62">
            <w:pPr>
              <w:tabs>
                <w:tab w:val="left" w:pos="4111"/>
              </w:tabs>
              <w:spacing w:before="10"/>
              <w:ind w:left="57"/>
              <w:rPr>
                <w:sz w:val="22"/>
              </w:rPr>
            </w:pPr>
            <w:r w:rsidRPr="005F534F">
              <w:rPr>
                <w:noProof/>
                <w:lang w:eastAsia="es-ES_tradnl"/>
              </w:rPr>
              <w:drawing>
                <wp:inline distT="0" distB="0" distL="0" distR="0" wp14:anchorId="605C7306" wp14:editId="55B5987A">
                  <wp:extent cx="812165" cy="81216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8796" w:type="dxa"/>
            <w:gridSpan w:val="2"/>
            <w:vAlign w:val="center"/>
          </w:tcPr>
          <w:p w14:paraId="13A8FA18" w14:textId="77777777" w:rsidR="007B6316" w:rsidRPr="005F534F" w:rsidRDefault="007B6316" w:rsidP="007B6316">
            <w:pPr>
              <w:spacing w:before="0"/>
              <w:rPr>
                <w:rFonts w:cs="Times New Roman Bold"/>
                <w:b/>
                <w:bCs/>
                <w:smallCaps/>
                <w:sz w:val="26"/>
                <w:szCs w:val="26"/>
              </w:rPr>
            </w:pPr>
            <w:r w:rsidRPr="005F534F">
              <w:rPr>
                <w:rFonts w:cs="Times New Roman Bold"/>
                <w:b/>
                <w:bCs/>
                <w:smallCaps/>
                <w:sz w:val="36"/>
                <w:szCs w:val="36"/>
              </w:rPr>
              <w:t>Unión Internacional de Telecomunicaciones</w:t>
            </w:r>
          </w:p>
          <w:p w14:paraId="548F15E0" w14:textId="77777777" w:rsidR="007B6316" w:rsidRPr="005F534F" w:rsidRDefault="007B6316" w:rsidP="007B6316">
            <w:pPr>
              <w:spacing w:before="0"/>
            </w:pPr>
            <w:r w:rsidRPr="005F534F">
              <w:rPr>
                <w:rFonts w:cs="Times New Roman Bold"/>
                <w:b/>
                <w:bCs/>
                <w:smallCaps/>
                <w:sz w:val="28"/>
                <w:szCs w:val="28"/>
              </w:rPr>
              <w:t>Oficina</w:t>
            </w:r>
            <w:r w:rsidRPr="005F534F">
              <w:rPr>
                <w:rFonts w:cs="Times New Roman Bold"/>
                <w:b/>
                <w:bCs/>
                <w:iCs/>
                <w:smallCaps/>
                <w:sz w:val="22"/>
                <w:szCs w:val="22"/>
              </w:rPr>
              <w:t xml:space="preserve"> </w:t>
            </w:r>
            <w:r w:rsidRPr="005F534F">
              <w:rPr>
                <w:rFonts w:cs="Times New Roman Bold"/>
                <w:b/>
                <w:bCs/>
                <w:iCs/>
                <w:smallCaps/>
                <w:sz w:val="28"/>
                <w:szCs w:val="28"/>
              </w:rPr>
              <w:t>de Normalización de las Telecomunicaciones</w:t>
            </w:r>
          </w:p>
        </w:tc>
      </w:tr>
      <w:tr w:rsidR="007B6316" w:rsidRPr="005F534F" w14:paraId="13AC9EAF" w14:textId="77777777" w:rsidTr="00660D9A">
        <w:trPr>
          <w:cantSplit/>
          <w:trHeight w:val="340"/>
        </w:trPr>
        <w:tc>
          <w:tcPr>
            <w:tcW w:w="1406" w:type="dxa"/>
          </w:tcPr>
          <w:p w14:paraId="14444245" w14:textId="77777777" w:rsidR="007B6316" w:rsidRPr="005F534F" w:rsidRDefault="007B6316" w:rsidP="00660D9A">
            <w:pPr>
              <w:spacing w:after="120"/>
            </w:pPr>
          </w:p>
        </w:tc>
        <w:tc>
          <w:tcPr>
            <w:tcW w:w="3471" w:type="dxa"/>
          </w:tcPr>
          <w:p w14:paraId="19AF1C13" w14:textId="77777777" w:rsidR="007B6316" w:rsidRPr="005F534F" w:rsidRDefault="007B6316" w:rsidP="00660D9A"/>
        </w:tc>
        <w:tc>
          <w:tcPr>
            <w:tcW w:w="5329" w:type="dxa"/>
          </w:tcPr>
          <w:p w14:paraId="6DD4B18F" w14:textId="5BA5E0BD" w:rsidR="007B6316" w:rsidRPr="005F534F" w:rsidRDefault="00660D9A" w:rsidP="00660D9A">
            <w:r w:rsidRPr="005F534F">
              <w:t xml:space="preserve">Ginebra, </w:t>
            </w:r>
            <w:r w:rsidR="001D7760" w:rsidRPr="005F534F">
              <w:t>23 de enero de 2024</w:t>
            </w:r>
          </w:p>
        </w:tc>
      </w:tr>
      <w:tr w:rsidR="001350B9" w:rsidRPr="005F534F" w14:paraId="38B89098" w14:textId="77777777" w:rsidTr="00660D9A">
        <w:trPr>
          <w:cantSplit/>
          <w:trHeight w:val="340"/>
        </w:trPr>
        <w:tc>
          <w:tcPr>
            <w:tcW w:w="1406" w:type="dxa"/>
          </w:tcPr>
          <w:p w14:paraId="0335FAEB" w14:textId="43A78A70" w:rsidR="001350B9" w:rsidRPr="005F534F" w:rsidRDefault="001350B9" w:rsidP="00660D9A">
            <w:pPr>
              <w:spacing w:before="40" w:after="40"/>
            </w:pPr>
            <w:r w:rsidRPr="005F534F">
              <w:t>Ref.:</w:t>
            </w:r>
          </w:p>
        </w:tc>
        <w:tc>
          <w:tcPr>
            <w:tcW w:w="3471" w:type="dxa"/>
          </w:tcPr>
          <w:p w14:paraId="180D7A0A" w14:textId="70DA242C" w:rsidR="001350B9" w:rsidRPr="00314B1F" w:rsidRDefault="001350B9" w:rsidP="00660D9A">
            <w:pPr>
              <w:spacing w:before="40" w:after="40"/>
              <w:rPr>
                <w:lang w:val="en-GB"/>
              </w:rPr>
            </w:pPr>
            <w:r w:rsidRPr="00314B1F">
              <w:rPr>
                <w:b/>
                <w:bCs/>
                <w:lang w:val="en-GB"/>
              </w:rPr>
              <w:t xml:space="preserve">Circular TSB </w:t>
            </w:r>
            <w:r w:rsidR="00660D9A" w:rsidRPr="00314B1F">
              <w:rPr>
                <w:b/>
                <w:bCs/>
                <w:lang w:val="en-GB"/>
              </w:rPr>
              <w:t>1</w:t>
            </w:r>
            <w:r w:rsidR="001D7760" w:rsidRPr="00314B1F">
              <w:rPr>
                <w:b/>
                <w:bCs/>
                <w:lang w:val="en-GB"/>
              </w:rPr>
              <w:t>71</w:t>
            </w:r>
            <w:r w:rsidR="00660D9A" w:rsidRPr="00314B1F">
              <w:rPr>
                <w:b/>
                <w:bCs/>
                <w:lang w:val="en-GB"/>
              </w:rPr>
              <w:br/>
              <w:t>FG-AI4NDM/MM</w:t>
            </w:r>
          </w:p>
        </w:tc>
        <w:tc>
          <w:tcPr>
            <w:tcW w:w="5329" w:type="dxa"/>
            <w:vMerge w:val="restart"/>
          </w:tcPr>
          <w:p w14:paraId="13B068FE" w14:textId="77777777" w:rsidR="00660D9A" w:rsidRPr="005F534F" w:rsidRDefault="00660D9A" w:rsidP="00660D9A">
            <w:pPr>
              <w:spacing w:before="40" w:after="40"/>
              <w:rPr>
                <w:b/>
                <w:bCs/>
              </w:rPr>
            </w:pPr>
            <w:bookmarkStart w:id="0" w:name="Addressee_S"/>
            <w:bookmarkEnd w:id="0"/>
            <w:r w:rsidRPr="005F534F">
              <w:rPr>
                <w:b/>
                <w:bCs/>
              </w:rPr>
              <w:t>A:</w:t>
            </w:r>
          </w:p>
          <w:p w14:paraId="470FEDEA" w14:textId="51546539" w:rsidR="00660D9A" w:rsidRPr="005F534F" w:rsidRDefault="00660D9A" w:rsidP="00660D9A">
            <w:pPr>
              <w:tabs>
                <w:tab w:val="clear" w:pos="794"/>
                <w:tab w:val="left" w:pos="396"/>
              </w:tabs>
              <w:spacing w:before="40" w:after="40"/>
              <w:ind w:left="396" w:hanging="396"/>
            </w:pPr>
            <w:r w:rsidRPr="005F534F">
              <w:t>–</w:t>
            </w:r>
            <w:r w:rsidRPr="005F534F">
              <w:tab/>
              <w:t>las Administraciones de los Estados Miembros de la Unión;</w:t>
            </w:r>
          </w:p>
          <w:p w14:paraId="4926FDB4" w14:textId="21DE8131" w:rsidR="00660D9A" w:rsidRPr="005F534F" w:rsidRDefault="00660D9A" w:rsidP="00660D9A">
            <w:pPr>
              <w:tabs>
                <w:tab w:val="clear" w:pos="794"/>
                <w:tab w:val="left" w:pos="396"/>
              </w:tabs>
              <w:spacing w:before="40" w:after="40"/>
            </w:pPr>
            <w:r w:rsidRPr="005F534F">
              <w:t>–</w:t>
            </w:r>
            <w:r w:rsidRPr="005F534F">
              <w:tab/>
              <w:t>los Miembros de Sector del UIT-T;</w:t>
            </w:r>
          </w:p>
          <w:p w14:paraId="77DFB81B" w14:textId="08C36885" w:rsidR="00660D9A" w:rsidRPr="005F534F" w:rsidRDefault="00660D9A" w:rsidP="00660D9A">
            <w:pPr>
              <w:tabs>
                <w:tab w:val="clear" w:pos="794"/>
                <w:tab w:val="left" w:pos="396"/>
              </w:tabs>
              <w:spacing w:before="40" w:after="40"/>
            </w:pPr>
            <w:r w:rsidRPr="005F534F">
              <w:t>–</w:t>
            </w:r>
            <w:r w:rsidRPr="005F534F">
              <w:tab/>
              <w:t>los Asociados del UIT-T;</w:t>
            </w:r>
          </w:p>
          <w:p w14:paraId="580F7FB6" w14:textId="08BEFDD7" w:rsidR="001350B9" w:rsidRPr="005F534F" w:rsidRDefault="00660D9A" w:rsidP="00660D9A">
            <w:pPr>
              <w:tabs>
                <w:tab w:val="clear" w:pos="794"/>
                <w:tab w:val="left" w:pos="396"/>
              </w:tabs>
              <w:spacing w:before="40" w:after="40"/>
            </w:pPr>
            <w:r w:rsidRPr="005F534F">
              <w:t>–</w:t>
            </w:r>
            <w:r w:rsidRPr="005F534F">
              <w:tab/>
              <w:t>las Instituciones Académicas de la UIT</w:t>
            </w:r>
          </w:p>
          <w:p w14:paraId="2F3CA0BB" w14:textId="22ACAB7E" w:rsidR="00660D9A" w:rsidRPr="005F534F" w:rsidRDefault="00660D9A" w:rsidP="00660D9A">
            <w:pPr>
              <w:tabs>
                <w:tab w:val="left" w:pos="226"/>
                <w:tab w:val="left" w:pos="4111"/>
              </w:tabs>
              <w:spacing w:before="40" w:after="40"/>
              <w:rPr>
                <w:b/>
                <w:bCs/>
              </w:rPr>
            </w:pPr>
            <w:r w:rsidRPr="005F534F">
              <w:rPr>
                <w:b/>
                <w:bCs/>
              </w:rPr>
              <w:t>Copia</w:t>
            </w:r>
            <w:r w:rsidR="001D7760" w:rsidRPr="005F534F">
              <w:rPr>
                <w:b/>
                <w:bCs/>
              </w:rPr>
              <w:t xml:space="preserve"> a</w:t>
            </w:r>
            <w:r w:rsidRPr="005F534F">
              <w:rPr>
                <w:b/>
                <w:bCs/>
              </w:rPr>
              <w:t>:</w:t>
            </w:r>
          </w:p>
          <w:p w14:paraId="43EEEED7" w14:textId="6F3F6441" w:rsidR="00660D9A" w:rsidRPr="005F534F" w:rsidRDefault="00660D9A" w:rsidP="00660D9A">
            <w:pPr>
              <w:tabs>
                <w:tab w:val="clear" w:pos="794"/>
                <w:tab w:val="left" w:pos="396"/>
              </w:tabs>
              <w:spacing w:before="40" w:after="40"/>
              <w:ind w:left="396" w:hanging="396"/>
            </w:pPr>
            <w:r w:rsidRPr="005F534F">
              <w:t>–</w:t>
            </w:r>
            <w:r w:rsidRPr="005F534F">
              <w:tab/>
              <w:t>los Presidentes y a los Vicepresidentes de las Comisiones de Estudio del UIT-T;</w:t>
            </w:r>
          </w:p>
          <w:p w14:paraId="404D7DD4" w14:textId="12E2BE70" w:rsidR="00660D9A" w:rsidRPr="005F534F" w:rsidRDefault="00660D9A" w:rsidP="00660D9A">
            <w:pPr>
              <w:tabs>
                <w:tab w:val="clear" w:pos="794"/>
                <w:tab w:val="left" w:pos="396"/>
              </w:tabs>
              <w:spacing w:before="40" w:after="40"/>
              <w:ind w:left="396" w:hanging="396"/>
            </w:pPr>
            <w:r w:rsidRPr="005F534F">
              <w:t>–</w:t>
            </w:r>
            <w:r w:rsidRPr="005F534F">
              <w:tab/>
            </w:r>
            <w:r w:rsidR="001D7760" w:rsidRPr="005F534F">
              <w:t>e</w:t>
            </w:r>
            <w:r w:rsidRPr="005F534F">
              <w:t>l Director de la Oficina de Desarrollo de las Telecomunicaciones;</w:t>
            </w:r>
          </w:p>
          <w:p w14:paraId="4AE11A3E" w14:textId="544736DB" w:rsidR="001350B9" w:rsidRPr="005F534F" w:rsidRDefault="00660D9A" w:rsidP="00660D9A">
            <w:pPr>
              <w:tabs>
                <w:tab w:val="clear" w:pos="794"/>
                <w:tab w:val="left" w:pos="396"/>
              </w:tabs>
              <w:spacing w:before="40" w:after="40"/>
              <w:ind w:left="396" w:hanging="396"/>
            </w:pPr>
            <w:r w:rsidRPr="005F534F">
              <w:t>–</w:t>
            </w:r>
            <w:r w:rsidRPr="005F534F">
              <w:tab/>
            </w:r>
            <w:r w:rsidR="001D7760" w:rsidRPr="005F534F">
              <w:t>e</w:t>
            </w:r>
            <w:r w:rsidRPr="005F534F">
              <w:t>l Director de la Oficina de Radiocomunicaciones</w:t>
            </w:r>
          </w:p>
        </w:tc>
      </w:tr>
      <w:tr w:rsidR="001350B9" w:rsidRPr="005F534F" w14:paraId="6745B449" w14:textId="77777777" w:rsidTr="00660D9A">
        <w:trPr>
          <w:cantSplit/>
        </w:trPr>
        <w:tc>
          <w:tcPr>
            <w:tcW w:w="1406" w:type="dxa"/>
          </w:tcPr>
          <w:p w14:paraId="1B8FE96B" w14:textId="77777777" w:rsidR="001350B9" w:rsidRPr="005F534F" w:rsidRDefault="001350B9" w:rsidP="00660D9A">
            <w:pPr>
              <w:spacing w:before="40" w:after="40"/>
            </w:pPr>
            <w:r w:rsidRPr="005F534F">
              <w:t>Tel.:</w:t>
            </w:r>
          </w:p>
        </w:tc>
        <w:tc>
          <w:tcPr>
            <w:tcW w:w="3471" w:type="dxa"/>
          </w:tcPr>
          <w:p w14:paraId="7AFA6B4F" w14:textId="13A97658" w:rsidR="001350B9" w:rsidRPr="005F534F" w:rsidRDefault="00660D9A" w:rsidP="00660D9A">
            <w:pPr>
              <w:spacing w:before="40" w:after="40"/>
            </w:pPr>
            <w:r w:rsidRPr="005F534F">
              <w:t>+41 22 730 5697</w:t>
            </w:r>
          </w:p>
        </w:tc>
        <w:tc>
          <w:tcPr>
            <w:tcW w:w="5329" w:type="dxa"/>
            <w:vMerge/>
          </w:tcPr>
          <w:p w14:paraId="73F3B3CD" w14:textId="77777777" w:rsidR="001350B9" w:rsidRPr="005F534F" w:rsidRDefault="001350B9" w:rsidP="00303D62">
            <w:pPr>
              <w:tabs>
                <w:tab w:val="left" w:pos="226"/>
                <w:tab w:val="left" w:pos="510"/>
              </w:tabs>
              <w:spacing w:before="0"/>
              <w:ind w:left="226" w:hanging="169"/>
              <w:rPr>
                <w:b/>
              </w:rPr>
            </w:pPr>
          </w:p>
        </w:tc>
      </w:tr>
      <w:tr w:rsidR="001350B9" w:rsidRPr="005F534F" w14:paraId="185695CC" w14:textId="77777777" w:rsidTr="00660D9A">
        <w:trPr>
          <w:cantSplit/>
        </w:trPr>
        <w:tc>
          <w:tcPr>
            <w:tcW w:w="1406" w:type="dxa"/>
          </w:tcPr>
          <w:p w14:paraId="78223540" w14:textId="77777777" w:rsidR="001350B9" w:rsidRPr="005F534F" w:rsidRDefault="001350B9" w:rsidP="00660D9A">
            <w:pPr>
              <w:spacing w:before="40" w:after="40"/>
            </w:pPr>
            <w:r w:rsidRPr="005F534F">
              <w:t>Fax:</w:t>
            </w:r>
          </w:p>
        </w:tc>
        <w:tc>
          <w:tcPr>
            <w:tcW w:w="3471" w:type="dxa"/>
          </w:tcPr>
          <w:p w14:paraId="5361C532" w14:textId="07779180" w:rsidR="001350B9" w:rsidRPr="005F534F" w:rsidRDefault="00660D9A" w:rsidP="00660D9A">
            <w:pPr>
              <w:spacing w:before="40" w:after="40"/>
            </w:pPr>
            <w:r w:rsidRPr="005F534F">
              <w:t>+41 22 730 5853</w:t>
            </w:r>
          </w:p>
        </w:tc>
        <w:tc>
          <w:tcPr>
            <w:tcW w:w="5329" w:type="dxa"/>
            <w:vMerge/>
          </w:tcPr>
          <w:p w14:paraId="68D6ED32" w14:textId="77777777" w:rsidR="001350B9" w:rsidRPr="005F534F" w:rsidRDefault="001350B9" w:rsidP="00303D62">
            <w:pPr>
              <w:tabs>
                <w:tab w:val="left" w:pos="226"/>
                <w:tab w:val="left" w:pos="510"/>
              </w:tabs>
              <w:spacing w:before="0"/>
              <w:ind w:left="226" w:hanging="169"/>
              <w:rPr>
                <w:b/>
              </w:rPr>
            </w:pPr>
          </w:p>
        </w:tc>
      </w:tr>
      <w:tr w:rsidR="001350B9" w:rsidRPr="005F534F" w14:paraId="357B09B1" w14:textId="77777777" w:rsidTr="00660D9A">
        <w:trPr>
          <w:cantSplit/>
        </w:trPr>
        <w:tc>
          <w:tcPr>
            <w:tcW w:w="1406" w:type="dxa"/>
          </w:tcPr>
          <w:p w14:paraId="4CBD6589" w14:textId="77777777" w:rsidR="001350B9" w:rsidRPr="005F534F" w:rsidRDefault="001350B9" w:rsidP="00660D9A">
            <w:pPr>
              <w:spacing w:before="40" w:after="40"/>
            </w:pPr>
            <w:r w:rsidRPr="005F534F">
              <w:t>Correo-e:</w:t>
            </w:r>
          </w:p>
        </w:tc>
        <w:tc>
          <w:tcPr>
            <w:tcW w:w="3471" w:type="dxa"/>
          </w:tcPr>
          <w:p w14:paraId="18ED1BFA" w14:textId="78B144C1" w:rsidR="001350B9" w:rsidRPr="005F534F" w:rsidRDefault="00653C06" w:rsidP="00660D9A">
            <w:pPr>
              <w:spacing w:before="40" w:after="40"/>
            </w:pPr>
            <w:hyperlink r:id="rId9" w:history="1">
              <w:r w:rsidR="00660D9A" w:rsidRPr="005F534F">
                <w:rPr>
                  <w:rStyle w:val="Hyperlink"/>
                </w:rPr>
                <w:t>tsbfgai4ndm@itu.int</w:t>
              </w:r>
            </w:hyperlink>
          </w:p>
        </w:tc>
        <w:tc>
          <w:tcPr>
            <w:tcW w:w="5329" w:type="dxa"/>
            <w:vMerge/>
          </w:tcPr>
          <w:p w14:paraId="5B570C2D" w14:textId="77777777" w:rsidR="001350B9" w:rsidRPr="005F534F" w:rsidRDefault="001350B9" w:rsidP="00303D62">
            <w:pPr>
              <w:tabs>
                <w:tab w:val="clear" w:pos="794"/>
                <w:tab w:val="clear" w:pos="1191"/>
                <w:tab w:val="clear" w:pos="1588"/>
                <w:tab w:val="clear" w:pos="1985"/>
                <w:tab w:val="left" w:pos="226"/>
                <w:tab w:val="left" w:pos="510"/>
              </w:tabs>
              <w:spacing w:before="0"/>
              <w:ind w:left="226" w:hanging="169"/>
            </w:pPr>
          </w:p>
        </w:tc>
      </w:tr>
      <w:tr w:rsidR="007B6316" w:rsidRPr="005F534F" w14:paraId="646F4D43" w14:textId="77777777" w:rsidTr="00660D9A">
        <w:trPr>
          <w:cantSplit/>
        </w:trPr>
        <w:tc>
          <w:tcPr>
            <w:tcW w:w="1406" w:type="dxa"/>
          </w:tcPr>
          <w:p w14:paraId="4E466CC9" w14:textId="77777777" w:rsidR="007B6316" w:rsidRPr="005F534F" w:rsidRDefault="007B6316" w:rsidP="00660D9A">
            <w:r w:rsidRPr="005F534F">
              <w:t>Asunto:</w:t>
            </w:r>
          </w:p>
        </w:tc>
        <w:tc>
          <w:tcPr>
            <w:tcW w:w="8800" w:type="dxa"/>
            <w:gridSpan w:val="2"/>
          </w:tcPr>
          <w:p w14:paraId="7EC84796" w14:textId="4DA53419" w:rsidR="007B6316" w:rsidRPr="001E69A8" w:rsidRDefault="001D7760" w:rsidP="001E69A8">
            <w:pPr>
              <w:rPr>
                <w:b/>
                <w:bCs/>
              </w:rPr>
            </w:pPr>
            <w:r w:rsidRPr="001E69A8">
              <w:rPr>
                <w:b/>
                <w:bCs/>
              </w:rPr>
              <w:t>Duo</w:t>
            </w:r>
            <w:r w:rsidR="00462DD3" w:rsidRPr="001E69A8">
              <w:rPr>
                <w:b/>
                <w:bCs/>
              </w:rPr>
              <w:t>d</w:t>
            </w:r>
            <w:r w:rsidR="00660D9A" w:rsidRPr="001E69A8">
              <w:rPr>
                <w:b/>
                <w:bCs/>
              </w:rPr>
              <w:t xml:space="preserve">écima reunión del Grupo Temático UIT/OMM/PNUMA sobre </w:t>
            </w:r>
            <w:r w:rsidR="00314B1F" w:rsidRPr="001E69A8">
              <w:rPr>
                <w:b/>
                <w:bCs/>
              </w:rPr>
              <w:t>"</w:t>
            </w:r>
            <w:r w:rsidR="00660D9A" w:rsidRPr="001E69A8">
              <w:rPr>
                <w:b/>
                <w:bCs/>
              </w:rPr>
              <w:t>inteligencia artificial para la gestión de catástrofes naturales</w:t>
            </w:r>
            <w:r w:rsidR="00314B1F" w:rsidRPr="001E69A8">
              <w:rPr>
                <w:b/>
                <w:bCs/>
              </w:rPr>
              <w:t>"</w:t>
            </w:r>
            <w:r w:rsidR="00660D9A" w:rsidRPr="001E69A8">
              <w:rPr>
                <w:b/>
                <w:bCs/>
              </w:rPr>
              <w:t xml:space="preserve"> (FG-AI4NDM)</w:t>
            </w:r>
            <w:r w:rsidRPr="001E69A8">
              <w:rPr>
                <w:b/>
                <w:bCs/>
              </w:rPr>
              <w:t xml:space="preserve"> y Taller sobre </w:t>
            </w:r>
            <w:r w:rsidR="00314B1F" w:rsidRPr="001E69A8">
              <w:rPr>
                <w:b/>
                <w:bCs/>
              </w:rPr>
              <w:t>"</w:t>
            </w:r>
            <w:r w:rsidRPr="001E69A8">
              <w:rPr>
                <w:b/>
                <w:bCs/>
              </w:rPr>
              <w:t>resiliencia ante peligros naturales mediante soluciones basadas en la IA</w:t>
            </w:r>
            <w:r w:rsidR="00314B1F" w:rsidRPr="001E69A8">
              <w:rPr>
                <w:b/>
                <w:bCs/>
              </w:rPr>
              <w:t>"</w:t>
            </w:r>
            <w:r w:rsidRPr="001E69A8">
              <w:rPr>
                <w:b/>
                <w:bCs/>
              </w:rPr>
              <w:t>, Catonsville, Maryland (Estados Unidos), 13-15 de marzo de 2024</w:t>
            </w:r>
          </w:p>
        </w:tc>
      </w:tr>
    </w:tbl>
    <w:p w14:paraId="1CF3E247" w14:textId="77777777" w:rsidR="00C34772" w:rsidRPr="005F534F" w:rsidRDefault="00C34772" w:rsidP="00660D9A">
      <w:pPr>
        <w:pStyle w:val="Normalaftertitle"/>
      </w:pPr>
      <w:bookmarkStart w:id="1" w:name="StartTyping_S"/>
      <w:bookmarkStart w:id="2" w:name="suitetext"/>
      <w:bookmarkStart w:id="3" w:name="text"/>
      <w:bookmarkEnd w:id="1"/>
      <w:bookmarkEnd w:id="2"/>
      <w:bookmarkEnd w:id="3"/>
      <w:r w:rsidRPr="005F534F">
        <w:t>Muy Señora mía/Muy Señor mío:</w:t>
      </w:r>
    </w:p>
    <w:p w14:paraId="77BB0E40" w14:textId="311F7DC3" w:rsidR="001D7760" w:rsidRPr="005F534F" w:rsidRDefault="001D7760" w:rsidP="00314B1F">
      <w:bookmarkStart w:id="4" w:name="lt_pId048"/>
      <w:r w:rsidRPr="005F534F">
        <w:t xml:space="preserve">Me complace invitarle a asistir a la duodécima </w:t>
      </w:r>
      <w:r w:rsidR="004259D3" w:rsidRPr="005F534F">
        <w:t>reunión del Grupo Temático UIT/OMM/PNUMA sobre inteligencia artificial (IA) para la gestión de catástrofes naturales (FG-AI4NDM)</w:t>
      </w:r>
      <w:r w:rsidRPr="005F534F">
        <w:t>, que tendrá lugar en la Universidad de Maryland, Baltimore County (UMBC)</w:t>
      </w:r>
      <w:r w:rsidR="004259D3" w:rsidRPr="005F534F">
        <w:t>, en</w:t>
      </w:r>
      <w:r w:rsidRPr="005F534F">
        <w:t xml:space="preserve"> Catonsville, Maryland (Estados Unidos), </w:t>
      </w:r>
      <w:r w:rsidRPr="005F534F">
        <w:rPr>
          <w:b/>
          <w:bCs/>
        </w:rPr>
        <w:t>del 14 al 15 de marzo de 2024</w:t>
      </w:r>
      <w:r w:rsidRPr="005F534F">
        <w:t xml:space="preserve">. La reunión </w:t>
      </w:r>
      <w:r w:rsidR="00D25506">
        <w:t>i</w:t>
      </w:r>
      <w:r w:rsidRPr="005F534F">
        <w:t xml:space="preserve">rá precedida </w:t>
      </w:r>
      <w:r w:rsidR="00D25506">
        <w:t>de un</w:t>
      </w:r>
      <w:r w:rsidRPr="005F534F">
        <w:t xml:space="preserve"> </w:t>
      </w:r>
      <w:r w:rsidR="004259D3" w:rsidRPr="005F534F">
        <w:t xml:space="preserve">Taller sobre resiliencia ante peligros naturales mediante soluciones basadas en la </w:t>
      </w:r>
      <w:r w:rsidRPr="005F534F">
        <w:t xml:space="preserve">IA, que tendrá lugar </w:t>
      </w:r>
      <w:r w:rsidRPr="005F534F">
        <w:rPr>
          <w:b/>
          <w:bCs/>
        </w:rPr>
        <w:t>el 13 de marzo de 2024</w:t>
      </w:r>
      <w:r w:rsidRPr="005F534F">
        <w:t xml:space="preserve"> en el mismo lugar.</w:t>
      </w:r>
      <w:r w:rsidR="004259D3" w:rsidRPr="005F534F">
        <w:t xml:space="preserve"> Los amables anfitriones de</w:t>
      </w:r>
      <w:r w:rsidRPr="005F534F">
        <w:t xml:space="preserve">l taller y la reunión serán el </w:t>
      </w:r>
      <w:r w:rsidR="004259D3" w:rsidRPr="005F534F">
        <w:t xml:space="preserve">centro Goddard Earth Sciences and Technology Research II (GESTAR II) </w:t>
      </w:r>
      <w:r w:rsidRPr="005F534F">
        <w:t>de la NASA y la UMBC.</w:t>
      </w:r>
    </w:p>
    <w:p w14:paraId="5E1E9C5E" w14:textId="3A461A19" w:rsidR="001D7760" w:rsidRPr="005F534F" w:rsidRDefault="001D7760" w:rsidP="007B12D1">
      <w:pPr>
        <w:pStyle w:val="Heading1"/>
        <w:rPr>
          <w:spacing w:val="-2"/>
        </w:rPr>
      </w:pPr>
      <w:r w:rsidRPr="005F534F">
        <w:rPr>
          <w:spacing w:val="-2"/>
        </w:rPr>
        <w:t>1</w:t>
      </w:r>
      <w:r w:rsidR="004259D3" w:rsidRPr="005F534F">
        <w:rPr>
          <w:spacing w:val="-2"/>
        </w:rPr>
        <w:tab/>
      </w:r>
      <w:r w:rsidRPr="005F534F">
        <w:rPr>
          <w:spacing w:val="-2"/>
        </w:rPr>
        <w:t xml:space="preserve">Taller del </w:t>
      </w:r>
      <w:r w:rsidR="004259D3" w:rsidRPr="005F534F">
        <w:t>Grupo Temático sobre IA para la gestión de catástrofes naturales</w:t>
      </w:r>
    </w:p>
    <w:p w14:paraId="6F4DE0AC" w14:textId="397AC0F3" w:rsidR="008F68CE" w:rsidRPr="005F534F" w:rsidRDefault="001D7760" w:rsidP="007B12D1">
      <w:r w:rsidRPr="005F534F">
        <w:t xml:space="preserve">El </w:t>
      </w:r>
      <w:r w:rsidR="004259D3" w:rsidRPr="005F534F">
        <w:rPr>
          <w:b/>
          <w:bCs/>
        </w:rPr>
        <w:t>Taller sobre resiliencia ante peligros naturales mediante soluciones basadas en la IA</w:t>
      </w:r>
      <w:r w:rsidR="004259D3" w:rsidRPr="005F534F">
        <w:t xml:space="preserve"> se celebrará</w:t>
      </w:r>
      <w:r w:rsidRPr="005F534F">
        <w:t xml:space="preserve"> el </w:t>
      </w:r>
      <w:r w:rsidRPr="00D25506">
        <w:rPr>
          <w:b/>
          <w:bCs/>
        </w:rPr>
        <w:t>13 de marzo de 2024</w:t>
      </w:r>
      <w:r w:rsidRPr="005F534F">
        <w:t>. E</w:t>
      </w:r>
      <w:r w:rsidR="004259D3" w:rsidRPr="005F534F">
        <w:t>n este marco se destacará la contribución de la</w:t>
      </w:r>
      <w:r w:rsidRPr="005F534F">
        <w:t xml:space="preserve">s soluciones </w:t>
      </w:r>
      <w:r w:rsidR="004259D3" w:rsidRPr="005F534F">
        <w:t>basadas en la</w:t>
      </w:r>
      <w:r w:rsidRPr="005F534F">
        <w:t xml:space="preserve"> IA a la resiliencia ante los peligros naturales. El programa del taller y los detalles</w:t>
      </w:r>
      <w:r w:rsidR="004259D3" w:rsidRPr="005F534F">
        <w:t xml:space="preserve"> relativos </w:t>
      </w:r>
      <w:r w:rsidR="008F68CE" w:rsidRPr="005F534F">
        <w:t>al</w:t>
      </w:r>
      <w:r w:rsidR="004259D3" w:rsidRPr="005F534F">
        <w:t xml:space="preserve"> proceso </w:t>
      </w:r>
      <w:r w:rsidRPr="005F534F">
        <w:t>de inscripción</w:t>
      </w:r>
      <w:r w:rsidR="004259D3" w:rsidRPr="005F534F">
        <w:t xml:space="preserve"> se publicarán </w:t>
      </w:r>
      <w:r w:rsidR="008F68CE" w:rsidRPr="005F534F">
        <w:t xml:space="preserve">en la </w:t>
      </w:r>
      <w:hyperlink r:id="rId10" w:anchor="/es" w:history="1">
        <w:r w:rsidR="008F68CE" w:rsidRPr="005F534F">
          <w:rPr>
            <w:rStyle w:val="Hyperlink"/>
            <w:spacing w:val="-2"/>
          </w:rPr>
          <w:t xml:space="preserve">página principal del </w:t>
        </w:r>
        <w:r w:rsidRPr="005F534F">
          <w:rPr>
            <w:rStyle w:val="Hyperlink"/>
            <w:spacing w:val="-2"/>
          </w:rPr>
          <w:t>FG-AI4NDM</w:t>
        </w:r>
      </w:hyperlink>
      <w:r w:rsidRPr="005F534F">
        <w:t xml:space="preserve">. </w:t>
      </w:r>
      <w:bookmarkEnd w:id="4"/>
    </w:p>
    <w:p w14:paraId="7A26C23B" w14:textId="20D8A579" w:rsidR="008F68CE" w:rsidRPr="005F534F" w:rsidRDefault="008F68CE" w:rsidP="007B12D1">
      <w:pPr>
        <w:pStyle w:val="Heading1"/>
        <w:rPr>
          <w:b w:val="0"/>
          <w:bCs/>
          <w:spacing w:val="-2"/>
        </w:rPr>
      </w:pPr>
      <w:r w:rsidRPr="005F534F">
        <w:rPr>
          <w:bCs/>
          <w:spacing w:val="-2"/>
        </w:rPr>
        <w:t>2</w:t>
      </w:r>
      <w:r w:rsidRPr="005F534F">
        <w:rPr>
          <w:bCs/>
          <w:spacing w:val="-2"/>
        </w:rPr>
        <w:tab/>
        <w:t>Duo</w:t>
      </w:r>
      <w:r w:rsidRPr="005F534F">
        <w:rPr>
          <w:bCs/>
        </w:rPr>
        <w:t>décima reunión del Grupo Temático sobre IA para la gestión de catástrofes naturales</w:t>
      </w:r>
      <w:bookmarkStart w:id="5" w:name="lt_pId095"/>
      <w:bookmarkEnd w:id="5"/>
    </w:p>
    <w:p w14:paraId="610E067B" w14:textId="72C6D1C4" w:rsidR="008F68CE" w:rsidRPr="005F534F" w:rsidRDefault="008F68CE" w:rsidP="008F68CE">
      <w:bookmarkStart w:id="6" w:name="lt_pId096"/>
      <w:r w:rsidRPr="005F534F">
        <w:t xml:space="preserve">La duodécima reunión se celebrará </w:t>
      </w:r>
      <w:r w:rsidRPr="005F534F">
        <w:rPr>
          <w:b/>
          <w:bCs/>
          <w:spacing w:val="-2"/>
        </w:rPr>
        <w:t>del 14 al 15 de marzo de 2024</w:t>
      </w:r>
      <w:r w:rsidRPr="005F534F">
        <w:t>. El proyecto de orden del día, los documentos de la reunión, el enlace para la inscripción, el documento con las disposiciones logísticas y toda la información relevante sobre cómo participar en la reunión</w:t>
      </w:r>
      <w:r w:rsidR="00D25506">
        <w:t xml:space="preserve"> se publicarán</w:t>
      </w:r>
      <w:r w:rsidRPr="005F534F">
        <w:t xml:space="preserve"> en la </w:t>
      </w:r>
      <w:hyperlink r:id="rId11" w:anchor="/es" w:history="1">
        <w:r w:rsidRPr="005F534F">
          <w:rPr>
            <w:rStyle w:val="Hyperlink"/>
            <w:spacing w:val="-2"/>
          </w:rPr>
          <w:t>página principal del FG-AI4NDM</w:t>
        </w:r>
      </w:hyperlink>
      <w:r w:rsidRPr="005F534F">
        <w:rPr>
          <w:spacing w:val="-2"/>
        </w:rPr>
        <w:t>.</w:t>
      </w:r>
    </w:p>
    <w:p w14:paraId="4ACC6E31" w14:textId="207C900C" w:rsidR="008F68CE" w:rsidRPr="005F534F" w:rsidRDefault="008F68CE" w:rsidP="008F68CE">
      <w:pPr>
        <w:rPr>
          <w:bCs/>
        </w:rPr>
      </w:pPr>
      <w:r w:rsidRPr="005F534F">
        <w:lastRenderedPageBreak/>
        <w:t>El objetivo de esta duodécima reunión será finalizar el Informe Técnico pendiente y completar los materiales didácticos adicionales.</w:t>
      </w:r>
      <w:bookmarkStart w:id="7" w:name="lt_pId097"/>
      <w:bookmarkStart w:id="8" w:name="lt_pId098"/>
      <w:bookmarkEnd w:id="6"/>
      <w:bookmarkEnd w:id="7"/>
      <w:bookmarkEnd w:id="8"/>
    </w:p>
    <w:p w14:paraId="34E8F8C8" w14:textId="3472AA0A" w:rsidR="007062CB" w:rsidRPr="005F534F" w:rsidRDefault="008F68CE" w:rsidP="007062CB">
      <w:pPr>
        <w:rPr>
          <w:b/>
          <w:bCs/>
        </w:rPr>
      </w:pPr>
      <w:bookmarkStart w:id="9" w:name="lt_pId099"/>
      <w:r w:rsidRPr="005F534F">
        <w:t xml:space="preserve">Se invita a los interesados a presentar </w:t>
      </w:r>
      <w:r w:rsidRPr="005F534F">
        <w:rPr>
          <w:b/>
          <w:bCs/>
        </w:rPr>
        <w:t>contribuciones por escrito</w:t>
      </w:r>
      <w:r w:rsidRPr="005F534F">
        <w:t xml:space="preserve"> para hacer avanzar los productos finales de los Grupos de Trabajo. Todas las contribuciones escritas deben </w:t>
      </w:r>
      <w:r w:rsidR="007062CB" w:rsidRPr="005F534F">
        <w:t>remitirse</w:t>
      </w:r>
      <w:r w:rsidRPr="005F534F">
        <w:t xml:space="preserve"> a la Secretaría de la TSB (</w:t>
      </w:r>
      <w:hyperlink r:id="rId12" w:history="1">
        <w:r w:rsidRPr="005F534F">
          <w:rPr>
            <w:rStyle w:val="Hyperlink"/>
          </w:rPr>
          <w:t>tsbfgai4ndm@itu.int</w:t>
        </w:r>
      </w:hyperlink>
      <w:r w:rsidRPr="005F534F">
        <w:t xml:space="preserve">) en formato electrónico utilizando las plantillas disponibles en la </w:t>
      </w:r>
      <w:hyperlink r:id="rId13" w:anchor="/es" w:history="1">
        <w:r w:rsidRPr="005F534F">
          <w:rPr>
            <w:rStyle w:val="Hyperlink"/>
          </w:rPr>
          <w:t xml:space="preserve">página </w:t>
        </w:r>
        <w:r w:rsidR="007062CB" w:rsidRPr="005F534F">
          <w:rPr>
            <w:rStyle w:val="Hyperlink"/>
          </w:rPr>
          <w:t>principal</w:t>
        </w:r>
        <w:r w:rsidRPr="005F534F">
          <w:rPr>
            <w:rStyle w:val="Hyperlink"/>
          </w:rPr>
          <w:t xml:space="preserve"> del FG-AI4NDM</w:t>
        </w:r>
      </w:hyperlink>
      <w:r w:rsidRPr="005F534F">
        <w:t xml:space="preserve">. </w:t>
      </w:r>
      <w:r w:rsidRPr="005F534F">
        <w:rPr>
          <w:b/>
          <w:bCs/>
        </w:rPr>
        <w:t xml:space="preserve">El plazo para la presentación de contribuciones a la </w:t>
      </w:r>
      <w:r w:rsidR="007062CB" w:rsidRPr="005F534F">
        <w:rPr>
          <w:b/>
          <w:bCs/>
        </w:rPr>
        <w:t>duo</w:t>
      </w:r>
      <w:r w:rsidRPr="005F534F">
        <w:rPr>
          <w:b/>
          <w:bCs/>
        </w:rPr>
        <w:t>décima reunión expira el</w:t>
      </w:r>
      <w:r w:rsidR="007062CB" w:rsidRPr="005F534F">
        <w:rPr>
          <w:b/>
          <w:bCs/>
        </w:rPr>
        <w:t xml:space="preserve"> 1 de marzo de 2024</w:t>
      </w:r>
      <w:r w:rsidRPr="005F534F">
        <w:rPr>
          <w:b/>
          <w:bCs/>
        </w:rPr>
        <w:t>.</w:t>
      </w:r>
      <w:bookmarkStart w:id="10" w:name="lt_pId100"/>
      <w:bookmarkStart w:id="11" w:name="lt_pId101"/>
      <w:bookmarkEnd w:id="9"/>
      <w:bookmarkEnd w:id="10"/>
      <w:bookmarkEnd w:id="11"/>
    </w:p>
    <w:p w14:paraId="4BD8FA62" w14:textId="4C74BF3D" w:rsidR="007062CB" w:rsidRPr="005F534F" w:rsidRDefault="007062CB" w:rsidP="00500021">
      <w:pPr>
        <w:pStyle w:val="Heading1"/>
        <w:rPr>
          <w:b w:val="0"/>
        </w:rPr>
      </w:pPr>
      <w:r w:rsidRPr="007B12D1">
        <w:t>3</w:t>
      </w:r>
      <w:r w:rsidRPr="007B12D1">
        <w:tab/>
      </w:r>
      <w:r w:rsidRPr="00500021">
        <w:t>Disposiciones</w:t>
      </w:r>
      <w:r w:rsidRPr="007B12D1">
        <w:t xml:space="preserve"> prácticas</w:t>
      </w:r>
    </w:p>
    <w:p w14:paraId="5E0A681A" w14:textId="20A8C3C8" w:rsidR="007062CB" w:rsidRPr="005F534F" w:rsidRDefault="007062CB" w:rsidP="007062CB">
      <w:bookmarkStart w:id="12" w:name="lt_pId104"/>
      <w:r w:rsidRPr="005F534F">
        <w:t xml:space="preserve">La </w:t>
      </w:r>
      <w:r w:rsidR="0065528F" w:rsidRPr="005F534F">
        <w:t>duo</w:t>
      </w:r>
      <w:r w:rsidRPr="005F534F">
        <w:t xml:space="preserve">décima reunión del FG-AI4NDM se celebrará </w:t>
      </w:r>
      <w:r w:rsidR="0065528F" w:rsidRPr="005F534F">
        <w:t>en</w:t>
      </w:r>
      <w:r w:rsidRPr="005F534F">
        <w:t xml:space="preserve"> la plataforma </w:t>
      </w:r>
      <w:hyperlink r:id="rId14" w:anchor="/MyMeetings" w:history="1">
        <w:r w:rsidRPr="005F534F">
          <w:rPr>
            <w:rStyle w:val="Hyperlink"/>
          </w:rPr>
          <w:t>MyMeetings</w:t>
        </w:r>
      </w:hyperlink>
      <w:r w:rsidRPr="005F534F">
        <w:t>. Los debates tendrán lugar únicamente en inglés.</w:t>
      </w:r>
      <w:bookmarkStart w:id="13" w:name="lt_pId105"/>
      <w:bookmarkStart w:id="14" w:name="lt_pId106"/>
      <w:bookmarkEnd w:id="12"/>
      <w:bookmarkEnd w:id="13"/>
      <w:bookmarkEnd w:id="14"/>
    </w:p>
    <w:p w14:paraId="6714570A" w14:textId="0ABEF0FF" w:rsidR="0065528F" w:rsidRPr="005F534F" w:rsidRDefault="0065528F" w:rsidP="0065528F">
      <w:bookmarkStart w:id="15" w:name="lt_pId107"/>
      <w:r w:rsidRPr="005F534F">
        <w:t>Se dispone de un número limitado de subsidios de viaje para expertos procedentes de PMA, PEID y países en desarrollo (</w:t>
      </w:r>
      <w:r w:rsidR="00D25506">
        <w:t>en función de</w:t>
      </w:r>
      <w:r w:rsidRPr="005F534F">
        <w:t xml:space="preserve"> la disponibilidad de fondos aportados por donantes y recibidos por la UIT) interesados en asistir a la próxima reunión del </w:t>
      </w:r>
      <w:r w:rsidRPr="005F534F">
        <w:rPr>
          <w:spacing w:val="-2"/>
        </w:rPr>
        <w:t>FG-AI4NDM</w:t>
      </w:r>
      <w:r w:rsidRPr="005F534F">
        <w:t xml:space="preserve">. </w:t>
      </w:r>
      <w:bookmarkStart w:id="16" w:name="lt_pId111"/>
      <w:r w:rsidRPr="005F534F">
        <w:t xml:space="preserve">Se invita a los participantes a inscribirse en línea a través de la </w:t>
      </w:r>
      <w:hyperlink r:id="rId15" w:anchor="/es" w:history="1">
        <w:r w:rsidRPr="005F534F">
          <w:rPr>
            <w:rStyle w:val="Hyperlink"/>
          </w:rPr>
          <w:t>página principal del FG</w:t>
        </w:r>
        <w:r w:rsidRPr="005F534F">
          <w:rPr>
            <w:rStyle w:val="Hyperlink"/>
          </w:rPr>
          <w:noBreakHyphen/>
          <w:t>AI4NDM</w:t>
        </w:r>
      </w:hyperlink>
      <w:r w:rsidRPr="005F534F">
        <w:t xml:space="preserve"> </w:t>
      </w:r>
      <w:r w:rsidR="00D25506">
        <w:t>a la mayor brevedad</w:t>
      </w:r>
      <w:r w:rsidRPr="005F534F">
        <w:t xml:space="preserve">. </w:t>
      </w:r>
      <w:r w:rsidRPr="005F534F">
        <w:rPr>
          <w:u w:val="single"/>
        </w:rPr>
        <w:t>Obsérvese que, para participar en la reunión, es obligatorio inscribirse</w:t>
      </w:r>
      <w:r w:rsidRPr="005F534F">
        <w:t>.</w:t>
      </w:r>
      <w:bookmarkStart w:id="17" w:name="_Hlk71071879"/>
      <w:bookmarkStart w:id="18" w:name="lt_pId112"/>
      <w:bookmarkEnd w:id="16"/>
      <w:bookmarkEnd w:id="17"/>
      <w:bookmarkEnd w:id="18"/>
      <w:r w:rsidRPr="005F534F">
        <w:t xml:space="preserve"> El Anexo 1 a la presente carta contiene más información al respecto.</w:t>
      </w:r>
    </w:p>
    <w:p w14:paraId="1E84DADE" w14:textId="6B4C2C18" w:rsidR="0065528F" w:rsidRPr="005F534F" w:rsidRDefault="0065528F" w:rsidP="0065528F">
      <w:r w:rsidRPr="005F534F">
        <w:t xml:space="preserve">La </w:t>
      </w:r>
      <w:hyperlink r:id="rId16" w:anchor="/es" w:history="1">
        <w:r w:rsidRPr="003E4373">
          <w:rPr>
            <w:rStyle w:val="Hyperlink"/>
          </w:rPr>
          <w:t>página principal del FG</w:t>
        </w:r>
        <w:r w:rsidRPr="003E4373">
          <w:rPr>
            <w:rStyle w:val="Hyperlink"/>
          </w:rPr>
          <w:noBreakHyphen/>
          <w:t>AI4NDM</w:t>
        </w:r>
      </w:hyperlink>
      <w:r w:rsidRPr="005F534F">
        <w:t xml:space="preserve"> se irá actualizando a medida que se disponga de información nueva o adicional. Se invita a los participantes a comprobar periódicamente si hay nuevas actualizaciones. </w:t>
      </w:r>
    </w:p>
    <w:p w14:paraId="30619A50" w14:textId="0E09E0D5" w:rsidR="007062CB" w:rsidRPr="005F534F" w:rsidRDefault="0065528F" w:rsidP="003E4373">
      <w:pPr>
        <w:pStyle w:val="Headingb0"/>
        <w:spacing w:after="120"/>
      </w:pPr>
      <w:bookmarkStart w:id="19" w:name="lt_pId114"/>
      <w:bookmarkEnd w:id="15"/>
      <w:bookmarkEnd w:id="19"/>
      <w:r w:rsidRPr="005F534F">
        <w:t>Plazos importantes:</w:t>
      </w:r>
    </w:p>
    <w:tbl>
      <w:tblPr>
        <w:tblStyle w:val="TableGrid"/>
        <w:tblW w:w="5000" w:type="pct"/>
        <w:jc w:val="center"/>
        <w:tblLayout w:type="fixed"/>
        <w:tblLook w:val="04A0" w:firstRow="1" w:lastRow="0" w:firstColumn="1" w:lastColumn="0" w:noHBand="0" w:noVBand="1"/>
      </w:tblPr>
      <w:tblGrid>
        <w:gridCol w:w="2443"/>
        <w:gridCol w:w="7186"/>
      </w:tblGrid>
      <w:tr w:rsidR="007062CB" w:rsidRPr="005F534F" w14:paraId="21DAB4AF" w14:textId="77777777" w:rsidTr="0065528F">
        <w:trPr>
          <w:trHeight w:val="438"/>
          <w:jc w:val="center"/>
        </w:trPr>
        <w:tc>
          <w:tcPr>
            <w:tcW w:w="2443" w:type="dxa"/>
          </w:tcPr>
          <w:p w14:paraId="2B69C3CF" w14:textId="5ACC9A37" w:rsidR="007062CB" w:rsidRPr="005F534F" w:rsidRDefault="007062CB" w:rsidP="008E75E0">
            <w:bookmarkStart w:id="20" w:name="lt_pId116"/>
            <w:bookmarkEnd w:id="20"/>
            <w:r w:rsidRPr="005F534F">
              <w:t>1</w:t>
            </w:r>
            <w:r w:rsidR="0065528F" w:rsidRPr="005F534F">
              <w:t xml:space="preserve"> de marzo de 2024</w:t>
            </w:r>
          </w:p>
        </w:tc>
        <w:tc>
          <w:tcPr>
            <w:tcW w:w="7186" w:type="dxa"/>
          </w:tcPr>
          <w:p w14:paraId="1389A063" w14:textId="2A9654D9" w:rsidR="007062CB" w:rsidRPr="005F534F" w:rsidRDefault="007062CB" w:rsidP="008E75E0">
            <w:pPr>
              <w:pStyle w:val="enumlev1"/>
            </w:pPr>
            <w:r w:rsidRPr="005F534F">
              <w:t>–</w:t>
            </w:r>
            <w:r w:rsidRPr="005F534F">
              <w:tab/>
              <w:t xml:space="preserve">Preinscripción (en línea a través de la </w:t>
            </w:r>
            <w:hyperlink r:id="rId17" w:anchor="/es" w:history="1">
              <w:r w:rsidRPr="005F534F">
                <w:rPr>
                  <w:rStyle w:val="Hyperlink"/>
                </w:rPr>
                <w:t>página principal del FG</w:t>
              </w:r>
              <w:r w:rsidRPr="005F534F">
                <w:rPr>
                  <w:rStyle w:val="Hyperlink"/>
                </w:rPr>
                <w:noBreakHyphen/>
                <w:t>AI4NDM</w:t>
              </w:r>
            </w:hyperlink>
            <w:r w:rsidRPr="005F534F">
              <w:t>)</w:t>
            </w:r>
            <w:bookmarkStart w:id="21" w:name="lt_pId118"/>
            <w:bookmarkStart w:id="22" w:name="lt_pId120"/>
            <w:bookmarkEnd w:id="21"/>
            <w:bookmarkEnd w:id="22"/>
          </w:p>
        </w:tc>
      </w:tr>
      <w:tr w:rsidR="0065528F" w:rsidRPr="005F534F" w14:paraId="36ACD139" w14:textId="77777777" w:rsidTr="0065528F">
        <w:trPr>
          <w:trHeight w:val="438"/>
          <w:jc w:val="center"/>
        </w:trPr>
        <w:tc>
          <w:tcPr>
            <w:tcW w:w="2443" w:type="dxa"/>
          </w:tcPr>
          <w:p w14:paraId="5E525252" w14:textId="30BD7C3B" w:rsidR="0065528F" w:rsidRPr="005F534F" w:rsidRDefault="0065528F" w:rsidP="0065528F">
            <w:bookmarkStart w:id="23" w:name="lt_pId122"/>
            <w:bookmarkEnd w:id="23"/>
            <w:r w:rsidRPr="005F534F">
              <w:t>1 de marzo de 2024</w:t>
            </w:r>
          </w:p>
        </w:tc>
        <w:tc>
          <w:tcPr>
            <w:tcW w:w="7186" w:type="dxa"/>
          </w:tcPr>
          <w:p w14:paraId="172D0F33" w14:textId="5AA71545" w:rsidR="0065528F" w:rsidRPr="005F534F" w:rsidRDefault="0065528F" w:rsidP="0065528F">
            <w:pPr>
              <w:pStyle w:val="enumlev1"/>
            </w:pPr>
            <w:r w:rsidRPr="005F534F">
              <w:t>–</w:t>
            </w:r>
            <w:r w:rsidRPr="005F534F">
              <w:tab/>
              <w:t xml:space="preserve">Presentación de contribuciones por escrito (por correo electrónico a </w:t>
            </w:r>
            <w:hyperlink r:id="rId18" w:history="1">
              <w:r w:rsidRPr="005F534F">
                <w:rPr>
                  <w:rStyle w:val="Hyperlink"/>
                </w:rPr>
                <w:t>tsbfgai4ndm@itu.int</w:t>
              </w:r>
            </w:hyperlink>
            <w:r w:rsidRPr="005F534F">
              <w:t>)</w:t>
            </w:r>
            <w:bookmarkStart w:id="24" w:name="lt_pId124"/>
            <w:bookmarkEnd w:id="24"/>
          </w:p>
        </w:tc>
      </w:tr>
    </w:tbl>
    <w:p w14:paraId="1EE34C4E" w14:textId="542D40F0" w:rsidR="007062CB" w:rsidRPr="005F534F" w:rsidRDefault="007062CB" w:rsidP="00D463E2">
      <w:bookmarkStart w:id="25" w:name="lt_pId125"/>
      <w:r w:rsidRPr="005F534F">
        <w:t>Le deseo un</w:t>
      </w:r>
      <w:r w:rsidR="0065528F" w:rsidRPr="005F534F">
        <w:t xml:space="preserve">a reunión </w:t>
      </w:r>
      <w:r w:rsidRPr="005F534F">
        <w:t>agradable y productiv</w:t>
      </w:r>
      <w:r w:rsidR="0065528F" w:rsidRPr="005F534F">
        <w:t>a</w:t>
      </w:r>
      <w:r w:rsidRPr="005F534F">
        <w:t>.</w:t>
      </w:r>
      <w:bookmarkEnd w:id="25"/>
    </w:p>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103"/>
        <w:gridCol w:w="3678"/>
      </w:tblGrid>
      <w:tr w:rsidR="0065528F" w:rsidRPr="005F534F" w14:paraId="2857341B" w14:textId="77777777" w:rsidTr="0065528F">
        <w:trPr>
          <w:trHeight w:val="1955"/>
        </w:trPr>
        <w:tc>
          <w:tcPr>
            <w:tcW w:w="6103" w:type="dxa"/>
            <w:tcBorders>
              <w:right w:val="single" w:sz="4" w:space="0" w:color="auto"/>
            </w:tcBorders>
          </w:tcPr>
          <w:p w14:paraId="10F30296" w14:textId="77777777" w:rsidR="0065528F" w:rsidRPr="005F534F" w:rsidRDefault="0065528F" w:rsidP="0065528F">
            <w:bookmarkStart w:id="26" w:name="lt_pId126"/>
            <w:r w:rsidRPr="005F534F">
              <w:t>Atentamente,</w:t>
            </w:r>
            <w:bookmarkEnd w:id="26"/>
          </w:p>
          <w:p w14:paraId="55B6FB73" w14:textId="77777777" w:rsidR="0065528F" w:rsidRPr="005F534F" w:rsidRDefault="0065528F" w:rsidP="0065528F">
            <w:pPr>
              <w:spacing w:before="360" w:after="360"/>
              <w:rPr>
                <w:i/>
                <w:iCs/>
              </w:rPr>
            </w:pPr>
            <w:bookmarkStart w:id="27" w:name="lt_pId127"/>
            <w:r w:rsidRPr="005F534F">
              <w:rPr>
                <w:i/>
                <w:iCs/>
              </w:rPr>
              <w:t>(firmado)</w:t>
            </w:r>
          </w:p>
          <w:p w14:paraId="67D94524" w14:textId="77777777" w:rsidR="0065528F" w:rsidRPr="005F534F" w:rsidRDefault="0065528F" w:rsidP="0065528F">
            <w:r w:rsidRPr="005F534F">
              <w:t>Seizo Onoe</w:t>
            </w:r>
            <w:r w:rsidRPr="005F534F">
              <w:br/>
              <w:t>Director de la Oficina de Normalización</w:t>
            </w:r>
            <w:r w:rsidRPr="005F534F">
              <w:br/>
              <w:t>de las Telecomunicaciones</w:t>
            </w:r>
            <w:bookmarkStart w:id="28" w:name="lt_pId128"/>
            <w:bookmarkStart w:id="29" w:name="lt_pId129"/>
            <w:bookmarkEnd w:id="27"/>
            <w:bookmarkEnd w:id="28"/>
            <w:bookmarkEnd w:id="29"/>
          </w:p>
        </w:tc>
        <w:tc>
          <w:tcPr>
            <w:tcW w:w="3678" w:type="dxa"/>
            <w:tcBorders>
              <w:top w:val="single" w:sz="4" w:space="0" w:color="auto"/>
              <w:left w:val="single" w:sz="4" w:space="0" w:color="auto"/>
              <w:bottom w:val="single" w:sz="4" w:space="0" w:color="auto"/>
              <w:right w:val="single" w:sz="4" w:space="0" w:color="auto"/>
            </w:tcBorders>
            <w:shd w:val="clear" w:color="auto" w:fill="auto"/>
          </w:tcPr>
          <w:p w14:paraId="153E522B" w14:textId="6D15F7C3" w:rsidR="0065528F" w:rsidRPr="005F534F" w:rsidRDefault="0065528F" w:rsidP="0065528F">
            <w:pPr>
              <w:jc w:val="center"/>
              <w:rPr>
                <w:sz w:val="20"/>
              </w:rPr>
            </w:pPr>
            <w:bookmarkStart w:id="30" w:name="lt_pId130"/>
            <w:r w:rsidRPr="005F534F">
              <w:rPr>
                <w:noProof/>
                <w:lang w:eastAsia="es-ES_tradnl"/>
              </w:rPr>
              <w:drawing>
                <wp:inline distT="0" distB="0" distL="0" distR="0" wp14:anchorId="4C14579F" wp14:editId="43725CC2">
                  <wp:extent cx="1517650" cy="1257935"/>
                  <wp:effectExtent l="0" t="0" r="6350" b="0"/>
                  <wp:docPr id="2" name="Picture 2"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Qr code&#10;&#10;Description automatically generated"/>
                          <pic:cNvPicPr>
                            <a:picLocks noChangeAspect="1" noChangeArrowheads="1"/>
                          </pic:cNvPicPr>
                        </pic:nvPicPr>
                        <pic:blipFill rotWithShape="1">
                          <a:blip r:embed="rId19">
                            <a:extLst>
                              <a:ext uri="{28A0092B-C50C-407E-A947-70E740481C1C}">
                                <a14:useLocalDpi xmlns:a14="http://schemas.microsoft.com/office/drawing/2010/main" val="0"/>
                              </a:ext>
                            </a:extLst>
                          </a:blip>
                          <a:srcRect t="7045" b="10015"/>
                          <a:stretch/>
                        </pic:blipFill>
                        <pic:spPr bwMode="auto">
                          <a:xfrm>
                            <a:off x="0" y="0"/>
                            <a:ext cx="1517650" cy="1257935"/>
                          </a:xfrm>
                          <a:prstGeom prst="rect">
                            <a:avLst/>
                          </a:prstGeom>
                          <a:noFill/>
                          <a:ln>
                            <a:noFill/>
                          </a:ln>
                          <a:extLst>
                            <a:ext uri="{53640926-AAD7-44D8-BBD7-CCE9431645EC}">
                              <a14:shadowObscured xmlns:a14="http://schemas.microsoft.com/office/drawing/2010/main"/>
                            </a:ext>
                          </a:extLst>
                        </pic:spPr>
                      </pic:pic>
                    </a:graphicData>
                  </a:graphic>
                </wp:inline>
              </w:drawing>
            </w:r>
          </w:p>
          <w:p w14:paraId="12E2F82B" w14:textId="7F9A22AE" w:rsidR="0065528F" w:rsidRPr="005F534F" w:rsidRDefault="0065528F" w:rsidP="0065528F">
            <w:pPr>
              <w:jc w:val="center"/>
            </w:pPr>
            <w:r w:rsidRPr="005F534F">
              <w:rPr>
                <w:sz w:val="20"/>
              </w:rPr>
              <w:t>Novedades sobre la reunión</w:t>
            </w:r>
            <w:bookmarkEnd w:id="30"/>
          </w:p>
        </w:tc>
      </w:tr>
    </w:tbl>
    <w:p w14:paraId="3476C946" w14:textId="77777777" w:rsidR="007062CB" w:rsidRPr="005F534F" w:rsidRDefault="007062CB" w:rsidP="00D463E2">
      <w:pPr>
        <w:spacing w:before="960"/>
      </w:pPr>
      <w:bookmarkStart w:id="31" w:name="_9002luq7o99m" w:colFirst="0" w:colLast="0"/>
      <w:bookmarkStart w:id="32" w:name="_n47clybo6pa1" w:colFirst="0" w:colLast="0"/>
      <w:bookmarkStart w:id="33" w:name="_6uy0lgqwuqtj" w:colFirst="0" w:colLast="0"/>
      <w:bookmarkStart w:id="34" w:name="_l05ftd8hyffx" w:colFirst="0" w:colLast="0"/>
      <w:bookmarkStart w:id="35" w:name="_jmy002wqum49" w:colFirst="0" w:colLast="0"/>
      <w:bookmarkStart w:id="36" w:name="_j997bo8rn32g" w:colFirst="0" w:colLast="0"/>
      <w:bookmarkStart w:id="37" w:name="_t5pzvm7p3dpf" w:colFirst="0" w:colLast="0"/>
      <w:bookmarkStart w:id="38" w:name="_ita941ywycq" w:colFirst="0" w:colLast="0"/>
      <w:bookmarkStart w:id="39" w:name="_tvk28c1ycdjm" w:colFirst="0" w:colLast="0"/>
      <w:bookmarkStart w:id="40" w:name="_6uxhg0uwv531" w:colFirst="0" w:colLast="0"/>
      <w:bookmarkStart w:id="41" w:name="_hne94aegszsv" w:colFirst="0" w:colLast="0"/>
      <w:bookmarkStart w:id="42" w:name="_pb79j7jmn4j0" w:colFirst="0" w:colLast="0"/>
      <w:bookmarkStart w:id="43" w:name="_jy1bn26hpwrp" w:colFirst="0" w:colLast="0"/>
      <w:bookmarkStart w:id="44" w:name="_m5jptyvkagrs" w:colFirst="0" w:colLast="0"/>
      <w:bookmarkStart w:id="45" w:name="_5p8ue2xy0lb9" w:colFirst="0" w:colLast="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14:paraId="70545C9D" w14:textId="6F71DD0E" w:rsidR="0065528F" w:rsidRPr="005F534F" w:rsidRDefault="0065528F" w:rsidP="0065528F">
      <w:pPr>
        <w:rPr>
          <w:b/>
          <w:bCs/>
          <w:szCs w:val="22"/>
        </w:rPr>
      </w:pPr>
      <w:bookmarkStart w:id="46" w:name="lt_pId089"/>
      <w:r w:rsidRPr="005F534F">
        <w:rPr>
          <w:b/>
          <w:bCs/>
          <w:szCs w:val="22"/>
        </w:rPr>
        <w:t>Anexos: 2</w:t>
      </w:r>
      <w:bookmarkEnd w:id="46"/>
      <w:r w:rsidRPr="005F534F">
        <w:br w:type="page"/>
      </w:r>
    </w:p>
    <w:p w14:paraId="29810EBB" w14:textId="2BCBF6CD" w:rsidR="006E70FE" w:rsidRPr="005F534F" w:rsidRDefault="0065528F" w:rsidP="00D463E2">
      <w:pPr>
        <w:pStyle w:val="AnnexNotitle"/>
        <w:rPr>
          <w:bCs/>
        </w:rPr>
      </w:pPr>
      <w:bookmarkStart w:id="47" w:name="lt_pId090"/>
      <w:r w:rsidRPr="0065528F">
        <w:lastRenderedPageBreak/>
        <w:t>Anex</w:t>
      </w:r>
      <w:r w:rsidRPr="005F534F">
        <w:t>o</w:t>
      </w:r>
      <w:r w:rsidRPr="0065528F">
        <w:t xml:space="preserve"> 1</w:t>
      </w:r>
      <w:bookmarkEnd w:id="47"/>
      <w:r w:rsidR="00EA7522">
        <w:t>:</w:t>
      </w:r>
      <w:r w:rsidR="00EA7522">
        <w:tab/>
      </w:r>
      <w:r w:rsidRPr="005F534F">
        <w:t>Información relativa a la inscripción y la participación</w:t>
      </w:r>
    </w:p>
    <w:p w14:paraId="73CF5DB6" w14:textId="3D8B7129" w:rsidR="0065528F" w:rsidRPr="00D463E2" w:rsidRDefault="0065528F" w:rsidP="00D463E2">
      <w:pPr>
        <w:pStyle w:val="Headingb0"/>
        <w:rPr>
          <w:u w:val="single"/>
        </w:rPr>
      </w:pPr>
      <w:r w:rsidRPr="00D463E2">
        <w:rPr>
          <w:u w:val="single"/>
        </w:rPr>
        <w:t>Información relativa a la inscripción y la participación</w:t>
      </w:r>
    </w:p>
    <w:p w14:paraId="1F873BF5" w14:textId="77777777" w:rsidR="00AF21DE" w:rsidRPr="005F534F" w:rsidRDefault="00AF21DE" w:rsidP="00AF21DE">
      <w:r w:rsidRPr="005F534F">
        <w:t xml:space="preserve">La duodécima reunión del FG-AI4NDM se celebrará en la plataforma </w:t>
      </w:r>
      <w:hyperlink r:id="rId20" w:anchor="/MyMeetings" w:history="1">
        <w:r w:rsidRPr="005F534F">
          <w:rPr>
            <w:rStyle w:val="Hyperlink"/>
          </w:rPr>
          <w:t>MyMeetings</w:t>
        </w:r>
      </w:hyperlink>
      <w:r w:rsidRPr="005F534F">
        <w:t>. Los debates tendrán lugar únicamente en inglés.</w:t>
      </w:r>
    </w:p>
    <w:p w14:paraId="0D9F61F3" w14:textId="1F99F4E3" w:rsidR="0065528F" w:rsidRPr="005F534F" w:rsidRDefault="0065528F" w:rsidP="0065528F">
      <w:r w:rsidRPr="005F534F">
        <w:t>La participación en el FG-AI4NDM es gratuita y está abierta a expertos y organizaciones de todos los sectores y disciplinas pertinentes, véanse en particular la geociencia, la reducción del riesgo de catástrofes, las operaciones de socorro en caso de catástrofe, la mitigación de catástrofes y la inteligencia artificial/aprendizaje automático (AI/ML), entre otras esferas de las tecnologías de la información y la comunicación. Se alienta a los expertos de todas las regiones, en particular de los países en desarrollo, incluidos los países menos adelantados (PMA) y los pequeños Estados insulares en desarrollo (PEID), a contribuir a esta labor.</w:t>
      </w:r>
      <w:bookmarkStart w:id="48" w:name="lt_pId108"/>
      <w:bookmarkEnd w:id="48"/>
    </w:p>
    <w:p w14:paraId="367D70DC" w14:textId="463AFD1B" w:rsidR="0065528F" w:rsidRPr="005F534F" w:rsidRDefault="0065528F" w:rsidP="0065528F">
      <w:bookmarkStart w:id="49" w:name="lt_pId109"/>
      <w:r w:rsidRPr="005F534F">
        <w:t xml:space="preserve">Se invita a todos los interesados en seguir dicha labor o participar en ella a inscribirse en una lista de correo electrónico específica; en la siguiente página web se proporciona información detallada sobre el proceso de inscripción: </w:t>
      </w:r>
      <w:hyperlink r:id="rId21" w:history="1">
        <w:r w:rsidRPr="005F534F">
          <w:rPr>
            <w:rStyle w:val="Hyperlink"/>
          </w:rPr>
          <w:t>http://www.itu.int/go/fgai4ndm-quicksteps</w:t>
        </w:r>
      </w:hyperlink>
      <w:r w:rsidRPr="005F534F">
        <w:t>. Cada Grupo de Trabajo y grupo monográfico tiene una lista de correo específica a través de la cual se distribuye periódicamente información pertinente sobre sus actividades.</w:t>
      </w:r>
      <w:bookmarkStart w:id="50" w:name="lt_pId110"/>
      <w:bookmarkEnd w:id="49"/>
      <w:bookmarkEnd w:id="50"/>
    </w:p>
    <w:p w14:paraId="4627B8DD" w14:textId="4D84CC06" w:rsidR="006E70FE" w:rsidRPr="005F534F" w:rsidRDefault="006E70FE" w:rsidP="0065528F">
      <w:r w:rsidRPr="005F534F">
        <w:t>Se dispone de un número limitado de subsidios de viaje para expertos procedentes de PMA, PEID y países en desarrollo</w:t>
      </w:r>
      <w:r w:rsidR="00D25506">
        <w:t xml:space="preserve"> </w:t>
      </w:r>
      <w:r w:rsidR="00D25506" w:rsidRPr="005F534F">
        <w:t>(</w:t>
      </w:r>
      <w:r w:rsidR="00D25506">
        <w:t>en función de</w:t>
      </w:r>
      <w:r w:rsidR="00D25506" w:rsidRPr="005F534F">
        <w:t xml:space="preserve"> la disponibilidad de fondos aportados por donantes y recibidos por la UIT)</w:t>
      </w:r>
      <w:r w:rsidRPr="005F534F">
        <w:t xml:space="preserve"> interesados en asistir a la próxima reunión del </w:t>
      </w:r>
      <w:r w:rsidRPr="005F534F">
        <w:rPr>
          <w:spacing w:val="-2"/>
        </w:rPr>
        <w:t>FG-AI4NDM</w:t>
      </w:r>
      <w:r w:rsidRPr="005F534F">
        <w:t xml:space="preserve">. El plazo de solicitud de subsidios de viaje expira el 22 de febrero de 2024. En la </w:t>
      </w:r>
      <w:hyperlink r:id="rId22" w:anchor="/es" w:history="1">
        <w:r w:rsidRPr="005F534F">
          <w:rPr>
            <w:rStyle w:val="Hyperlink"/>
          </w:rPr>
          <w:t>página principal del FG-AI4NDM</w:t>
        </w:r>
      </w:hyperlink>
      <w:r w:rsidRPr="005F534F">
        <w:t xml:space="preserve"> se facilitará más información sobre cómo presentar la correspondiente solicitud.</w:t>
      </w:r>
    </w:p>
    <w:p w14:paraId="44F9570A" w14:textId="06974328" w:rsidR="006E70FE" w:rsidRPr="005F534F" w:rsidRDefault="006E70FE" w:rsidP="00D463E2">
      <w:r w:rsidRPr="005F534F">
        <w:t xml:space="preserve">Se invita a los participantes a inscribirse en línea a través de la </w:t>
      </w:r>
      <w:hyperlink r:id="rId23" w:anchor="/es" w:history="1">
        <w:r w:rsidRPr="005F534F">
          <w:rPr>
            <w:rStyle w:val="Hyperlink"/>
          </w:rPr>
          <w:t>página principal del FG</w:t>
        </w:r>
        <w:r w:rsidRPr="005F534F">
          <w:rPr>
            <w:rStyle w:val="Hyperlink"/>
          </w:rPr>
          <w:noBreakHyphen/>
          <w:t>AI4NDM</w:t>
        </w:r>
      </w:hyperlink>
      <w:r w:rsidRPr="005F534F">
        <w:t xml:space="preserve"> </w:t>
      </w:r>
      <w:r w:rsidR="00D25506">
        <w:t>a la mayor brevedad</w:t>
      </w:r>
      <w:r w:rsidRPr="005F534F">
        <w:t xml:space="preserve">. </w:t>
      </w:r>
      <w:r w:rsidRPr="005F534F">
        <w:rPr>
          <w:u w:val="single"/>
        </w:rPr>
        <w:t>Obsérvese que, para participar en la reunión, es obligatorio inscribirse</w:t>
      </w:r>
      <w:r w:rsidRPr="005F534F">
        <w:t>.</w:t>
      </w:r>
    </w:p>
    <w:p w14:paraId="2BBC52AF" w14:textId="6D73A35C" w:rsidR="006E70FE" w:rsidRPr="00D463E2" w:rsidRDefault="006E70FE" w:rsidP="00D463E2">
      <w:pPr>
        <w:pStyle w:val="Headingb0"/>
        <w:rPr>
          <w:u w:val="single"/>
        </w:rPr>
      </w:pPr>
      <w:r w:rsidRPr="00D463E2">
        <w:rPr>
          <w:u w:val="single"/>
        </w:rPr>
        <w:t>Preinscripción</w:t>
      </w:r>
    </w:p>
    <w:p w14:paraId="084EED99" w14:textId="10F9F479" w:rsidR="006E70FE" w:rsidRPr="005F534F" w:rsidRDefault="006E70FE" w:rsidP="006E70FE">
      <w:r w:rsidRPr="005F534F">
        <w:t xml:space="preserve">A fin de que el anfitrión pueda adoptar las disposiciones logísticas necesarias, se insta a los participantes a realizar cuanto antes la </w:t>
      </w:r>
      <w:r w:rsidRPr="005F534F">
        <w:rPr>
          <w:b/>
          <w:bCs/>
        </w:rPr>
        <w:t>preinscripción en línea</w:t>
      </w:r>
      <w:r w:rsidRPr="005F534F">
        <w:t xml:space="preserve"> a través de la </w:t>
      </w:r>
      <w:hyperlink r:id="rId24" w:anchor="/es" w:history="1">
        <w:r w:rsidRPr="005F534F">
          <w:rPr>
            <w:rStyle w:val="Hyperlink"/>
          </w:rPr>
          <w:t>página principal del FG-AI4NDM</w:t>
        </w:r>
      </w:hyperlink>
      <w:r w:rsidRPr="005F534F">
        <w:t xml:space="preserve">, y a más tardar el </w:t>
      </w:r>
      <w:r w:rsidRPr="005F534F">
        <w:rPr>
          <w:b/>
          <w:bCs/>
        </w:rPr>
        <w:t>28 de febrero de 2024</w:t>
      </w:r>
      <w:r w:rsidRPr="005F534F">
        <w:t>. El número de plazas es limitado y las inscripciones se tramitarán por orden de llegada. La inscripción es obligatoria tanto para participar a distancia como para asistir al evento en persona. Le rogamos tenga en cuenta que la preinscripción de los participantes en estos eventos se lleva a cabo exclusivamente en línea.</w:t>
      </w:r>
    </w:p>
    <w:p w14:paraId="62499039" w14:textId="1B28155F" w:rsidR="005F534F" w:rsidRPr="005F534F" w:rsidRDefault="005F534F" w:rsidP="008B4819">
      <w:pPr>
        <w:pStyle w:val="Headingb0"/>
        <w:rPr>
          <w:b w:val="0"/>
          <w:bCs/>
          <w:u w:val="single"/>
        </w:rPr>
      </w:pPr>
      <w:r w:rsidRPr="005F534F">
        <w:rPr>
          <w:bCs/>
          <w:u w:val="single"/>
        </w:rPr>
        <w:t>Visados</w:t>
      </w:r>
    </w:p>
    <w:p w14:paraId="6BC89362" w14:textId="10E6E777" w:rsidR="005F534F" w:rsidRPr="005F534F" w:rsidRDefault="005F534F" w:rsidP="005F534F">
      <w:pPr>
        <w:rPr>
          <w:rFonts w:cstheme="minorHAnsi"/>
          <w:sz w:val="22"/>
          <w:szCs w:val="22"/>
        </w:rPr>
      </w:pPr>
      <w:r w:rsidRPr="008B4819">
        <w:t>Le recordamos que los ciudadanos de algunos países necesitan un visado para poder entrar y efectuar una estadía en los Estados Unidos. En su caso, los visados deben solicitarse antes de la fecha de llegada en la embajada o el consulado que represente a los Estados Unidos en su país o, en su defecto, en la oficina más próxima a su país de partida.</w:t>
      </w:r>
      <w:r w:rsidRPr="005F534F">
        <w:t xml:space="preserve"> </w:t>
      </w:r>
      <w:r w:rsidRPr="008B4819">
        <w:t>Habida cuenta de que los plazos aplicables pueden variar, se recomienda consultar directamente a la representación adecuada y presentar la solicitud con antelación.</w:t>
      </w:r>
    </w:p>
    <w:p w14:paraId="054A7B21" w14:textId="009CB84C" w:rsidR="005F534F" w:rsidRPr="005F534F" w:rsidRDefault="005F534F" w:rsidP="005F534F">
      <w:r w:rsidRPr="005F534F">
        <w:t xml:space="preserve">La </w:t>
      </w:r>
      <w:hyperlink r:id="rId25" w:anchor="/es" w:history="1">
        <w:r w:rsidRPr="005F534F">
          <w:rPr>
            <w:rStyle w:val="Hyperlink"/>
          </w:rPr>
          <w:t>página principal del FG</w:t>
        </w:r>
        <w:r w:rsidRPr="005F534F">
          <w:rPr>
            <w:rStyle w:val="Hyperlink"/>
          </w:rPr>
          <w:noBreakHyphen/>
          <w:t>AI4NDM</w:t>
        </w:r>
      </w:hyperlink>
      <w:r w:rsidRPr="005F534F">
        <w:t xml:space="preserve"> se irá actualizando a medida que se disponga de información nueva o adicional. Se invita a los participantes a comprobar periódicamente si hay nuevas actualizaciones. </w:t>
      </w:r>
    </w:p>
    <w:p w14:paraId="0E711E1B" w14:textId="77777777" w:rsidR="005F534F" w:rsidRPr="005F534F" w:rsidRDefault="005F534F">
      <w:pPr>
        <w:tabs>
          <w:tab w:val="clear" w:pos="794"/>
          <w:tab w:val="clear" w:pos="1191"/>
          <w:tab w:val="clear" w:pos="1588"/>
          <w:tab w:val="clear" w:pos="1985"/>
        </w:tabs>
        <w:overflowPunct/>
        <w:autoSpaceDE/>
        <w:autoSpaceDN/>
        <w:adjustRightInd/>
        <w:spacing w:before="0"/>
        <w:textAlignment w:val="auto"/>
      </w:pPr>
      <w:r w:rsidRPr="005F534F">
        <w:br w:type="page"/>
      </w:r>
    </w:p>
    <w:p w14:paraId="54463112" w14:textId="26D4EB2A" w:rsidR="00660D9A" w:rsidRPr="005F534F" w:rsidRDefault="005F534F" w:rsidP="008208A1">
      <w:pPr>
        <w:pStyle w:val="AnnexNotitle"/>
      </w:pPr>
      <w:bookmarkStart w:id="51" w:name="lt_pId115"/>
      <w:r w:rsidRPr="008208A1">
        <w:lastRenderedPageBreak/>
        <w:t>Anexo 2</w:t>
      </w:r>
      <w:bookmarkEnd w:id="51"/>
      <w:r w:rsidR="00EA7522">
        <w:t>:</w:t>
      </w:r>
      <w:r w:rsidR="00EA7522">
        <w:tab/>
      </w:r>
      <w:r w:rsidRPr="008208A1">
        <w:t>Antecedentes</w:t>
      </w:r>
    </w:p>
    <w:p w14:paraId="23D5684A" w14:textId="5ECFAA2D" w:rsidR="00660D9A" w:rsidRPr="005F534F" w:rsidRDefault="00660D9A" w:rsidP="008208A1">
      <w:pPr>
        <w:pStyle w:val="Normalaftertitle"/>
      </w:pPr>
      <w:bookmarkStart w:id="52" w:name="lt_pId052"/>
      <w:r w:rsidRPr="005F534F">
        <w:t xml:space="preserve">El </w:t>
      </w:r>
      <w:hyperlink r:id="rId26" w:anchor="/es" w:history="1">
        <w:r w:rsidRPr="005F534F">
          <w:rPr>
            <w:rStyle w:val="Hyperlink"/>
          </w:rPr>
          <w:t>Grupo Temático UIT/OMM/PNUMA sobre inteligencia artificial para la gestión de catástrofes naturales (FG-AI4NDM)</w:t>
        </w:r>
      </w:hyperlink>
      <w:r w:rsidRPr="005F534F">
        <w:t xml:space="preserve"> estudia la viabilidad del aprovechamiento de la IA para la gestión de catástrofes naturales. E</w:t>
      </w:r>
      <w:r w:rsidR="00462DD3" w:rsidRPr="005F534F">
        <w:t>l FG-AI4NDM</w:t>
      </w:r>
      <w:r w:rsidRPr="005F534F">
        <w:t xml:space="preserve"> está contribuyendo a sentar las bases necesarias para la elaboración de prácticas idóneas en lo que respecta a la utilización de la IA para detectar y anticipar catástrofes naturales y proporcionar comunicaciones eficaces durante el advenimiento de las catástrofes.</w:t>
      </w:r>
      <w:bookmarkStart w:id="53" w:name="lt_pId053"/>
      <w:bookmarkEnd w:id="52"/>
      <w:bookmarkEnd w:id="53"/>
    </w:p>
    <w:p w14:paraId="4D0EB62C" w14:textId="5033E457" w:rsidR="00660D9A" w:rsidRPr="005F534F" w:rsidRDefault="00660D9A" w:rsidP="00660D9A">
      <w:bookmarkStart w:id="54" w:name="lt_pId054"/>
      <w:r w:rsidRPr="005F534F">
        <w:t>Creado por la Comisión de Estudio 2 del UIT-T en su reunión del 18 de diciembre de 2020, el FG</w:t>
      </w:r>
      <w:r w:rsidRPr="005F534F">
        <w:noBreakHyphen/>
        <w:t>AI4NDM está presidido por la Sra. Monique Kuglitsch (Fraunhofer HHI), con el apoyo de la Sra. Elena Xoplaki (Universidad Justus Liebig de Giessen), el Sr. Jürg Luterbacher (Organización Meteorológica Mundial), el Sr. Muralee Thummarukudy (Convención de las Naciones Unidas de Lucha contra la Desertificación), la Sra. Rakiya Abdullahi Babamaaji (Agencia Nacional de Investigación y Desarrollo Espacial, Gobierno de Nigeria), el Sr. Srinivas Chaganti (Bharat Sanchar Nigam, Gobierno de India) y la Sra. Yan Chuan Wang (China Telecommunications Corporation)</w:t>
      </w:r>
      <w:r w:rsidR="001022F4" w:rsidRPr="001022F4">
        <w:t>, en calidad de Vicepresidentes.</w:t>
      </w:r>
      <w:bookmarkEnd w:id="54"/>
    </w:p>
    <w:p w14:paraId="486FA747" w14:textId="77777777" w:rsidR="00660D9A" w:rsidRPr="005F534F" w:rsidRDefault="00660D9A" w:rsidP="00660D9A">
      <w:pPr>
        <w:keepNext/>
        <w:keepLines/>
      </w:pPr>
      <w:bookmarkStart w:id="55" w:name="lt_pId055"/>
      <w:r w:rsidRPr="005F534F">
        <w:t>La estructura del FG-AI4NDM es la siguiente:</w:t>
      </w:r>
      <w:bookmarkEnd w:id="55"/>
    </w:p>
    <w:p w14:paraId="7E711AD7" w14:textId="77777777" w:rsidR="00660D9A" w:rsidRPr="005F534F" w:rsidRDefault="00660D9A" w:rsidP="00660D9A">
      <w:pPr>
        <w:pStyle w:val="enumlev1"/>
        <w:keepNext/>
        <w:keepLines/>
        <w:rPr>
          <w:b/>
          <w:bCs/>
        </w:rPr>
      </w:pPr>
      <w:bookmarkStart w:id="56" w:name="lt_pId056"/>
      <w:r w:rsidRPr="005F534F">
        <w:rPr>
          <w:b/>
          <w:bCs/>
        </w:rPr>
        <w:t>a)</w:t>
      </w:r>
      <w:r w:rsidRPr="005F534F">
        <w:rPr>
          <w:b/>
          <w:bCs/>
        </w:rPr>
        <w:tab/>
        <w:t>Grupo de Trabajo sobre datos para la IA (GT-Datos)</w:t>
      </w:r>
      <w:bookmarkEnd w:id="56"/>
    </w:p>
    <w:p w14:paraId="541FB852" w14:textId="77777777" w:rsidR="00660D9A" w:rsidRPr="005F534F" w:rsidRDefault="00660D9A" w:rsidP="00660D9A">
      <w:pPr>
        <w:pStyle w:val="enumlev2"/>
      </w:pPr>
      <w:bookmarkStart w:id="57" w:name="lt_pId057"/>
      <w:r w:rsidRPr="005F534F">
        <w:t>–</w:t>
      </w:r>
      <w:r w:rsidRPr="005F534F">
        <w:tab/>
      </w:r>
      <w:r w:rsidRPr="005F534F">
        <w:rPr>
          <w:b/>
          <w:bCs/>
          <w:i/>
          <w:iCs/>
        </w:rPr>
        <w:t>Presidente(s)</w:t>
      </w:r>
      <w:r w:rsidRPr="005F534F">
        <w:t>: Sra. Allison Craddock (Jet Propulsion Laboratory – NASA) y Sr. Rustem Arif Albayrak (Sede de la NASA)</w:t>
      </w:r>
      <w:bookmarkEnd w:id="57"/>
    </w:p>
    <w:p w14:paraId="5FEEF256" w14:textId="77777777" w:rsidR="00660D9A" w:rsidRPr="005F534F" w:rsidRDefault="00660D9A" w:rsidP="00660D9A">
      <w:pPr>
        <w:pStyle w:val="enumlev1"/>
        <w:rPr>
          <w:b/>
          <w:bCs/>
        </w:rPr>
      </w:pPr>
      <w:bookmarkStart w:id="58" w:name="lt_pId058"/>
      <w:r w:rsidRPr="005F534F">
        <w:rPr>
          <w:b/>
          <w:bCs/>
        </w:rPr>
        <w:t>b)</w:t>
      </w:r>
      <w:r w:rsidRPr="005F534F">
        <w:rPr>
          <w:b/>
          <w:bCs/>
        </w:rPr>
        <w:tab/>
        <w:t>Grupo de Trabajo sobre IA para la modelización (GT-Modelización)</w:t>
      </w:r>
      <w:bookmarkEnd w:id="58"/>
    </w:p>
    <w:p w14:paraId="6CD3B132" w14:textId="733618BA" w:rsidR="00660D9A" w:rsidRPr="005F534F" w:rsidRDefault="00660D9A" w:rsidP="00660D9A">
      <w:pPr>
        <w:pStyle w:val="enumlev2"/>
      </w:pPr>
      <w:bookmarkStart w:id="59" w:name="lt_pId059"/>
      <w:r w:rsidRPr="005F534F">
        <w:t>–</w:t>
      </w:r>
      <w:r w:rsidRPr="005F534F">
        <w:tab/>
      </w:r>
      <w:r w:rsidRPr="005F534F">
        <w:rPr>
          <w:b/>
          <w:bCs/>
          <w:i/>
          <w:iCs/>
        </w:rPr>
        <w:t>Presidente(s)</w:t>
      </w:r>
      <w:r w:rsidRPr="005F534F">
        <w:t>: Sr. Jackie Ma (Fraunhofer HHI) y Sr. Andrea Toreti (Centro Común de Investigación –</w:t>
      </w:r>
      <w:r w:rsidR="0073531B" w:rsidRPr="005F534F">
        <w:t> </w:t>
      </w:r>
      <w:r w:rsidRPr="005F534F">
        <w:t>Comisión Europea)</w:t>
      </w:r>
      <w:bookmarkEnd w:id="59"/>
    </w:p>
    <w:p w14:paraId="1041B0D8" w14:textId="77777777" w:rsidR="00660D9A" w:rsidRPr="005F534F" w:rsidRDefault="00660D9A" w:rsidP="00660D9A">
      <w:pPr>
        <w:pStyle w:val="enumlev1"/>
        <w:rPr>
          <w:b/>
          <w:bCs/>
        </w:rPr>
      </w:pPr>
      <w:bookmarkStart w:id="60" w:name="lt_pId060"/>
      <w:r w:rsidRPr="005F534F">
        <w:rPr>
          <w:b/>
          <w:bCs/>
        </w:rPr>
        <w:t>c)</w:t>
      </w:r>
      <w:r w:rsidRPr="005F534F">
        <w:rPr>
          <w:b/>
          <w:bCs/>
        </w:rPr>
        <w:tab/>
        <w:t>Grupo de Trabajo sobre IA para las comunicaciones (GT-Comunicaciones)</w:t>
      </w:r>
      <w:bookmarkEnd w:id="60"/>
    </w:p>
    <w:p w14:paraId="432A14AD" w14:textId="77777777" w:rsidR="00660D9A" w:rsidRPr="00314B1F" w:rsidRDefault="00660D9A" w:rsidP="0073531B">
      <w:pPr>
        <w:pStyle w:val="enumlev2"/>
        <w:rPr>
          <w:lang w:val="en-GB"/>
        </w:rPr>
      </w:pPr>
      <w:bookmarkStart w:id="61" w:name="lt_pId061"/>
      <w:r w:rsidRPr="00314B1F">
        <w:rPr>
          <w:lang w:val="en-GB"/>
        </w:rPr>
        <w:t>–</w:t>
      </w:r>
      <w:r w:rsidRPr="00314B1F">
        <w:rPr>
          <w:lang w:val="en-GB"/>
        </w:rPr>
        <w:tab/>
      </w:r>
      <w:r w:rsidRPr="00314B1F">
        <w:rPr>
          <w:b/>
          <w:bCs/>
          <w:i/>
          <w:iCs/>
          <w:lang w:val="en-GB"/>
        </w:rPr>
        <w:t>Presidente(s)</w:t>
      </w:r>
      <w:r w:rsidRPr="00314B1F">
        <w:rPr>
          <w:lang w:val="en-GB"/>
        </w:rPr>
        <w:t>: Sra. Ivanka Pelivan (Fraunhofer HHI) y Sr. Thomas Ward (IBM)</w:t>
      </w:r>
      <w:bookmarkEnd w:id="61"/>
    </w:p>
    <w:p w14:paraId="40681241" w14:textId="77777777" w:rsidR="00660D9A" w:rsidRPr="005F534F" w:rsidRDefault="00660D9A" w:rsidP="00660D9A">
      <w:pPr>
        <w:pStyle w:val="enumlev1"/>
        <w:rPr>
          <w:b/>
          <w:bCs/>
        </w:rPr>
      </w:pPr>
      <w:bookmarkStart w:id="62" w:name="lt_pId062"/>
      <w:r w:rsidRPr="005F534F">
        <w:rPr>
          <w:b/>
          <w:bCs/>
        </w:rPr>
        <w:t>d)</w:t>
      </w:r>
      <w:r w:rsidRPr="005F534F">
        <w:rPr>
          <w:b/>
          <w:bCs/>
        </w:rPr>
        <w:tab/>
        <w:t>Grupo de Trabajo para la cartografía de actividades de IA en la gestión de catástrofes naturales (GT-Hoja de ruta)</w:t>
      </w:r>
      <w:bookmarkEnd w:id="62"/>
    </w:p>
    <w:p w14:paraId="7391268B" w14:textId="6C5D95D6" w:rsidR="00660D9A" w:rsidRPr="00314B1F" w:rsidRDefault="00660D9A" w:rsidP="00660D9A">
      <w:pPr>
        <w:pStyle w:val="enumlev2"/>
        <w:rPr>
          <w:lang w:val="en-GB"/>
        </w:rPr>
      </w:pPr>
      <w:bookmarkStart w:id="63" w:name="lt_pId063"/>
      <w:r w:rsidRPr="00314B1F">
        <w:rPr>
          <w:lang w:val="en-GB"/>
        </w:rPr>
        <w:t>–</w:t>
      </w:r>
      <w:r w:rsidRPr="00314B1F">
        <w:rPr>
          <w:lang w:val="en-GB"/>
        </w:rPr>
        <w:tab/>
      </w:r>
      <w:r w:rsidRPr="00314B1F">
        <w:rPr>
          <w:b/>
          <w:bCs/>
          <w:i/>
          <w:iCs/>
          <w:lang w:val="en-GB"/>
        </w:rPr>
        <w:t>Presidente(s)</w:t>
      </w:r>
      <w:r w:rsidRPr="00314B1F">
        <w:rPr>
          <w:lang w:val="en-GB"/>
        </w:rPr>
        <w:t>: Sr. David Oehmen (CMNUCC)</w:t>
      </w:r>
      <w:bookmarkEnd w:id="63"/>
    </w:p>
    <w:p w14:paraId="2280A805" w14:textId="17BDE5C3" w:rsidR="00660D9A" w:rsidRPr="005F534F" w:rsidRDefault="00660D9A" w:rsidP="00660D9A">
      <w:pPr>
        <w:pStyle w:val="enumlev1"/>
      </w:pPr>
      <w:bookmarkStart w:id="64" w:name="lt_pId064"/>
      <w:r w:rsidRPr="005F534F">
        <w:rPr>
          <w:b/>
          <w:bCs/>
        </w:rPr>
        <w:t>e)</w:t>
      </w:r>
      <w:r w:rsidRPr="005F534F">
        <w:rPr>
          <w:b/>
          <w:bCs/>
        </w:rPr>
        <w:tab/>
        <w:t>Grupo de Trabajo sobre materiales didácticos (GT-</w:t>
      </w:r>
      <w:r w:rsidR="001022F4">
        <w:rPr>
          <w:b/>
          <w:bCs/>
        </w:rPr>
        <w:t>M</w:t>
      </w:r>
      <w:r w:rsidR="001022F4" w:rsidRPr="005F534F">
        <w:rPr>
          <w:b/>
          <w:bCs/>
        </w:rPr>
        <w:t>ateriales didácticos</w:t>
      </w:r>
      <w:r w:rsidRPr="005F534F">
        <w:rPr>
          <w:b/>
          <w:bCs/>
        </w:rPr>
        <w:t>)</w:t>
      </w:r>
      <w:bookmarkEnd w:id="64"/>
    </w:p>
    <w:p w14:paraId="04997D4A" w14:textId="52C05360" w:rsidR="00462DD3" w:rsidRPr="00653C06" w:rsidRDefault="00021D37" w:rsidP="00021D37">
      <w:pPr>
        <w:pStyle w:val="enumlev2"/>
        <w:rPr>
          <w:lang w:val="fr-CH"/>
        </w:rPr>
      </w:pPr>
      <w:r w:rsidRPr="00653C06">
        <w:rPr>
          <w:lang w:val="fr-CH"/>
        </w:rPr>
        <w:t>–</w:t>
      </w:r>
      <w:r w:rsidRPr="00653C06">
        <w:rPr>
          <w:lang w:val="fr-CH"/>
        </w:rPr>
        <w:tab/>
      </w:r>
      <w:r w:rsidR="00462DD3" w:rsidRPr="00653C06">
        <w:rPr>
          <w:b/>
          <w:bCs/>
          <w:i/>
          <w:iCs/>
          <w:lang w:val="fr-CH"/>
        </w:rPr>
        <w:t>Presidente(s):</w:t>
      </w:r>
      <w:r w:rsidR="00462DD3" w:rsidRPr="00653C06">
        <w:rPr>
          <w:b/>
          <w:bCs/>
          <w:lang w:val="fr-CH"/>
        </w:rPr>
        <w:t xml:space="preserve"> </w:t>
      </w:r>
      <w:r w:rsidR="00462DD3" w:rsidRPr="00653C06">
        <w:rPr>
          <w:lang w:val="fr-CH"/>
        </w:rPr>
        <w:t>Sr. Jon Cox (OMM)</w:t>
      </w:r>
    </w:p>
    <w:p w14:paraId="3CBA95AB" w14:textId="25E2F970" w:rsidR="00660D9A" w:rsidRPr="005F534F" w:rsidRDefault="00660D9A" w:rsidP="00660D9A">
      <w:bookmarkStart w:id="65" w:name="lt_pId065"/>
      <w:r w:rsidRPr="005F534F">
        <w:t xml:space="preserve">El primer taller virtual y la primera reunión del FG-AI4NDM se celebraron del 15 al 17 de marzo de 2021 y en ellos se definieron la estructura de trabajo del Grupo, la lista preliminar de productos finales, los métodos de trabajo relacionados y los planes para futuras reuniones. Además, se aprobaron las primeras propuestas de casos de uso y se establecieron los </w:t>
      </w:r>
      <w:r w:rsidR="00407606">
        <w:t>grupos temáticos</w:t>
      </w:r>
      <w:r w:rsidRPr="005F534F">
        <w:t xml:space="preserve"> asociados.</w:t>
      </w:r>
      <w:bookmarkStart w:id="66" w:name="lt_pId066"/>
      <w:bookmarkStart w:id="67" w:name="lt_pId067"/>
      <w:bookmarkEnd w:id="65"/>
      <w:bookmarkEnd w:id="66"/>
      <w:bookmarkEnd w:id="67"/>
    </w:p>
    <w:p w14:paraId="5D0C9065" w14:textId="6F2CFF0E" w:rsidR="00660D9A" w:rsidRPr="005F534F" w:rsidRDefault="00660D9A" w:rsidP="00660D9A">
      <w:bookmarkStart w:id="68" w:name="lt_pId068"/>
      <w:r w:rsidRPr="005F534F">
        <w:t>El segundo taller virtual y la segunda reunión del FG-AI4NDM se celebraron del 23 al 25 de junio de 2021, con el objetivo de impulsar</w:t>
      </w:r>
      <w:r w:rsidR="001022F4">
        <w:t xml:space="preserve"> la labor de</w:t>
      </w:r>
      <w:r w:rsidRPr="005F534F">
        <w:t xml:space="preserve"> los </w:t>
      </w:r>
      <w:r w:rsidR="00407606">
        <w:t>grupos temáticos</w:t>
      </w:r>
      <w:r w:rsidRPr="005F534F">
        <w:t xml:space="preserve"> y abordar nuevas propuestas de casos de uso.</w:t>
      </w:r>
      <w:bookmarkEnd w:id="68"/>
    </w:p>
    <w:p w14:paraId="460C5346" w14:textId="79F4DE77" w:rsidR="00660D9A" w:rsidRPr="005F534F" w:rsidRDefault="00660D9A" w:rsidP="00660D9A">
      <w:bookmarkStart w:id="69" w:name="lt_pId069"/>
      <w:r w:rsidRPr="005F534F">
        <w:t xml:space="preserve">El tercer taller virtual y la tercera reunión del FG-AI4NDM se </w:t>
      </w:r>
      <w:r w:rsidR="001022F4" w:rsidRPr="001022F4">
        <w:t xml:space="preserve">celebraron </w:t>
      </w:r>
      <w:r w:rsidRPr="005F534F">
        <w:t>del 30 de agosto al 2 de septiembre de 2021. Durante esa reunión, se discutieron y evaluaron propuestas de casos de uso adicionales y se presentó el texto base correspondiente a ciertos productos finales.</w:t>
      </w:r>
      <w:bookmarkStart w:id="70" w:name="lt_pId070"/>
      <w:bookmarkEnd w:id="69"/>
      <w:bookmarkEnd w:id="70"/>
    </w:p>
    <w:p w14:paraId="61E38370" w14:textId="24935E05" w:rsidR="00660D9A" w:rsidRPr="005F534F" w:rsidRDefault="00660D9A" w:rsidP="00660D9A">
      <w:bookmarkStart w:id="71" w:name="lt_pId071"/>
      <w:r w:rsidRPr="005F534F">
        <w:t>La cuarta reunión virtual del FG-AI4NDM se organizó el 20 de octubre de 2021. La reunión estuvo dedicada al avance de los proyectos de productos finales de los distintos Grupos de Trabajo sobre la base de las contribuciones recibidas</w:t>
      </w:r>
      <w:r w:rsidR="001022F4">
        <w:t xml:space="preserve"> por escrito</w:t>
      </w:r>
      <w:r w:rsidRPr="005F534F">
        <w:t>.</w:t>
      </w:r>
      <w:bookmarkEnd w:id="71"/>
    </w:p>
    <w:p w14:paraId="703645D0" w14:textId="6FA672C0" w:rsidR="00660D9A" w:rsidRPr="005F534F" w:rsidRDefault="00660D9A" w:rsidP="00660D9A">
      <w:bookmarkStart w:id="72" w:name="lt_pId072"/>
      <w:r w:rsidRPr="005F534F">
        <w:lastRenderedPageBreak/>
        <w:t xml:space="preserve">La quinta reunión virtual del FG-AI4NDM se celebró del 26 al 28 de enero de 2022. La reunión se centró en la revisión de nuevos casos de uso para su incorporación en los </w:t>
      </w:r>
      <w:r w:rsidR="00407606">
        <w:t>grupos temáticos</w:t>
      </w:r>
      <w:r w:rsidRPr="005F534F">
        <w:t xml:space="preserve"> existentes. El cuarto taller virtual sobre </w:t>
      </w:r>
      <w:r w:rsidR="0073531B" w:rsidRPr="005F534F">
        <w:t>i</w:t>
      </w:r>
      <w:r w:rsidRPr="005F534F">
        <w:t xml:space="preserve">nteligencia </w:t>
      </w:r>
      <w:r w:rsidR="0073531B" w:rsidRPr="005F534F">
        <w:t>a</w:t>
      </w:r>
      <w:r w:rsidRPr="005F534F">
        <w:t xml:space="preserve">rtificial para la </w:t>
      </w:r>
      <w:r w:rsidR="0073531B" w:rsidRPr="005F534F">
        <w:t>g</w:t>
      </w:r>
      <w:r w:rsidRPr="005F534F">
        <w:t xml:space="preserve">estión de </w:t>
      </w:r>
      <w:r w:rsidR="0073531B" w:rsidRPr="005F534F">
        <w:t>c</w:t>
      </w:r>
      <w:r w:rsidRPr="005F534F">
        <w:t xml:space="preserve">atástrofes </w:t>
      </w:r>
      <w:r w:rsidR="0073531B" w:rsidRPr="005F534F">
        <w:t>n</w:t>
      </w:r>
      <w:r w:rsidRPr="005F534F">
        <w:t>aturales se organizó al amparo de la Cumbre AI for Good el 16 de marzo de 2022.</w:t>
      </w:r>
      <w:bookmarkStart w:id="73" w:name="lt_pId073"/>
      <w:bookmarkStart w:id="74" w:name="lt_pId074"/>
      <w:bookmarkEnd w:id="72"/>
      <w:bookmarkEnd w:id="73"/>
      <w:bookmarkEnd w:id="74"/>
    </w:p>
    <w:p w14:paraId="6D212C81" w14:textId="1A3284E6" w:rsidR="00660D9A" w:rsidRPr="005F534F" w:rsidRDefault="00660D9A" w:rsidP="00660D9A">
      <w:bookmarkStart w:id="75" w:name="lt_pId075"/>
      <w:r w:rsidRPr="005F534F">
        <w:t xml:space="preserve">La sexta reunión virtual del FG-AI4NDM se celebró del 7 al 9 de junio de 2022. Esta reunión estuvo dedicada a finalizar la hoja de ruta y el glosario, </w:t>
      </w:r>
      <w:r w:rsidR="00407606">
        <w:t>revisar</w:t>
      </w:r>
      <w:r w:rsidRPr="005F534F">
        <w:t xml:space="preserve"> las nuevas propuestas de casos de uso y lograr avances con respecto a los productos finales de los distintos Grupos de Trabajo.</w:t>
      </w:r>
      <w:bookmarkStart w:id="76" w:name="lt_pId076"/>
      <w:bookmarkEnd w:id="75"/>
      <w:bookmarkEnd w:id="76"/>
    </w:p>
    <w:p w14:paraId="2CB53917" w14:textId="77777777" w:rsidR="00660D9A" w:rsidRPr="005F534F" w:rsidRDefault="00660D9A" w:rsidP="00660D9A">
      <w:r w:rsidRPr="005F534F">
        <w:t>La séptima reunión del FG-AI4NDM y el taller correspondiente se celebraron del 24 al 26 de octubre de 2022 en Atenas (Grecia). La reunión se centró en el avance de los productos existentes y en la finalización del glosario.</w:t>
      </w:r>
    </w:p>
    <w:p w14:paraId="3F5BF44F" w14:textId="77777777" w:rsidR="00660D9A" w:rsidRPr="005F534F" w:rsidRDefault="00660D9A" w:rsidP="00660D9A">
      <w:r w:rsidRPr="005F534F">
        <w:t>La octava reunión del FG-AI4NDM y el taller correspondiente se celebraron de forma virtual el 19 de diciembre de 2022. La reunión se centró en la continuación de la labor relativa a los productos finales existentes y en la conclusión de la hoja de ruta.</w:t>
      </w:r>
    </w:p>
    <w:p w14:paraId="45B84314" w14:textId="0B0D4489" w:rsidR="00660D9A" w:rsidRPr="005F534F" w:rsidRDefault="00660D9A" w:rsidP="00660D9A">
      <w:r w:rsidRPr="005F534F">
        <w:t xml:space="preserve">La novena reunión del FG-AI4NDM se celebró del 13 al 16 de febrero de 2023. La reunión se dedicó a finalizar el Informe </w:t>
      </w:r>
      <w:r w:rsidR="0073531B" w:rsidRPr="005F534F">
        <w:t>t</w:t>
      </w:r>
      <w:r w:rsidRPr="005F534F">
        <w:t xml:space="preserve">écnico sobre </w:t>
      </w:r>
      <w:r w:rsidR="0073531B" w:rsidRPr="005F534F">
        <w:t>"</w:t>
      </w:r>
      <w:r w:rsidRPr="005F534F">
        <w:t>IA para las comunicaciones: Hacia la gestión de las catástrofes naturales</w:t>
      </w:r>
      <w:r w:rsidR="0073531B" w:rsidRPr="005F534F">
        <w:t>"</w:t>
      </w:r>
      <w:r w:rsidRPr="005F534F">
        <w:t>.</w:t>
      </w:r>
    </w:p>
    <w:p w14:paraId="7233E921" w14:textId="77777777" w:rsidR="00407606" w:rsidRDefault="00462DD3" w:rsidP="00660D9A">
      <w:r w:rsidRPr="005F534F">
        <w:t xml:space="preserve">La décima reunión del FG-AI4NDM se celebró el 27 de junio de 2023. La reunión se consagró </w:t>
      </w:r>
      <w:r w:rsidR="00021D37" w:rsidRPr="005F534F">
        <w:t>a adelantar l</w:t>
      </w:r>
      <w:r w:rsidR="00407606">
        <w:t>os</w:t>
      </w:r>
      <w:r w:rsidR="00021D37" w:rsidRPr="005F534F">
        <w:t xml:space="preserve"> Informe</w:t>
      </w:r>
      <w:r w:rsidR="00407606">
        <w:t>s</w:t>
      </w:r>
      <w:r w:rsidR="00021D37" w:rsidRPr="005F534F">
        <w:t xml:space="preserve"> Técnico</w:t>
      </w:r>
      <w:r w:rsidR="00407606">
        <w:t>s</w:t>
      </w:r>
      <w:r w:rsidR="00407606" w:rsidRPr="00407606">
        <w:t xml:space="preserve"> sobre IA para la modelización </w:t>
      </w:r>
      <w:r w:rsidR="00407606">
        <w:t>e</w:t>
      </w:r>
      <w:r w:rsidR="00407606" w:rsidRPr="00407606">
        <w:t xml:space="preserve"> IA para los datos.</w:t>
      </w:r>
    </w:p>
    <w:p w14:paraId="4FD1131C" w14:textId="766214C6" w:rsidR="00462DD3" w:rsidRPr="005F534F" w:rsidRDefault="00407606" w:rsidP="00660D9A">
      <w:r w:rsidRPr="00407606">
        <w:t>La undécima reunión del FG-AI4NDM se celebró el 22 de noviembre de 2023. La reunión se dedicó a finalizar el Informe Técnico IA para los datos.</w:t>
      </w:r>
      <w:r w:rsidR="00462DD3" w:rsidRPr="005F534F">
        <w:t xml:space="preserve"> </w:t>
      </w:r>
    </w:p>
    <w:p w14:paraId="48F241F0" w14:textId="6C6831A6" w:rsidR="00660D9A" w:rsidRPr="005F534F" w:rsidRDefault="00660D9A" w:rsidP="00660D9A">
      <w:bookmarkStart w:id="77" w:name="lt_pId077"/>
      <w:r w:rsidRPr="005F534F">
        <w:t xml:space="preserve">En la actualidad, el FG-AI4NDM alberga once </w:t>
      </w:r>
      <w:r w:rsidR="00407606">
        <w:t>grupos temáticos</w:t>
      </w:r>
      <w:r w:rsidRPr="005F534F">
        <w:t>:</w:t>
      </w:r>
      <w:bookmarkEnd w:id="77"/>
    </w:p>
    <w:p w14:paraId="10D86EB4" w14:textId="18EAFCAD" w:rsidR="00660D9A" w:rsidRPr="005F534F" w:rsidRDefault="00660D9A" w:rsidP="00660D9A">
      <w:pPr>
        <w:pStyle w:val="enumlev1"/>
      </w:pPr>
      <w:bookmarkStart w:id="78" w:name="lt_pId078"/>
      <w:r w:rsidRPr="005F534F">
        <w:t>–</w:t>
      </w:r>
      <w:r w:rsidRPr="005F534F">
        <w:tab/>
        <w:t>IA para el seguimiento y la detección de inundaciones</w:t>
      </w:r>
      <w:bookmarkEnd w:id="78"/>
      <w:r w:rsidR="0073531B" w:rsidRPr="005F534F">
        <w:t>;</w:t>
      </w:r>
    </w:p>
    <w:p w14:paraId="5A1BB30D" w14:textId="43D4E4AE" w:rsidR="00660D9A" w:rsidRPr="005F534F" w:rsidRDefault="00660D9A" w:rsidP="00660D9A">
      <w:pPr>
        <w:pStyle w:val="enumlev1"/>
      </w:pPr>
      <w:bookmarkStart w:id="79" w:name="lt_pId079"/>
      <w:r w:rsidRPr="005F534F">
        <w:t>–</w:t>
      </w:r>
      <w:r w:rsidRPr="005F534F">
        <w:tab/>
        <w:t>IA para la mejora geodésica del seguimiento y la detección de maremotos</w:t>
      </w:r>
      <w:bookmarkEnd w:id="79"/>
      <w:r w:rsidR="0073531B" w:rsidRPr="005F534F">
        <w:t>;</w:t>
      </w:r>
    </w:p>
    <w:p w14:paraId="73B0D462" w14:textId="48075679" w:rsidR="00660D9A" w:rsidRPr="005F534F" w:rsidRDefault="00660D9A" w:rsidP="00660D9A">
      <w:pPr>
        <w:pStyle w:val="enumlev1"/>
      </w:pPr>
      <w:bookmarkStart w:id="80" w:name="lt_pId080"/>
      <w:r w:rsidRPr="005F534F">
        <w:t>–</w:t>
      </w:r>
      <w:r w:rsidRPr="005F534F">
        <w:tab/>
        <w:t>IA para el seguimiento y la detección de plagas de insectos</w:t>
      </w:r>
      <w:bookmarkEnd w:id="80"/>
      <w:r w:rsidR="0073531B" w:rsidRPr="005F534F">
        <w:t>;</w:t>
      </w:r>
    </w:p>
    <w:p w14:paraId="61D0AB8F" w14:textId="33CC17CE" w:rsidR="00660D9A" w:rsidRPr="005F534F" w:rsidRDefault="00660D9A" w:rsidP="00660D9A">
      <w:pPr>
        <w:pStyle w:val="enumlev1"/>
      </w:pPr>
      <w:bookmarkStart w:id="81" w:name="lt_pId081"/>
      <w:r w:rsidRPr="005F534F">
        <w:t>–</w:t>
      </w:r>
      <w:r w:rsidRPr="005F534F">
        <w:tab/>
        <w:t>IA para el seguimiento y la detección de corrimientos de tierra</w:t>
      </w:r>
      <w:bookmarkEnd w:id="81"/>
      <w:r w:rsidR="0073531B" w:rsidRPr="005F534F">
        <w:t>;</w:t>
      </w:r>
    </w:p>
    <w:p w14:paraId="1D5285D0" w14:textId="763EA049" w:rsidR="00660D9A" w:rsidRPr="005F534F" w:rsidRDefault="00660D9A" w:rsidP="00660D9A">
      <w:pPr>
        <w:pStyle w:val="enumlev1"/>
      </w:pPr>
      <w:bookmarkStart w:id="82" w:name="lt_pId082"/>
      <w:r w:rsidRPr="005F534F">
        <w:t>–</w:t>
      </w:r>
      <w:r w:rsidRPr="005F534F">
        <w:tab/>
        <w:t>IA para el seguimiento y la detección de avalanchas de nieve</w:t>
      </w:r>
      <w:bookmarkEnd w:id="82"/>
      <w:r w:rsidR="0073531B" w:rsidRPr="005F534F">
        <w:t>;</w:t>
      </w:r>
    </w:p>
    <w:p w14:paraId="01E42F85" w14:textId="7510EC27" w:rsidR="00660D9A" w:rsidRPr="005F534F" w:rsidRDefault="00660D9A" w:rsidP="00660D9A">
      <w:pPr>
        <w:pStyle w:val="enumlev1"/>
      </w:pPr>
      <w:bookmarkStart w:id="83" w:name="lt_pId083"/>
      <w:r w:rsidRPr="005F534F">
        <w:t>–</w:t>
      </w:r>
      <w:r w:rsidRPr="005F534F">
        <w:tab/>
        <w:t>IA para el seguimiento y la detección de incendios forestales</w:t>
      </w:r>
      <w:bookmarkEnd w:id="83"/>
      <w:r w:rsidR="0073531B" w:rsidRPr="005F534F">
        <w:t>;</w:t>
      </w:r>
    </w:p>
    <w:p w14:paraId="29FFA236" w14:textId="3985F277" w:rsidR="00660D9A" w:rsidRPr="005F534F" w:rsidRDefault="00660D9A" w:rsidP="00660D9A">
      <w:pPr>
        <w:pStyle w:val="enumlev1"/>
      </w:pPr>
      <w:bookmarkStart w:id="84" w:name="lt_pId084"/>
      <w:r w:rsidRPr="005F534F">
        <w:t>–</w:t>
      </w:r>
      <w:r w:rsidRPr="005F534F">
        <w:tab/>
        <w:t>IA para la predicción de enfermedades transmitidas por vectores</w:t>
      </w:r>
      <w:bookmarkEnd w:id="84"/>
      <w:r w:rsidR="0073531B" w:rsidRPr="005F534F">
        <w:t>;</w:t>
      </w:r>
    </w:p>
    <w:p w14:paraId="4EFEC17E" w14:textId="1BE7DD09" w:rsidR="00660D9A" w:rsidRPr="005F534F" w:rsidRDefault="00660D9A" w:rsidP="00660D9A">
      <w:pPr>
        <w:pStyle w:val="enumlev1"/>
      </w:pPr>
      <w:bookmarkStart w:id="85" w:name="lt_pId085"/>
      <w:r w:rsidRPr="005F534F">
        <w:t>–</w:t>
      </w:r>
      <w:r w:rsidRPr="005F534F">
        <w:tab/>
        <w:t>IA para la previsión de erupciones volcánicas</w:t>
      </w:r>
      <w:bookmarkEnd w:id="85"/>
      <w:r w:rsidR="0073531B" w:rsidRPr="005F534F">
        <w:t>;</w:t>
      </w:r>
    </w:p>
    <w:p w14:paraId="1E51E162" w14:textId="038880CA" w:rsidR="00660D9A" w:rsidRPr="005F534F" w:rsidRDefault="00660D9A" w:rsidP="00660D9A">
      <w:pPr>
        <w:pStyle w:val="enumlev1"/>
      </w:pPr>
      <w:bookmarkStart w:id="86" w:name="lt_pId086"/>
      <w:r w:rsidRPr="005F534F">
        <w:t>–</w:t>
      </w:r>
      <w:r w:rsidRPr="005F534F">
        <w:tab/>
        <w:t>IA para la elaboración de mapas de riesgo de granizo y tormentas de viento</w:t>
      </w:r>
      <w:bookmarkEnd w:id="86"/>
      <w:r w:rsidR="0073531B" w:rsidRPr="005F534F">
        <w:t>;</w:t>
      </w:r>
    </w:p>
    <w:p w14:paraId="46402193" w14:textId="77777777" w:rsidR="00660D9A" w:rsidRPr="005F534F" w:rsidRDefault="00660D9A" w:rsidP="00660D9A">
      <w:pPr>
        <w:pStyle w:val="enumlev1"/>
      </w:pPr>
      <w:bookmarkStart w:id="87" w:name="lt_pId087"/>
      <w:r w:rsidRPr="005F534F">
        <w:t>–</w:t>
      </w:r>
      <w:r w:rsidRPr="005F534F">
        <w:tab/>
        <w:t>IA para tecnologías de comunicaciones multirriesgo.</w:t>
      </w:r>
      <w:bookmarkEnd w:id="87"/>
    </w:p>
    <w:p w14:paraId="2554EE5A" w14:textId="4BF272F8" w:rsidR="00660D9A" w:rsidRPr="005F534F" w:rsidRDefault="00660D9A" w:rsidP="00660D9A">
      <w:bookmarkStart w:id="88" w:name="lt_pId088"/>
      <w:r w:rsidRPr="005F534F">
        <w:t>El FG-AI4NDM se articula en torno a dos ejes de trabajo: "Herramientas de apoyo a la IA para la gestión de catástrofes naturales" y "Glosario".</w:t>
      </w:r>
      <w:bookmarkEnd w:id="88"/>
    </w:p>
    <w:p w14:paraId="5E856D82" w14:textId="77777777" w:rsidR="00935CBF" w:rsidRPr="00653C06" w:rsidRDefault="00935CBF" w:rsidP="00411C49">
      <w:pPr>
        <w:pStyle w:val="Reasons"/>
        <w:rPr>
          <w:lang w:val="fr-CH"/>
        </w:rPr>
      </w:pPr>
    </w:p>
    <w:p w14:paraId="3FC70285" w14:textId="77777777" w:rsidR="00935CBF" w:rsidRDefault="00935CBF">
      <w:pPr>
        <w:jc w:val="center"/>
      </w:pPr>
      <w:r>
        <w:t>______________</w:t>
      </w:r>
    </w:p>
    <w:sectPr w:rsidR="00935CBF" w:rsidSect="00B87E9E">
      <w:headerReference w:type="default" r:id="rId27"/>
      <w:footerReference w:type="first" r:id="rId28"/>
      <w:pgSz w:w="11907" w:h="16840" w:code="9"/>
      <w:pgMar w:top="1134" w:right="1134" w:bottom="1134" w:left="1134" w:header="567" w:footer="567" w:gutter="0"/>
      <w:paperSrc w:first="261" w:other="26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BD2BB9" w14:textId="77777777" w:rsidR="000463FE" w:rsidRDefault="000463FE">
      <w:r>
        <w:separator/>
      </w:r>
    </w:p>
  </w:endnote>
  <w:endnote w:type="continuationSeparator" w:id="0">
    <w:p w14:paraId="3770CD35" w14:textId="77777777" w:rsidR="000463FE" w:rsidRDefault="00046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Futura Lt BT">
    <w:altName w:val="Century Gothic"/>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B8A9F" w14:textId="5BD61F65" w:rsidR="0014464D" w:rsidRPr="00D834E7" w:rsidRDefault="0014464D" w:rsidP="00FC416A">
    <w:pPr>
      <w:pStyle w:val="FirstFooter"/>
      <w:ind w:left="-397" w:right="-397"/>
      <w:jc w:val="center"/>
      <w:rPr>
        <w:color w:val="0070C0"/>
        <w:szCs w:val="18"/>
        <w:lang w:val="es-ES"/>
      </w:rPr>
    </w:pPr>
    <w:r w:rsidRPr="00D834E7">
      <w:rPr>
        <w:color w:val="0070C0"/>
        <w:szCs w:val="18"/>
        <w:lang w:val="es-ES"/>
      </w:rPr>
      <w:t>Unión Internacional de Telecomunicaciones • Place des Nations, CH</w:t>
    </w:r>
    <w:r w:rsidRPr="00D834E7">
      <w:rPr>
        <w:color w:val="0070C0"/>
        <w:szCs w:val="18"/>
        <w:lang w:val="es-ES"/>
      </w:rPr>
      <w:noBreakHyphen/>
      <w:t xml:space="preserve">1211 Ginebra 20, Suiza </w:t>
    </w:r>
    <w:r w:rsidRPr="00D834E7">
      <w:rPr>
        <w:color w:val="0070C0"/>
        <w:szCs w:val="18"/>
        <w:lang w:val="es-ES"/>
      </w:rPr>
      <w:br/>
      <w:t>Tel</w:t>
    </w:r>
    <w:r w:rsidR="00660D9A">
      <w:rPr>
        <w:color w:val="0070C0"/>
        <w:szCs w:val="18"/>
        <w:lang w:val="es-ES"/>
      </w:rPr>
      <w:t>.</w:t>
    </w:r>
    <w:r w:rsidRPr="00D834E7">
      <w:rPr>
        <w:color w:val="0070C0"/>
        <w:szCs w:val="18"/>
        <w:lang w:val="es-ES"/>
      </w:rPr>
      <w:t xml:space="preserve">: +41 22 730 5111 • Fax: +41 22 733 7256 • Correo-e: </w:t>
    </w:r>
    <w:hyperlink r:id="rId1" w:history="1">
      <w:r w:rsidRPr="00D834E7">
        <w:rPr>
          <w:rStyle w:val="Hyperlink"/>
          <w:color w:val="0070C0"/>
          <w:lang w:val="es-ES"/>
        </w:rPr>
        <w:t>itumail@itu.int</w:t>
      </w:r>
    </w:hyperlink>
    <w:r w:rsidRPr="00D834E7">
      <w:rPr>
        <w:color w:val="0070C0"/>
        <w:szCs w:val="18"/>
        <w:lang w:val="es-ES"/>
      </w:rPr>
      <w:t xml:space="preserve"> • </w:t>
    </w:r>
    <w:hyperlink r:id="rId2" w:history="1">
      <w:r w:rsidRPr="00D834E7">
        <w:rPr>
          <w:rStyle w:val="Hyperlink"/>
          <w:color w:val="0070C0"/>
          <w:lang w:val="es-ES"/>
        </w:rPr>
        <w:t>www.itu.int</w:t>
      </w:r>
    </w:hyperlink>
    <w:r w:rsidRPr="00D834E7">
      <w:rPr>
        <w:color w:val="0070C0"/>
        <w:szCs w:val="18"/>
        <w:lang w:val="es-E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DBA153" w14:textId="77777777" w:rsidR="000463FE" w:rsidRDefault="000463FE">
      <w:r>
        <w:t>____________________</w:t>
      </w:r>
    </w:p>
  </w:footnote>
  <w:footnote w:type="continuationSeparator" w:id="0">
    <w:p w14:paraId="065E91C2" w14:textId="77777777" w:rsidR="000463FE" w:rsidRDefault="000463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FA5DC" w14:textId="2130BB45" w:rsidR="006969B4" w:rsidRPr="00303D62" w:rsidRDefault="006969B4">
    <w:pPr>
      <w:pStyle w:val="Header"/>
      <w:rPr>
        <w:sz w:val="18"/>
        <w:szCs w:val="18"/>
      </w:rPr>
    </w:pPr>
    <w:r w:rsidRPr="00303D62">
      <w:rPr>
        <w:sz w:val="18"/>
        <w:szCs w:val="18"/>
      </w:rPr>
      <w:t xml:space="preserve">- </w:t>
    </w:r>
    <w:r w:rsidR="00B87E9E" w:rsidRPr="00303D62">
      <w:rPr>
        <w:rStyle w:val="PageNumber"/>
        <w:sz w:val="18"/>
        <w:szCs w:val="18"/>
      </w:rPr>
      <w:fldChar w:fldCharType="begin"/>
    </w:r>
    <w:r w:rsidRPr="00303D62">
      <w:rPr>
        <w:rStyle w:val="PageNumber"/>
        <w:sz w:val="18"/>
        <w:szCs w:val="18"/>
      </w:rPr>
      <w:instrText xml:space="preserve"> PAGE </w:instrText>
    </w:r>
    <w:r w:rsidR="00B87E9E" w:rsidRPr="00303D62">
      <w:rPr>
        <w:rStyle w:val="PageNumber"/>
        <w:sz w:val="18"/>
        <w:szCs w:val="18"/>
      </w:rPr>
      <w:fldChar w:fldCharType="separate"/>
    </w:r>
    <w:r w:rsidR="00AE5A4D">
      <w:rPr>
        <w:rStyle w:val="PageNumber"/>
        <w:noProof/>
        <w:sz w:val="18"/>
        <w:szCs w:val="18"/>
      </w:rPr>
      <w:t>2</w:t>
    </w:r>
    <w:r w:rsidR="00B87E9E" w:rsidRPr="00303D62">
      <w:rPr>
        <w:rStyle w:val="PageNumber"/>
        <w:sz w:val="18"/>
        <w:szCs w:val="18"/>
      </w:rPr>
      <w:fldChar w:fldCharType="end"/>
    </w:r>
    <w:r w:rsidRPr="00303D62">
      <w:rPr>
        <w:rStyle w:val="PageNumber"/>
        <w:sz w:val="18"/>
        <w:szCs w:val="18"/>
      </w:rPr>
      <w:t xml:space="preserve"> -</w:t>
    </w:r>
    <w:r w:rsidR="00660D9A">
      <w:rPr>
        <w:rStyle w:val="PageNumber"/>
        <w:sz w:val="18"/>
        <w:szCs w:val="18"/>
      </w:rPr>
      <w:br/>
    </w:r>
    <w:r w:rsidR="00AE5A4D">
      <w:rPr>
        <w:sz w:val="18"/>
        <w:szCs w:val="18"/>
      </w:rPr>
      <w:t>Circular TSB 1</w:t>
    </w:r>
    <w:r w:rsidR="00045821">
      <w:rPr>
        <w:sz w:val="18"/>
        <w:szCs w:val="18"/>
      </w:rPr>
      <w:t>71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 w15:restartNumberingAfterBreak="0">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16cid:durableId="1984508558">
    <w:abstractNumId w:val="0"/>
  </w:num>
  <w:num w:numId="2" w16cid:durableId="1931812715">
    <w:abstractNumId w:val="3"/>
  </w:num>
  <w:num w:numId="3" w16cid:durableId="210195576">
    <w:abstractNumId w:val="2"/>
  </w:num>
  <w:num w:numId="4" w16cid:durableId="13371502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63FE"/>
    <w:rsid w:val="00002529"/>
    <w:rsid w:val="00010C8F"/>
    <w:rsid w:val="00021D37"/>
    <w:rsid w:val="00037AFE"/>
    <w:rsid w:val="00045821"/>
    <w:rsid w:val="00045EF0"/>
    <w:rsid w:val="000463FE"/>
    <w:rsid w:val="00085662"/>
    <w:rsid w:val="000C382F"/>
    <w:rsid w:val="000F319C"/>
    <w:rsid w:val="001022F4"/>
    <w:rsid w:val="001173CC"/>
    <w:rsid w:val="001350B9"/>
    <w:rsid w:val="0014464D"/>
    <w:rsid w:val="001A54CC"/>
    <w:rsid w:val="001D7760"/>
    <w:rsid w:val="001E69A8"/>
    <w:rsid w:val="00257FB4"/>
    <w:rsid w:val="00292C69"/>
    <w:rsid w:val="002C7FBB"/>
    <w:rsid w:val="002E496E"/>
    <w:rsid w:val="00303D62"/>
    <w:rsid w:val="00314B1F"/>
    <w:rsid w:val="00335367"/>
    <w:rsid w:val="00370C2D"/>
    <w:rsid w:val="003D1E8D"/>
    <w:rsid w:val="003D673B"/>
    <w:rsid w:val="003E4373"/>
    <w:rsid w:val="003F2855"/>
    <w:rsid w:val="00401C20"/>
    <w:rsid w:val="00407606"/>
    <w:rsid w:val="004259D3"/>
    <w:rsid w:val="00444392"/>
    <w:rsid w:val="00462DD3"/>
    <w:rsid w:val="004A7957"/>
    <w:rsid w:val="004C4144"/>
    <w:rsid w:val="00500021"/>
    <w:rsid w:val="0055719E"/>
    <w:rsid w:val="005F534F"/>
    <w:rsid w:val="00653C06"/>
    <w:rsid w:val="0065528F"/>
    <w:rsid w:val="00660D9A"/>
    <w:rsid w:val="006969B4"/>
    <w:rsid w:val="006E4F7B"/>
    <w:rsid w:val="006E70FE"/>
    <w:rsid w:val="006F1BEC"/>
    <w:rsid w:val="007062CB"/>
    <w:rsid w:val="00716B22"/>
    <w:rsid w:val="0073531B"/>
    <w:rsid w:val="00781E2A"/>
    <w:rsid w:val="007933A2"/>
    <w:rsid w:val="007A3838"/>
    <w:rsid w:val="007A519C"/>
    <w:rsid w:val="007B12D1"/>
    <w:rsid w:val="007B6316"/>
    <w:rsid w:val="00814503"/>
    <w:rsid w:val="008208A1"/>
    <w:rsid w:val="008258C2"/>
    <w:rsid w:val="008505BD"/>
    <w:rsid w:val="00850C78"/>
    <w:rsid w:val="00876165"/>
    <w:rsid w:val="00884D12"/>
    <w:rsid w:val="008B4819"/>
    <w:rsid w:val="008C17AD"/>
    <w:rsid w:val="008D02CD"/>
    <w:rsid w:val="008F68CE"/>
    <w:rsid w:val="0091370C"/>
    <w:rsid w:val="00935CBF"/>
    <w:rsid w:val="0095172A"/>
    <w:rsid w:val="009A0BA0"/>
    <w:rsid w:val="00A54E47"/>
    <w:rsid w:val="00AB6E3A"/>
    <w:rsid w:val="00AE5A4D"/>
    <w:rsid w:val="00AE7093"/>
    <w:rsid w:val="00AF21DE"/>
    <w:rsid w:val="00B422BC"/>
    <w:rsid w:val="00B43F77"/>
    <w:rsid w:val="00B55A3E"/>
    <w:rsid w:val="00B87E9E"/>
    <w:rsid w:val="00B95F0A"/>
    <w:rsid w:val="00B96180"/>
    <w:rsid w:val="00C116FE"/>
    <w:rsid w:val="00C153EC"/>
    <w:rsid w:val="00C17AC0"/>
    <w:rsid w:val="00C34772"/>
    <w:rsid w:val="00C5465A"/>
    <w:rsid w:val="00CA14E5"/>
    <w:rsid w:val="00D25506"/>
    <w:rsid w:val="00D463E2"/>
    <w:rsid w:val="00D54642"/>
    <w:rsid w:val="00D834E7"/>
    <w:rsid w:val="00DD77C9"/>
    <w:rsid w:val="00DF3538"/>
    <w:rsid w:val="00E839B0"/>
    <w:rsid w:val="00E92C09"/>
    <w:rsid w:val="00EA7522"/>
    <w:rsid w:val="00F14380"/>
    <w:rsid w:val="00F6461F"/>
    <w:rsid w:val="00FC416A"/>
    <w:rsid w:val="00FD2B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419588"/>
  <w15:docId w15:val="{1F816380-406A-4EE5-AE48-50C3B03D1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496E"/>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aliases w:val="超级链接"/>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character" w:customStyle="1" w:styleId="UnresolvedMention1">
    <w:name w:val="Unresolved Mention1"/>
    <w:basedOn w:val="DefaultParagraphFont"/>
    <w:uiPriority w:val="99"/>
    <w:semiHidden/>
    <w:unhideWhenUsed/>
    <w:rsid w:val="00660D9A"/>
    <w:rPr>
      <w:color w:val="605E5C"/>
      <w:shd w:val="clear" w:color="auto" w:fill="E1DFDD"/>
    </w:rPr>
  </w:style>
  <w:style w:type="table" w:styleId="TableGrid">
    <w:name w:val="Table Grid"/>
    <w:basedOn w:val="TableNormal"/>
    <w:uiPriority w:val="59"/>
    <w:rsid w:val="00660D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F68CE"/>
    <w:rPr>
      <w:color w:val="605E5C"/>
      <w:shd w:val="clear" w:color="auto" w:fill="E1DFDD"/>
    </w:rPr>
  </w:style>
  <w:style w:type="paragraph" w:customStyle="1" w:styleId="Reasons">
    <w:name w:val="Reasons"/>
    <w:basedOn w:val="Normal"/>
    <w:qFormat/>
    <w:rsid w:val="00935CBF"/>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en/ITU-T/focusgroups/ai4ndm/Pages/default.aspx" TargetMode="External"/><Relationship Id="rId18" Type="http://schemas.openxmlformats.org/officeDocument/2006/relationships/hyperlink" Target="mailto:tsbfgai4ndm@itu.int" TargetMode="External"/><Relationship Id="rId26" Type="http://schemas.openxmlformats.org/officeDocument/2006/relationships/hyperlink" Target="https://www.itu.int/en/ITU-T/focusgroups/ai4ndm/Pages/default.aspx" TargetMode="External"/><Relationship Id="rId3" Type="http://schemas.openxmlformats.org/officeDocument/2006/relationships/styles" Target="styles.xml"/><Relationship Id="rId21" Type="http://schemas.openxmlformats.org/officeDocument/2006/relationships/hyperlink" Target="http://www.itu.int/go/fgai4ndm-quicksteps" TargetMode="External"/><Relationship Id="rId7" Type="http://schemas.openxmlformats.org/officeDocument/2006/relationships/endnotes" Target="endnotes.xml"/><Relationship Id="rId12" Type="http://schemas.openxmlformats.org/officeDocument/2006/relationships/hyperlink" Target="mailto:tsbfgai4ndm@itu.int" TargetMode="External"/><Relationship Id="rId17" Type="http://schemas.openxmlformats.org/officeDocument/2006/relationships/hyperlink" Target="https://www.itu.int/en/ITU-T/focusgroups/ai4ndm/Pages/default.aspx" TargetMode="External"/><Relationship Id="rId25" Type="http://schemas.openxmlformats.org/officeDocument/2006/relationships/hyperlink" Target="https://www.itu.int/en/ITU-T/focusgroups/ai4ndm/Pages/default.aspx" TargetMode="External"/><Relationship Id="rId2" Type="http://schemas.openxmlformats.org/officeDocument/2006/relationships/numbering" Target="numbering.xml"/><Relationship Id="rId16" Type="http://schemas.openxmlformats.org/officeDocument/2006/relationships/hyperlink" Target="https://www.itu.int/en/ITU-T/focusgroups/ai4ndm/Pages/default.aspx" TargetMode="External"/><Relationship Id="rId20" Type="http://schemas.openxmlformats.org/officeDocument/2006/relationships/hyperlink" Target="https://www.itu.int/myworkspace/"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ITU-T/focusgroups/ai4ndm/Pages/default.aspx" TargetMode="External"/><Relationship Id="rId24" Type="http://schemas.openxmlformats.org/officeDocument/2006/relationships/hyperlink" Target="https://www.itu.int/en/ITU-T/focusgroups/ai4ndm/Pages/default.aspx" TargetMode="External"/><Relationship Id="rId5" Type="http://schemas.openxmlformats.org/officeDocument/2006/relationships/webSettings" Target="webSettings.xml"/><Relationship Id="rId15" Type="http://schemas.openxmlformats.org/officeDocument/2006/relationships/hyperlink" Target="https://www.itu.int/en/ITU-T/focusgroups/ai4ndm/Pages/default.aspx" TargetMode="External"/><Relationship Id="rId23" Type="http://schemas.openxmlformats.org/officeDocument/2006/relationships/hyperlink" Target="https://www.itu.int/en/ITU-T/focusgroups/ai4ndm/Pages/default.aspx" TargetMode="External"/><Relationship Id="rId28" Type="http://schemas.openxmlformats.org/officeDocument/2006/relationships/footer" Target="footer1.xml"/><Relationship Id="rId10" Type="http://schemas.openxmlformats.org/officeDocument/2006/relationships/hyperlink" Target="Vhttps://www.itu.int/en/ITU-T/focusgroups/ai4ndm/Pages/default.aspx" TargetMode="Externa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tsbfgai4ndm@itu.int" TargetMode="External"/><Relationship Id="rId14" Type="http://schemas.openxmlformats.org/officeDocument/2006/relationships/hyperlink" Target="https://www.itu.int/myworkspace/" TargetMode="External"/><Relationship Id="rId22" Type="http://schemas.openxmlformats.org/officeDocument/2006/relationships/hyperlink" Target="https://www.itu.int/en/ITU-T/focusgroups/ai4ndm/Pages/default.aspx" TargetMode="External"/><Relationship Id="rId27" Type="http://schemas.openxmlformats.org/officeDocument/2006/relationships/header" Target="header1.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Q:\TEMPLATE\ITUOffice2007\POOL\POOL%20S%20-%20ITU\TSB\PS_TSB_Circular_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B7A032-4006-41B6-8D1F-AA8ACCB3F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PS_TSB_Circular_Letter.dotx</Template>
  <TotalTime>147</TotalTime>
  <Pages>5</Pages>
  <Words>2094</Words>
  <Characters>12532</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14597</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Spanish83</dc:creator>
  <cp:lastModifiedBy>TSB (HT)</cp:lastModifiedBy>
  <cp:revision>14</cp:revision>
  <cp:lastPrinted>2011-04-15T08:24:00Z</cp:lastPrinted>
  <dcterms:created xsi:type="dcterms:W3CDTF">2024-01-24T14:14:00Z</dcterms:created>
  <dcterms:modified xsi:type="dcterms:W3CDTF">2024-02-08T09:44:00Z</dcterms:modified>
</cp:coreProperties>
</file>