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000" w:firstRow="0" w:lastRow="0" w:firstColumn="0" w:lastColumn="0" w:noHBand="0" w:noVBand="0"/>
      </w:tblPr>
      <w:tblGrid>
        <w:gridCol w:w="1279"/>
        <w:gridCol w:w="2720"/>
        <w:gridCol w:w="5730"/>
      </w:tblGrid>
      <w:tr w:rsidR="00EF6A23" w:rsidRPr="00447D23" w14:paraId="3FDAE1F3" w14:textId="77777777" w:rsidTr="003F083D">
        <w:trPr>
          <w:cantSplit/>
        </w:trPr>
        <w:tc>
          <w:tcPr>
            <w:tcW w:w="0" w:type="auto"/>
            <w:vAlign w:val="center"/>
          </w:tcPr>
          <w:p w14:paraId="3DE42CAA" w14:textId="77777777" w:rsidR="00EF6A23" w:rsidRPr="00447D23" w:rsidRDefault="00EF6A23" w:rsidP="00D14F31">
            <w:pPr>
              <w:tabs>
                <w:tab w:val="right" w:pos="8732"/>
              </w:tabs>
              <w:spacing w:before="0"/>
              <w:rPr>
                <w:b/>
                <w:bCs/>
                <w:iCs/>
                <w:color w:val="FFFFFF"/>
                <w:sz w:val="30"/>
                <w:szCs w:val="30"/>
              </w:rPr>
            </w:pPr>
            <w:r w:rsidRPr="00447D23">
              <w:rPr>
                <w:noProof/>
                <w:lang w:eastAsia="zh-CN"/>
              </w:rPr>
              <w:drawing>
                <wp:inline distT="0" distB="0" distL="0" distR="0" wp14:anchorId="05764050" wp14:editId="248DEEAB">
                  <wp:extent cx="812165" cy="812165"/>
                  <wp:effectExtent l="0" t="0" r="0" b="0"/>
                  <wp:docPr id="2" name="Picture 2" descr="The International Teleocmmunication Union - Connecting the World."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International Teleocmmunication Union - Connecting the World." title="ITU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2165" cy="812165"/>
                          </a:xfrm>
                          <a:prstGeom prst="rect">
                            <a:avLst/>
                          </a:prstGeom>
                          <a:noFill/>
                          <a:ln>
                            <a:noFill/>
                          </a:ln>
                        </pic:spPr>
                      </pic:pic>
                    </a:graphicData>
                  </a:graphic>
                </wp:inline>
              </w:drawing>
            </w:r>
          </w:p>
        </w:tc>
        <w:tc>
          <w:tcPr>
            <w:tcW w:w="0" w:type="auto"/>
            <w:gridSpan w:val="2"/>
            <w:vAlign w:val="center"/>
          </w:tcPr>
          <w:p w14:paraId="75924CEF" w14:textId="77777777" w:rsidR="00EF6A23" w:rsidRPr="00447D23" w:rsidRDefault="00EF6A23" w:rsidP="00EF6A23">
            <w:pPr>
              <w:spacing w:before="0"/>
              <w:rPr>
                <w:rFonts w:cs="Times New Roman Bold"/>
                <w:b/>
                <w:bCs/>
                <w:iCs/>
                <w:smallCaps/>
                <w:sz w:val="34"/>
                <w:szCs w:val="34"/>
              </w:rPr>
            </w:pPr>
            <w:r w:rsidRPr="00447D23">
              <w:rPr>
                <w:rFonts w:cs="Times New Roman Bold"/>
                <w:b/>
                <w:bCs/>
                <w:iCs/>
                <w:smallCaps/>
                <w:sz w:val="34"/>
                <w:szCs w:val="34"/>
              </w:rPr>
              <w:t>Union internationale des télécommunications</w:t>
            </w:r>
          </w:p>
          <w:p w14:paraId="089E66D0" w14:textId="77777777" w:rsidR="00EF6A23" w:rsidRPr="00447D23" w:rsidRDefault="00EF6A23" w:rsidP="00EF6A23">
            <w:pPr>
              <w:spacing w:before="0"/>
              <w:rPr>
                <w:color w:val="FFFFFF"/>
                <w:sz w:val="26"/>
                <w:szCs w:val="26"/>
              </w:rPr>
            </w:pPr>
            <w:r w:rsidRPr="00447D23">
              <w:rPr>
                <w:rFonts w:cs="Times New Roman Bold"/>
                <w:b/>
                <w:bCs/>
                <w:iCs/>
                <w:smallCaps/>
                <w:sz w:val="28"/>
                <w:szCs w:val="28"/>
              </w:rPr>
              <w:t>B</w:t>
            </w:r>
            <w:r w:rsidRPr="00447D23">
              <w:rPr>
                <w:b/>
                <w:bCs/>
                <w:iCs/>
                <w:smallCaps/>
                <w:sz w:val="28"/>
                <w:szCs w:val="28"/>
              </w:rPr>
              <w:t>ureau de la Normalisation des Télécommunications</w:t>
            </w:r>
          </w:p>
        </w:tc>
      </w:tr>
      <w:tr w:rsidR="00036F4F" w:rsidRPr="00C65C2E" w14:paraId="18B25741" w14:textId="77777777" w:rsidTr="00DE6CD0">
        <w:trPr>
          <w:cantSplit/>
        </w:trPr>
        <w:tc>
          <w:tcPr>
            <w:tcW w:w="0" w:type="auto"/>
          </w:tcPr>
          <w:p w14:paraId="4B1AFD72" w14:textId="77777777" w:rsidR="00036F4F" w:rsidRPr="00C65C2E" w:rsidRDefault="00036F4F" w:rsidP="00A5280F">
            <w:pPr>
              <w:tabs>
                <w:tab w:val="left" w:pos="4111"/>
              </w:tabs>
              <w:spacing w:before="10"/>
              <w:ind w:left="57"/>
              <w:rPr>
                <w:rFonts w:cstheme="minorHAnsi"/>
                <w:sz w:val="22"/>
                <w:szCs w:val="22"/>
              </w:rPr>
            </w:pPr>
          </w:p>
        </w:tc>
        <w:tc>
          <w:tcPr>
            <w:tcW w:w="2800" w:type="dxa"/>
          </w:tcPr>
          <w:p w14:paraId="6579D3E8" w14:textId="77777777" w:rsidR="00036F4F" w:rsidRPr="00C65C2E" w:rsidRDefault="00036F4F" w:rsidP="00A5280F">
            <w:pPr>
              <w:tabs>
                <w:tab w:val="left" w:pos="4111"/>
              </w:tabs>
              <w:spacing w:before="10"/>
              <w:ind w:left="57"/>
              <w:rPr>
                <w:rFonts w:cstheme="minorHAnsi"/>
                <w:b/>
                <w:sz w:val="22"/>
                <w:szCs w:val="22"/>
              </w:rPr>
            </w:pPr>
          </w:p>
        </w:tc>
        <w:tc>
          <w:tcPr>
            <w:tcW w:w="5650" w:type="dxa"/>
          </w:tcPr>
          <w:p w14:paraId="0DC34ECA" w14:textId="617ECB59" w:rsidR="00036F4F" w:rsidRPr="00C65C2E" w:rsidRDefault="00036F4F" w:rsidP="00A5645A">
            <w:pPr>
              <w:tabs>
                <w:tab w:val="clear" w:pos="794"/>
                <w:tab w:val="clear" w:pos="1191"/>
                <w:tab w:val="clear" w:pos="1588"/>
                <w:tab w:val="clear" w:pos="1985"/>
                <w:tab w:val="left" w:pos="284"/>
              </w:tabs>
              <w:spacing w:after="120"/>
              <w:ind w:left="284" w:hanging="227"/>
              <w:rPr>
                <w:rFonts w:cstheme="minorHAnsi"/>
                <w:sz w:val="22"/>
                <w:szCs w:val="22"/>
              </w:rPr>
            </w:pPr>
            <w:r w:rsidRPr="00C65C2E">
              <w:rPr>
                <w:rFonts w:cstheme="minorHAnsi"/>
                <w:sz w:val="22"/>
                <w:szCs w:val="22"/>
              </w:rPr>
              <w:t>Genève, le</w:t>
            </w:r>
            <w:r w:rsidR="004419E9" w:rsidRPr="00C65C2E">
              <w:rPr>
                <w:rFonts w:cstheme="minorHAnsi"/>
                <w:sz w:val="22"/>
                <w:szCs w:val="22"/>
              </w:rPr>
              <w:t xml:space="preserve"> </w:t>
            </w:r>
            <w:r w:rsidR="00DE6CD0" w:rsidRPr="00C65C2E">
              <w:rPr>
                <w:rFonts w:cstheme="minorHAnsi"/>
                <w:sz w:val="22"/>
                <w:szCs w:val="22"/>
              </w:rPr>
              <w:t>7 mars 2024</w:t>
            </w:r>
          </w:p>
        </w:tc>
      </w:tr>
      <w:tr w:rsidR="00DE6CD0" w:rsidRPr="00C65C2E" w14:paraId="16CDDFEF" w14:textId="77777777" w:rsidTr="00DE6CD0">
        <w:trPr>
          <w:cantSplit/>
          <w:trHeight w:val="340"/>
        </w:trPr>
        <w:tc>
          <w:tcPr>
            <w:tcW w:w="0" w:type="auto"/>
          </w:tcPr>
          <w:p w14:paraId="3EFF375D" w14:textId="58556577" w:rsidR="00DE6CD0" w:rsidRPr="00C65C2E" w:rsidRDefault="00DE6CD0" w:rsidP="00307FB4">
            <w:pPr>
              <w:tabs>
                <w:tab w:val="left" w:pos="4111"/>
              </w:tabs>
              <w:spacing w:before="10"/>
              <w:ind w:left="57"/>
              <w:rPr>
                <w:rFonts w:cstheme="minorHAnsi"/>
                <w:b/>
                <w:bCs/>
                <w:sz w:val="22"/>
                <w:szCs w:val="22"/>
              </w:rPr>
            </w:pPr>
            <w:proofErr w:type="gramStart"/>
            <w:r w:rsidRPr="00C65C2E">
              <w:rPr>
                <w:rFonts w:cstheme="minorHAnsi"/>
                <w:b/>
                <w:bCs/>
                <w:sz w:val="22"/>
                <w:szCs w:val="22"/>
              </w:rPr>
              <w:t>Réf.:</w:t>
            </w:r>
            <w:proofErr w:type="gramEnd"/>
          </w:p>
        </w:tc>
        <w:tc>
          <w:tcPr>
            <w:tcW w:w="2800" w:type="dxa"/>
          </w:tcPr>
          <w:p w14:paraId="577F6DA2" w14:textId="5C298FD3" w:rsidR="00DE6CD0" w:rsidRPr="00C65C2E" w:rsidRDefault="00DE6CD0" w:rsidP="00307FB4">
            <w:pPr>
              <w:tabs>
                <w:tab w:val="left" w:pos="4111"/>
              </w:tabs>
              <w:spacing w:before="10"/>
              <w:ind w:left="57"/>
              <w:rPr>
                <w:rFonts w:cstheme="minorHAnsi"/>
                <w:b/>
                <w:sz w:val="22"/>
                <w:szCs w:val="22"/>
              </w:rPr>
            </w:pPr>
            <w:r w:rsidRPr="00C65C2E">
              <w:rPr>
                <w:rFonts w:cstheme="minorHAnsi"/>
                <w:b/>
                <w:sz w:val="22"/>
                <w:szCs w:val="22"/>
              </w:rPr>
              <w:t>Circulaire TSB 178</w:t>
            </w:r>
          </w:p>
        </w:tc>
        <w:tc>
          <w:tcPr>
            <w:tcW w:w="5650" w:type="dxa"/>
            <w:vMerge w:val="restart"/>
          </w:tcPr>
          <w:p w14:paraId="56FFB697" w14:textId="77777777" w:rsidR="00DE6CD0" w:rsidRPr="00C65C2E" w:rsidRDefault="00DE6CD0" w:rsidP="00307FB4">
            <w:pPr>
              <w:tabs>
                <w:tab w:val="left" w:pos="226"/>
                <w:tab w:val="left" w:pos="4111"/>
              </w:tabs>
              <w:spacing w:before="0"/>
              <w:ind w:left="226" w:hanging="226"/>
              <w:rPr>
                <w:rFonts w:cstheme="minorHAnsi"/>
                <w:b/>
                <w:bCs/>
                <w:sz w:val="22"/>
                <w:szCs w:val="22"/>
              </w:rPr>
            </w:pPr>
            <w:bookmarkStart w:id="0" w:name="Addressee_F"/>
            <w:bookmarkEnd w:id="0"/>
            <w:proofErr w:type="gramStart"/>
            <w:r w:rsidRPr="00C65C2E">
              <w:rPr>
                <w:rFonts w:cstheme="minorHAnsi"/>
                <w:b/>
                <w:bCs/>
                <w:sz w:val="22"/>
                <w:szCs w:val="22"/>
              </w:rPr>
              <w:t>Aux:</w:t>
            </w:r>
            <w:proofErr w:type="gramEnd"/>
          </w:p>
          <w:p w14:paraId="35271D8E" w14:textId="536C0CE8" w:rsidR="00DE6CD0" w:rsidRPr="00C65C2E" w:rsidRDefault="00DE6CD0" w:rsidP="00307FB4">
            <w:pPr>
              <w:tabs>
                <w:tab w:val="left" w:pos="4111"/>
              </w:tabs>
              <w:spacing w:before="0"/>
              <w:ind w:left="426" w:hanging="426"/>
              <w:rPr>
                <w:rFonts w:cstheme="minorHAnsi"/>
                <w:sz w:val="22"/>
                <w:szCs w:val="22"/>
              </w:rPr>
            </w:pPr>
            <w:r w:rsidRPr="00C65C2E">
              <w:rPr>
                <w:rFonts w:cstheme="minorHAnsi"/>
                <w:sz w:val="22"/>
                <w:szCs w:val="22"/>
              </w:rPr>
              <w:t>–</w:t>
            </w:r>
            <w:r w:rsidRPr="00C65C2E">
              <w:rPr>
                <w:rFonts w:cstheme="minorHAnsi"/>
                <w:sz w:val="22"/>
                <w:szCs w:val="22"/>
              </w:rPr>
              <w:tab/>
              <w:t xml:space="preserve">Administrations des États Membres de </w:t>
            </w:r>
            <w:proofErr w:type="gramStart"/>
            <w:r w:rsidRPr="00C65C2E">
              <w:rPr>
                <w:rFonts w:cstheme="minorHAnsi"/>
                <w:sz w:val="22"/>
                <w:szCs w:val="22"/>
              </w:rPr>
              <w:t>l'Union;</w:t>
            </w:r>
            <w:proofErr w:type="gramEnd"/>
          </w:p>
          <w:p w14:paraId="38A5A6AE" w14:textId="47344D7B" w:rsidR="00DE6CD0" w:rsidRPr="00C65C2E" w:rsidRDefault="00DE6CD0" w:rsidP="00307FB4">
            <w:pPr>
              <w:tabs>
                <w:tab w:val="left" w:pos="4111"/>
              </w:tabs>
              <w:spacing w:before="0"/>
              <w:ind w:left="426" w:hanging="426"/>
              <w:rPr>
                <w:rFonts w:cstheme="minorHAnsi"/>
                <w:sz w:val="22"/>
                <w:szCs w:val="22"/>
              </w:rPr>
            </w:pPr>
            <w:r w:rsidRPr="00C65C2E">
              <w:rPr>
                <w:rFonts w:cstheme="minorHAnsi"/>
                <w:sz w:val="22"/>
                <w:szCs w:val="22"/>
              </w:rPr>
              <w:t>–</w:t>
            </w:r>
            <w:r w:rsidRPr="00C65C2E">
              <w:rPr>
                <w:rFonts w:cstheme="minorHAnsi"/>
                <w:sz w:val="22"/>
                <w:szCs w:val="22"/>
              </w:rPr>
              <w:tab/>
              <w:t>Membres du Secteur de l'UIT-</w:t>
            </w:r>
            <w:proofErr w:type="gramStart"/>
            <w:r w:rsidRPr="00C65C2E">
              <w:rPr>
                <w:rFonts w:cstheme="minorHAnsi"/>
                <w:sz w:val="22"/>
                <w:szCs w:val="22"/>
              </w:rPr>
              <w:t>T;</w:t>
            </w:r>
            <w:proofErr w:type="gramEnd"/>
          </w:p>
          <w:p w14:paraId="45F82FBC" w14:textId="7313CB0A" w:rsidR="00DE6CD0" w:rsidRPr="00C65C2E" w:rsidRDefault="00DE6CD0" w:rsidP="00307FB4">
            <w:pPr>
              <w:tabs>
                <w:tab w:val="left" w:pos="4111"/>
              </w:tabs>
              <w:spacing w:before="0"/>
              <w:ind w:left="426" w:hanging="426"/>
              <w:rPr>
                <w:rFonts w:cstheme="minorHAnsi"/>
                <w:sz w:val="22"/>
                <w:szCs w:val="22"/>
              </w:rPr>
            </w:pPr>
            <w:r w:rsidRPr="00C65C2E">
              <w:rPr>
                <w:rFonts w:cstheme="minorHAnsi"/>
                <w:sz w:val="22"/>
                <w:szCs w:val="22"/>
              </w:rPr>
              <w:t>–</w:t>
            </w:r>
            <w:r w:rsidRPr="00C65C2E">
              <w:rPr>
                <w:rFonts w:cstheme="minorHAnsi"/>
                <w:sz w:val="22"/>
                <w:szCs w:val="22"/>
              </w:rPr>
              <w:tab/>
              <w:t>Associés de l'UIT-</w:t>
            </w:r>
            <w:proofErr w:type="gramStart"/>
            <w:r w:rsidRPr="00C65C2E">
              <w:rPr>
                <w:rFonts w:cstheme="minorHAnsi"/>
                <w:sz w:val="22"/>
                <w:szCs w:val="22"/>
              </w:rPr>
              <w:t>T;</w:t>
            </w:r>
            <w:proofErr w:type="gramEnd"/>
          </w:p>
          <w:p w14:paraId="4593E784" w14:textId="77777777" w:rsidR="00DE6CD0" w:rsidRPr="00C65C2E" w:rsidRDefault="00DE6CD0" w:rsidP="00307FB4">
            <w:pPr>
              <w:tabs>
                <w:tab w:val="left" w:pos="4111"/>
              </w:tabs>
              <w:spacing w:before="0"/>
              <w:ind w:left="426" w:hanging="426"/>
              <w:rPr>
                <w:rFonts w:cstheme="minorHAnsi"/>
                <w:sz w:val="22"/>
                <w:szCs w:val="22"/>
              </w:rPr>
            </w:pPr>
            <w:r w:rsidRPr="00C65C2E">
              <w:rPr>
                <w:rFonts w:cstheme="minorHAnsi"/>
                <w:sz w:val="22"/>
                <w:szCs w:val="22"/>
              </w:rPr>
              <w:t>–</w:t>
            </w:r>
            <w:r w:rsidRPr="00C65C2E">
              <w:rPr>
                <w:rFonts w:cstheme="minorHAnsi"/>
                <w:sz w:val="22"/>
                <w:szCs w:val="22"/>
              </w:rPr>
              <w:tab/>
              <w:t xml:space="preserve">Établissements universitaires participant aux travaux de </w:t>
            </w:r>
            <w:proofErr w:type="gramStart"/>
            <w:r w:rsidRPr="00C65C2E">
              <w:rPr>
                <w:rFonts w:cstheme="minorHAnsi"/>
                <w:sz w:val="22"/>
                <w:szCs w:val="22"/>
              </w:rPr>
              <w:t>l'UIT;</w:t>
            </w:r>
            <w:proofErr w:type="gramEnd"/>
          </w:p>
          <w:p w14:paraId="58FC7DFC" w14:textId="4A3946AE" w:rsidR="00DE6CD0" w:rsidRPr="00C65C2E" w:rsidRDefault="00DE6CD0" w:rsidP="00307FB4">
            <w:pPr>
              <w:tabs>
                <w:tab w:val="left" w:pos="4111"/>
              </w:tabs>
              <w:spacing w:before="0"/>
              <w:ind w:left="426" w:hanging="426"/>
              <w:rPr>
                <w:rFonts w:cstheme="minorHAnsi"/>
                <w:sz w:val="22"/>
                <w:szCs w:val="22"/>
              </w:rPr>
            </w:pPr>
            <w:r w:rsidRPr="00C65C2E">
              <w:rPr>
                <w:rFonts w:cstheme="minorHAnsi"/>
                <w:sz w:val="22"/>
                <w:szCs w:val="22"/>
              </w:rPr>
              <w:t>–</w:t>
            </w:r>
            <w:r w:rsidRPr="00C65C2E">
              <w:rPr>
                <w:rFonts w:cstheme="minorHAnsi"/>
                <w:sz w:val="22"/>
                <w:szCs w:val="22"/>
              </w:rPr>
              <w:tab/>
              <w:t xml:space="preserve">Aux organisations régionales de </w:t>
            </w:r>
            <w:proofErr w:type="gramStart"/>
            <w:r w:rsidRPr="00C65C2E">
              <w:rPr>
                <w:rFonts w:cstheme="minorHAnsi"/>
                <w:sz w:val="22"/>
                <w:szCs w:val="22"/>
              </w:rPr>
              <w:t>télécommunication;</w:t>
            </w:r>
            <w:proofErr w:type="gramEnd"/>
          </w:p>
          <w:p w14:paraId="3B0E4BCD" w14:textId="08CD55FC" w:rsidR="00DE6CD0" w:rsidRPr="00C65C2E" w:rsidRDefault="00DE6CD0" w:rsidP="00DE6CD0">
            <w:pPr>
              <w:tabs>
                <w:tab w:val="left" w:pos="4111"/>
              </w:tabs>
              <w:spacing w:before="0"/>
              <w:ind w:left="426" w:hanging="426"/>
              <w:rPr>
                <w:rFonts w:cstheme="minorHAnsi"/>
                <w:sz w:val="22"/>
                <w:szCs w:val="22"/>
              </w:rPr>
            </w:pPr>
            <w:r w:rsidRPr="00C65C2E">
              <w:rPr>
                <w:rFonts w:cstheme="minorHAnsi"/>
                <w:sz w:val="22"/>
                <w:szCs w:val="22"/>
              </w:rPr>
              <w:t>–</w:t>
            </w:r>
            <w:r w:rsidRPr="00C65C2E">
              <w:rPr>
                <w:rFonts w:cstheme="minorHAnsi"/>
                <w:sz w:val="22"/>
                <w:szCs w:val="22"/>
              </w:rPr>
              <w:tab/>
              <w:t xml:space="preserve">Aux organisations intergouvernementales exploitant des systèmes à </w:t>
            </w:r>
            <w:proofErr w:type="gramStart"/>
            <w:r w:rsidRPr="00C65C2E">
              <w:rPr>
                <w:rFonts w:cstheme="minorHAnsi"/>
                <w:sz w:val="22"/>
                <w:szCs w:val="22"/>
              </w:rPr>
              <w:t>satellites;</w:t>
            </w:r>
            <w:proofErr w:type="gramEnd"/>
          </w:p>
          <w:p w14:paraId="2E7EC314" w14:textId="707396FB" w:rsidR="00DE6CD0" w:rsidRPr="00C65C2E" w:rsidRDefault="00DE6CD0" w:rsidP="00DE6CD0">
            <w:pPr>
              <w:tabs>
                <w:tab w:val="left" w:pos="4111"/>
              </w:tabs>
              <w:spacing w:before="0"/>
              <w:ind w:left="426" w:hanging="426"/>
              <w:rPr>
                <w:rFonts w:cstheme="minorHAnsi"/>
                <w:sz w:val="22"/>
                <w:szCs w:val="22"/>
              </w:rPr>
            </w:pPr>
            <w:r w:rsidRPr="00C65C2E">
              <w:rPr>
                <w:rFonts w:cstheme="minorHAnsi"/>
                <w:sz w:val="22"/>
                <w:szCs w:val="22"/>
              </w:rPr>
              <w:t>–</w:t>
            </w:r>
            <w:r w:rsidRPr="00C65C2E">
              <w:rPr>
                <w:rFonts w:cstheme="minorHAnsi"/>
                <w:sz w:val="22"/>
                <w:szCs w:val="22"/>
              </w:rPr>
              <w:tab/>
            </w:r>
            <w:r w:rsidR="00447D23" w:rsidRPr="00C65C2E">
              <w:rPr>
                <w:rFonts w:cstheme="minorHAnsi"/>
                <w:sz w:val="22"/>
                <w:szCs w:val="22"/>
              </w:rPr>
              <w:t>À</w:t>
            </w:r>
            <w:r w:rsidRPr="00C65C2E">
              <w:rPr>
                <w:rFonts w:cstheme="minorHAnsi"/>
                <w:sz w:val="22"/>
                <w:szCs w:val="22"/>
              </w:rPr>
              <w:t xml:space="preserve"> l'Organisation des Nations </w:t>
            </w:r>
            <w:proofErr w:type="gramStart"/>
            <w:r w:rsidRPr="00C65C2E">
              <w:rPr>
                <w:rFonts w:cstheme="minorHAnsi"/>
                <w:sz w:val="22"/>
                <w:szCs w:val="22"/>
              </w:rPr>
              <w:t>Unies;</w:t>
            </w:r>
            <w:proofErr w:type="gramEnd"/>
          </w:p>
          <w:p w14:paraId="461460AE" w14:textId="4D54CCC8" w:rsidR="00DE6CD0" w:rsidRPr="00C65C2E" w:rsidRDefault="00DE6CD0" w:rsidP="00DE6CD0">
            <w:pPr>
              <w:tabs>
                <w:tab w:val="left" w:pos="4111"/>
              </w:tabs>
              <w:spacing w:before="0"/>
              <w:ind w:left="426" w:hanging="426"/>
              <w:rPr>
                <w:rFonts w:cstheme="minorHAnsi"/>
                <w:sz w:val="22"/>
                <w:szCs w:val="22"/>
              </w:rPr>
            </w:pPr>
            <w:r w:rsidRPr="00C65C2E">
              <w:rPr>
                <w:rFonts w:cstheme="minorHAnsi"/>
                <w:sz w:val="22"/>
                <w:szCs w:val="22"/>
              </w:rPr>
              <w:t>–</w:t>
            </w:r>
            <w:r w:rsidRPr="00C65C2E">
              <w:rPr>
                <w:rFonts w:cstheme="minorHAnsi"/>
                <w:sz w:val="22"/>
                <w:szCs w:val="22"/>
              </w:rPr>
              <w:tab/>
              <w:t>Aux institutions spécialisées des Nations Unies et à l'Agence internationale de l'énergie atomique</w:t>
            </w:r>
          </w:p>
        </w:tc>
      </w:tr>
      <w:tr w:rsidR="00DE6CD0" w:rsidRPr="00C65C2E" w14:paraId="06A3F0E7" w14:textId="77777777" w:rsidTr="00DE6CD0">
        <w:trPr>
          <w:cantSplit/>
          <w:trHeight w:val="340"/>
        </w:trPr>
        <w:tc>
          <w:tcPr>
            <w:tcW w:w="0" w:type="auto"/>
          </w:tcPr>
          <w:p w14:paraId="5CF43A7B" w14:textId="3933CF6D" w:rsidR="00DE6CD0" w:rsidRPr="00C65C2E" w:rsidRDefault="00DE6CD0" w:rsidP="00DE6CD0">
            <w:pPr>
              <w:tabs>
                <w:tab w:val="left" w:pos="4111"/>
              </w:tabs>
              <w:spacing w:before="10"/>
              <w:ind w:left="57"/>
              <w:rPr>
                <w:rFonts w:cstheme="minorHAnsi"/>
                <w:b/>
                <w:bCs/>
                <w:sz w:val="22"/>
                <w:szCs w:val="22"/>
              </w:rPr>
            </w:pPr>
            <w:proofErr w:type="gramStart"/>
            <w:r w:rsidRPr="00C65C2E">
              <w:rPr>
                <w:rFonts w:cstheme="minorHAnsi"/>
                <w:b/>
                <w:bCs/>
                <w:sz w:val="22"/>
                <w:szCs w:val="22"/>
              </w:rPr>
              <w:t>Contact:</w:t>
            </w:r>
            <w:proofErr w:type="gramEnd"/>
          </w:p>
        </w:tc>
        <w:tc>
          <w:tcPr>
            <w:tcW w:w="2800" w:type="dxa"/>
          </w:tcPr>
          <w:p w14:paraId="2074781F" w14:textId="5C0603E3" w:rsidR="00DE6CD0" w:rsidRPr="00C65C2E" w:rsidRDefault="00DE6CD0" w:rsidP="00DE6CD0">
            <w:pPr>
              <w:tabs>
                <w:tab w:val="left" w:pos="4111"/>
              </w:tabs>
              <w:spacing w:before="10"/>
              <w:ind w:left="57"/>
              <w:rPr>
                <w:rFonts w:cstheme="minorHAnsi"/>
                <w:b/>
                <w:sz w:val="22"/>
                <w:szCs w:val="22"/>
              </w:rPr>
            </w:pPr>
            <w:r w:rsidRPr="00C65C2E">
              <w:rPr>
                <w:rFonts w:cstheme="minorHAnsi"/>
                <w:sz w:val="22"/>
                <w:szCs w:val="22"/>
              </w:rPr>
              <w:t>M. Bilel Jamoussi</w:t>
            </w:r>
          </w:p>
        </w:tc>
        <w:tc>
          <w:tcPr>
            <w:tcW w:w="5650" w:type="dxa"/>
            <w:vMerge/>
          </w:tcPr>
          <w:p w14:paraId="2F310545" w14:textId="77777777" w:rsidR="00DE6CD0" w:rsidRPr="00C65C2E" w:rsidRDefault="00DE6CD0" w:rsidP="00DE6CD0">
            <w:pPr>
              <w:tabs>
                <w:tab w:val="clear" w:pos="794"/>
                <w:tab w:val="clear" w:pos="1191"/>
                <w:tab w:val="clear" w:pos="1588"/>
                <w:tab w:val="clear" w:pos="1985"/>
                <w:tab w:val="left" w:pos="284"/>
              </w:tabs>
              <w:spacing w:before="0"/>
              <w:ind w:left="284" w:hanging="227"/>
              <w:rPr>
                <w:rFonts w:cstheme="minorHAnsi"/>
                <w:sz w:val="22"/>
                <w:szCs w:val="22"/>
              </w:rPr>
            </w:pPr>
          </w:p>
        </w:tc>
      </w:tr>
      <w:tr w:rsidR="00DE6CD0" w:rsidRPr="00C65C2E" w14:paraId="724FD23E" w14:textId="77777777" w:rsidTr="00DE6CD0">
        <w:trPr>
          <w:cantSplit/>
        </w:trPr>
        <w:tc>
          <w:tcPr>
            <w:tcW w:w="0" w:type="auto"/>
          </w:tcPr>
          <w:p w14:paraId="73149CCD" w14:textId="77777777" w:rsidR="00DE6CD0" w:rsidRPr="00C65C2E" w:rsidRDefault="00DE6CD0" w:rsidP="00DE6CD0">
            <w:pPr>
              <w:tabs>
                <w:tab w:val="left" w:pos="4111"/>
              </w:tabs>
              <w:spacing w:before="10"/>
              <w:ind w:left="57"/>
              <w:rPr>
                <w:rFonts w:cstheme="minorHAnsi"/>
                <w:b/>
                <w:bCs/>
                <w:sz w:val="22"/>
                <w:szCs w:val="22"/>
              </w:rPr>
            </w:pPr>
            <w:proofErr w:type="gramStart"/>
            <w:r w:rsidRPr="00C65C2E">
              <w:rPr>
                <w:rFonts w:cstheme="minorHAnsi"/>
                <w:b/>
                <w:bCs/>
                <w:sz w:val="22"/>
                <w:szCs w:val="22"/>
              </w:rPr>
              <w:t>Tél.:</w:t>
            </w:r>
            <w:proofErr w:type="gramEnd"/>
          </w:p>
        </w:tc>
        <w:tc>
          <w:tcPr>
            <w:tcW w:w="2800" w:type="dxa"/>
          </w:tcPr>
          <w:p w14:paraId="78D06186" w14:textId="5DE0048F" w:rsidR="00DE6CD0" w:rsidRPr="00C65C2E" w:rsidRDefault="00DE6CD0" w:rsidP="00DE6CD0">
            <w:pPr>
              <w:tabs>
                <w:tab w:val="left" w:pos="4111"/>
              </w:tabs>
              <w:spacing w:before="0"/>
              <w:ind w:left="57"/>
              <w:rPr>
                <w:rFonts w:cstheme="minorHAnsi"/>
                <w:sz w:val="22"/>
                <w:szCs w:val="22"/>
              </w:rPr>
            </w:pPr>
            <w:r w:rsidRPr="00C65C2E">
              <w:rPr>
                <w:rFonts w:cstheme="minorHAnsi"/>
                <w:sz w:val="22"/>
                <w:szCs w:val="22"/>
              </w:rPr>
              <w:t>+41 22 730 6311</w:t>
            </w:r>
          </w:p>
        </w:tc>
        <w:tc>
          <w:tcPr>
            <w:tcW w:w="5650" w:type="dxa"/>
            <w:vMerge/>
          </w:tcPr>
          <w:p w14:paraId="6D3A5806" w14:textId="77777777" w:rsidR="00DE6CD0" w:rsidRPr="00C65C2E" w:rsidRDefault="00DE6CD0" w:rsidP="00DE6CD0">
            <w:pPr>
              <w:tabs>
                <w:tab w:val="left" w:pos="226"/>
                <w:tab w:val="left" w:pos="4111"/>
              </w:tabs>
              <w:spacing w:before="0"/>
              <w:ind w:left="226" w:hanging="226"/>
              <w:rPr>
                <w:rFonts w:cstheme="minorHAnsi"/>
                <w:b/>
                <w:sz w:val="22"/>
                <w:szCs w:val="22"/>
              </w:rPr>
            </w:pPr>
          </w:p>
        </w:tc>
      </w:tr>
      <w:tr w:rsidR="00DE6CD0" w:rsidRPr="00C65C2E" w14:paraId="6BBF870E" w14:textId="77777777" w:rsidTr="00DE6CD0">
        <w:trPr>
          <w:cantSplit/>
        </w:trPr>
        <w:tc>
          <w:tcPr>
            <w:tcW w:w="0" w:type="auto"/>
          </w:tcPr>
          <w:p w14:paraId="4D05F508" w14:textId="786A2CC1" w:rsidR="00DE6CD0" w:rsidRPr="00C65C2E" w:rsidRDefault="00DE6CD0" w:rsidP="00DE6CD0">
            <w:pPr>
              <w:tabs>
                <w:tab w:val="left" w:pos="4111"/>
              </w:tabs>
              <w:spacing w:before="10"/>
              <w:ind w:left="57"/>
              <w:rPr>
                <w:rFonts w:cstheme="minorHAnsi"/>
                <w:b/>
                <w:bCs/>
                <w:sz w:val="22"/>
                <w:szCs w:val="22"/>
              </w:rPr>
            </w:pPr>
            <w:proofErr w:type="gramStart"/>
            <w:r w:rsidRPr="00C65C2E">
              <w:rPr>
                <w:rFonts w:cstheme="minorHAnsi"/>
                <w:b/>
                <w:bCs/>
                <w:sz w:val="22"/>
                <w:szCs w:val="22"/>
              </w:rPr>
              <w:t>Télécopie:</w:t>
            </w:r>
            <w:proofErr w:type="gramEnd"/>
          </w:p>
        </w:tc>
        <w:tc>
          <w:tcPr>
            <w:tcW w:w="2800" w:type="dxa"/>
          </w:tcPr>
          <w:p w14:paraId="78960D98" w14:textId="1709A5A3" w:rsidR="00DE6CD0" w:rsidRPr="00C65C2E" w:rsidRDefault="00DE6CD0" w:rsidP="00DE6CD0">
            <w:pPr>
              <w:tabs>
                <w:tab w:val="left" w:pos="4111"/>
              </w:tabs>
              <w:spacing w:before="0"/>
              <w:ind w:left="57"/>
              <w:rPr>
                <w:rFonts w:cstheme="minorHAnsi"/>
                <w:sz w:val="22"/>
                <w:szCs w:val="22"/>
              </w:rPr>
            </w:pPr>
            <w:r w:rsidRPr="00C65C2E">
              <w:rPr>
                <w:rFonts w:cstheme="minorHAnsi"/>
                <w:sz w:val="22"/>
                <w:szCs w:val="22"/>
              </w:rPr>
              <w:t>+41 22 730 5853</w:t>
            </w:r>
          </w:p>
        </w:tc>
        <w:tc>
          <w:tcPr>
            <w:tcW w:w="5650" w:type="dxa"/>
            <w:vMerge/>
          </w:tcPr>
          <w:p w14:paraId="2F946A52" w14:textId="77777777" w:rsidR="00DE6CD0" w:rsidRPr="00C65C2E" w:rsidRDefault="00DE6CD0" w:rsidP="00DE6CD0">
            <w:pPr>
              <w:tabs>
                <w:tab w:val="left" w:pos="226"/>
                <w:tab w:val="left" w:pos="4111"/>
              </w:tabs>
              <w:spacing w:before="0"/>
              <w:ind w:left="226" w:hanging="226"/>
              <w:rPr>
                <w:rFonts w:cstheme="minorHAnsi"/>
                <w:b/>
                <w:sz w:val="22"/>
                <w:szCs w:val="22"/>
              </w:rPr>
            </w:pPr>
          </w:p>
        </w:tc>
      </w:tr>
      <w:tr w:rsidR="00DE6CD0" w:rsidRPr="00C65C2E" w14:paraId="030F9AE5" w14:textId="77777777" w:rsidTr="00DE6CD0">
        <w:trPr>
          <w:cantSplit/>
          <w:trHeight w:val="1172"/>
        </w:trPr>
        <w:tc>
          <w:tcPr>
            <w:tcW w:w="0" w:type="auto"/>
            <w:vMerge w:val="restart"/>
            <w:tcBorders>
              <w:bottom w:val="nil"/>
            </w:tcBorders>
          </w:tcPr>
          <w:p w14:paraId="7B417C4C" w14:textId="379168FF" w:rsidR="00DE6CD0" w:rsidRPr="00C65C2E" w:rsidRDefault="00DE6CD0" w:rsidP="00A5280F">
            <w:pPr>
              <w:tabs>
                <w:tab w:val="left" w:pos="4111"/>
              </w:tabs>
              <w:spacing w:before="10"/>
              <w:ind w:left="57"/>
              <w:rPr>
                <w:rFonts w:cstheme="minorHAnsi"/>
                <w:b/>
                <w:bCs/>
                <w:sz w:val="22"/>
                <w:szCs w:val="22"/>
              </w:rPr>
            </w:pPr>
            <w:proofErr w:type="gramStart"/>
            <w:r w:rsidRPr="00C65C2E">
              <w:rPr>
                <w:rFonts w:cstheme="minorHAnsi"/>
                <w:b/>
                <w:bCs/>
                <w:sz w:val="22"/>
                <w:szCs w:val="22"/>
              </w:rPr>
              <w:t>Courriel:</w:t>
            </w:r>
            <w:proofErr w:type="gramEnd"/>
          </w:p>
        </w:tc>
        <w:tc>
          <w:tcPr>
            <w:tcW w:w="2800" w:type="dxa"/>
            <w:vMerge w:val="restart"/>
            <w:tcBorders>
              <w:bottom w:val="nil"/>
            </w:tcBorders>
          </w:tcPr>
          <w:p w14:paraId="1A4A5F7B" w14:textId="2819C128" w:rsidR="00DE6CD0" w:rsidRPr="00C65C2E" w:rsidRDefault="00AA1C36" w:rsidP="00A5280F">
            <w:pPr>
              <w:tabs>
                <w:tab w:val="left" w:pos="4111"/>
              </w:tabs>
              <w:spacing w:before="0"/>
              <w:ind w:left="57"/>
              <w:rPr>
                <w:rFonts w:cstheme="minorHAnsi"/>
                <w:sz w:val="22"/>
                <w:szCs w:val="22"/>
              </w:rPr>
            </w:pPr>
            <w:hyperlink r:id="rId9" w:history="1">
              <w:r w:rsidR="00DE6CD0" w:rsidRPr="00C65C2E">
                <w:rPr>
                  <w:rStyle w:val="Hyperlink"/>
                  <w:rFonts w:cstheme="minorHAnsi"/>
                  <w:sz w:val="22"/>
                  <w:szCs w:val="22"/>
                </w:rPr>
                <w:t>gss@itu.int</w:t>
              </w:r>
            </w:hyperlink>
          </w:p>
        </w:tc>
        <w:tc>
          <w:tcPr>
            <w:tcW w:w="5650" w:type="dxa"/>
            <w:vMerge/>
            <w:tcBorders>
              <w:bottom w:val="nil"/>
            </w:tcBorders>
          </w:tcPr>
          <w:p w14:paraId="323DAC81" w14:textId="77777777" w:rsidR="00DE6CD0" w:rsidRPr="00C65C2E" w:rsidRDefault="00DE6CD0" w:rsidP="00A5280F">
            <w:pPr>
              <w:tabs>
                <w:tab w:val="left" w:pos="226"/>
                <w:tab w:val="left" w:pos="4111"/>
              </w:tabs>
              <w:spacing w:before="0"/>
              <w:ind w:left="226" w:hanging="226"/>
              <w:rPr>
                <w:rFonts w:cstheme="minorHAnsi"/>
                <w:b/>
                <w:sz w:val="22"/>
                <w:szCs w:val="22"/>
              </w:rPr>
            </w:pPr>
          </w:p>
        </w:tc>
      </w:tr>
      <w:tr w:rsidR="00DE6CD0" w:rsidRPr="00C65C2E" w14:paraId="640FB6B9" w14:textId="77777777" w:rsidTr="00DE6CD0">
        <w:trPr>
          <w:cantSplit/>
        </w:trPr>
        <w:tc>
          <w:tcPr>
            <w:tcW w:w="0" w:type="auto"/>
            <w:vMerge/>
          </w:tcPr>
          <w:p w14:paraId="15527369" w14:textId="656A3C1F" w:rsidR="00DE6CD0" w:rsidRPr="00C65C2E" w:rsidRDefault="00DE6CD0" w:rsidP="00A5280F">
            <w:pPr>
              <w:tabs>
                <w:tab w:val="left" w:pos="4111"/>
              </w:tabs>
              <w:spacing w:before="10"/>
              <w:ind w:left="57"/>
              <w:rPr>
                <w:rFonts w:cstheme="minorHAnsi"/>
                <w:b/>
                <w:bCs/>
                <w:sz w:val="22"/>
                <w:szCs w:val="22"/>
              </w:rPr>
            </w:pPr>
          </w:p>
        </w:tc>
        <w:tc>
          <w:tcPr>
            <w:tcW w:w="2800" w:type="dxa"/>
            <w:vMerge/>
          </w:tcPr>
          <w:p w14:paraId="172249CE" w14:textId="310F0403" w:rsidR="00DE6CD0" w:rsidRPr="00C65C2E" w:rsidRDefault="00DE6CD0" w:rsidP="00A5280F">
            <w:pPr>
              <w:tabs>
                <w:tab w:val="left" w:pos="4111"/>
              </w:tabs>
              <w:spacing w:before="0"/>
              <w:ind w:left="57"/>
              <w:rPr>
                <w:rFonts w:cstheme="minorHAnsi"/>
                <w:sz w:val="22"/>
                <w:szCs w:val="22"/>
              </w:rPr>
            </w:pPr>
          </w:p>
        </w:tc>
        <w:tc>
          <w:tcPr>
            <w:tcW w:w="5650" w:type="dxa"/>
          </w:tcPr>
          <w:p w14:paraId="55E5D357" w14:textId="77777777" w:rsidR="00DE6CD0" w:rsidRPr="00C65C2E" w:rsidRDefault="00DE6CD0" w:rsidP="00307FB4">
            <w:pPr>
              <w:tabs>
                <w:tab w:val="clear" w:pos="794"/>
                <w:tab w:val="left" w:pos="226"/>
                <w:tab w:val="left" w:pos="4111"/>
              </w:tabs>
              <w:spacing w:before="0"/>
              <w:ind w:left="226" w:hanging="226"/>
              <w:rPr>
                <w:rFonts w:cstheme="minorHAnsi"/>
                <w:b/>
                <w:bCs/>
                <w:sz w:val="22"/>
                <w:szCs w:val="22"/>
              </w:rPr>
            </w:pPr>
            <w:proofErr w:type="gramStart"/>
            <w:r w:rsidRPr="00C65C2E">
              <w:rPr>
                <w:rFonts w:cstheme="minorHAnsi"/>
                <w:b/>
                <w:bCs/>
                <w:sz w:val="22"/>
                <w:szCs w:val="22"/>
              </w:rPr>
              <w:t>Copie:</w:t>
            </w:r>
            <w:proofErr w:type="gramEnd"/>
          </w:p>
          <w:p w14:paraId="6CE98CB1" w14:textId="00CB91EA" w:rsidR="00DE6CD0" w:rsidRPr="00C65C2E" w:rsidRDefault="00DE6CD0" w:rsidP="00307FB4">
            <w:pPr>
              <w:tabs>
                <w:tab w:val="clear" w:pos="794"/>
                <w:tab w:val="left" w:pos="4111"/>
              </w:tabs>
              <w:spacing w:before="0"/>
              <w:ind w:left="426" w:hanging="426"/>
              <w:rPr>
                <w:rFonts w:cstheme="minorHAnsi"/>
                <w:sz w:val="22"/>
                <w:szCs w:val="22"/>
              </w:rPr>
            </w:pPr>
            <w:r w:rsidRPr="00C65C2E">
              <w:rPr>
                <w:rFonts w:cstheme="minorHAnsi"/>
                <w:sz w:val="22"/>
                <w:szCs w:val="22"/>
              </w:rPr>
              <w:t>–</w:t>
            </w:r>
            <w:r w:rsidRPr="00C65C2E">
              <w:rPr>
                <w:rFonts w:cstheme="minorHAnsi"/>
                <w:sz w:val="22"/>
                <w:szCs w:val="22"/>
              </w:rPr>
              <w:tab/>
              <w:t>Aux présidents et vice-présidents des commissions d'études</w:t>
            </w:r>
            <w:r w:rsidRPr="00C65C2E">
              <w:rPr>
                <w:rFonts w:eastAsia="SimSun" w:cstheme="minorHAnsi"/>
                <w:sz w:val="22"/>
                <w:szCs w:val="22"/>
              </w:rPr>
              <w:t xml:space="preserve"> </w:t>
            </w:r>
            <w:r w:rsidRPr="00C65C2E">
              <w:rPr>
                <w:rFonts w:cstheme="minorHAnsi"/>
                <w:sz w:val="22"/>
                <w:szCs w:val="22"/>
              </w:rPr>
              <w:t xml:space="preserve">de l'UIT-T/du </w:t>
            </w:r>
            <w:proofErr w:type="gramStart"/>
            <w:r w:rsidRPr="00C65C2E">
              <w:rPr>
                <w:rFonts w:cstheme="minorHAnsi"/>
                <w:sz w:val="22"/>
                <w:szCs w:val="22"/>
              </w:rPr>
              <w:t>GCNT;</w:t>
            </w:r>
            <w:proofErr w:type="gramEnd"/>
          </w:p>
          <w:p w14:paraId="56C75C35" w14:textId="1A09D40C" w:rsidR="00DE6CD0" w:rsidRPr="00C65C2E" w:rsidRDefault="00DE6CD0" w:rsidP="00307FB4">
            <w:pPr>
              <w:tabs>
                <w:tab w:val="clear" w:pos="794"/>
                <w:tab w:val="left" w:pos="4111"/>
              </w:tabs>
              <w:spacing w:before="0"/>
              <w:ind w:left="426" w:hanging="426"/>
              <w:rPr>
                <w:rFonts w:cstheme="minorHAnsi"/>
                <w:sz w:val="22"/>
                <w:szCs w:val="22"/>
              </w:rPr>
            </w:pPr>
            <w:r w:rsidRPr="00C65C2E">
              <w:rPr>
                <w:rFonts w:cstheme="minorHAnsi"/>
                <w:sz w:val="22"/>
                <w:szCs w:val="22"/>
              </w:rPr>
              <w:t>–</w:t>
            </w:r>
            <w:r w:rsidRPr="00C65C2E">
              <w:rPr>
                <w:rFonts w:cstheme="minorHAnsi"/>
                <w:sz w:val="22"/>
                <w:szCs w:val="22"/>
              </w:rPr>
              <w:tab/>
              <w:t xml:space="preserve">Au Directeur du Bureau de développement des </w:t>
            </w:r>
            <w:proofErr w:type="gramStart"/>
            <w:r w:rsidRPr="00C65C2E">
              <w:rPr>
                <w:rFonts w:cstheme="minorHAnsi"/>
                <w:sz w:val="22"/>
                <w:szCs w:val="22"/>
              </w:rPr>
              <w:t>télécommunications;</w:t>
            </w:r>
            <w:proofErr w:type="gramEnd"/>
          </w:p>
          <w:p w14:paraId="19762254" w14:textId="061893F3" w:rsidR="00DE6CD0" w:rsidRPr="00C65C2E" w:rsidRDefault="00DE6CD0" w:rsidP="00307FB4">
            <w:pPr>
              <w:tabs>
                <w:tab w:val="clear" w:pos="794"/>
                <w:tab w:val="left" w:pos="4111"/>
              </w:tabs>
              <w:spacing w:before="0"/>
              <w:ind w:left="426" w:hanging="426"/>
              <w:rPr>
                <w:rFonts w:cstheme="minorHAnsi"/>
                <w:sz w:val="22"/>
                <w:szCs w:val="22"/>
              </w:rPr>
            </w:pPr>
            <w:r w:rsidRPr="00C65C2E">
              <w:rPr>
                <w:rFonts w:cstheme="minorHAnsi"/>
                <w:sz w:val="22"/>
                <w:szCs w:val="22"/>
              </w:rPr>
              <w:t>–</w:t>
            </w:r>
            <w:r w:rsidRPr="00C65C2E">
              <w:rPr>
                <w:rFonts w:cstheme="minorHAnsi"/>
                <w:sz w:val="22"/>
                <w:szCs w:val="22"/>
              </w:rPr>
              <w:tab/>
              <w:t>Au Directeur du Bureau des radiocommunications</w:t>
            </w:r>
          </w:p>
        </w:tc>
      </w:tr>
      <w:tr w:rsidR="00517A03" w:rsidRPr="00C65C2E" w14:paraId="5435C04A" w14:textId="77777777" w:rsidTr="00C41B89">
        <w:trPr>
          <w:cantSplit/>
          <w:trHeight w:val="397"/>
        </w:trPr>
        <w:tc>
          <w:tcPr>
            <w:tcW w:w="0" w:type="auto"/>
          </w:tcPr>
          <w:p w14:paraId="2A0B9B4F" w14:textId="77777777" w:rsidR="00517A03" w:rsidRPr="00C65C2E" w:rsidRDefault="00517A03" w:rsidP="00307FB4">
            <w:pPr>
              <w:tabs>
                <w:tab w:val="left" w:pos="4111"/>
              </w:tabs>
              <w:ind w:left="57"/>
              <w:rPr>
                <w:rFonts w:cstheme="minorHAnsi"/>
                <w:b/>
                <w:bCs/>
                <w:sz w:val="22"/>
                <w:szCs w:val="22"/>
              </w:rPr>
            </w:pPr>
            <w:proofErr w:type="gramStart"/>
            <w:r w:rsidRPr="00C65C2E">
              <w:rPr>
                <w:rFonts w:cstheme="minorHAnsi"/>
                <w:b/>
                <w:bCs/>
                <w:sz w:val="22"/>
                <w:szCs w:val="22"/>
              </w:rPr>
              <w:t>Objet:</w:t>
            </w:r>
            <w:proofErr w:type="gramEnd"/>
          </w:p>
        </w:tc>
        <w:tc>
          <w:tcPr>
            <w:tcW w:w="0" w:type="auto"/>
            <w:gridSpan w:val="2"/>
          </w:tcPr>
          <w:p w14:paraId="1A51EE75" w14:textId="10D3FC31" w:rsidR="00517A03" w:rsidRPr="00C65C2E" w:rsidRDefault="00DE6CD0" w:rsidP="0048088B">
            <w:pPr>
              <w:tabs>
                <w:tab w:val="left" w:pos="4111"/>
              </w:tabs>
              <w:spacing w:after="120"/>
              <w:ind w:left="57"/>
              <w:rPr>
                <w:rFonts w:cstheme="minorHAnsi"/>
                <w:b/>
                <w:bCs/>
                <w:sz w:val="22"/>
                <w:szCs w:val="22"/>
              </w:rPr>
            </w:pPr>
            <w:r w:rsidRPr="00C65C2E">
              <w:rPr>
                <w:rFonts w:cstheme="minorHAnsi"/>
                <w:b/>
                <w:bCs/>
                <w:sz w:val="22"/>
                <w:szCs w:val="22"/>
              </w:rPr>
              <w:t>Colloque mondial sur la normalisation (GSS-24</w:t>
            </w:r>
            <w:proofErr w:type="gramStart"/>
            <w:r w:rsidRPr="00C65C2E">
              <w:rPr>
                <w:rFonts w:cstheme="minorHAnsi"/>
                <w:b/>
                <w:bCs/>
                <w:sz w:val="22"/>
                <w:szCs w:val="22"/>
              </w:rPr>
              <w:t>):</w:t>
            </w:r>
            <w:proofErr w:type="gramEnd"/>
            <w:r w:rsidRPr="00C65C2E">
              <w:rPr>
                <w:rFonts w:cstheme="minorHAnsi"/>
                <w:b/>
                <w:bCs/>
                <w:sz w:val="22"/>
                <w:szCs w:val="22"/>
              </w:rPr>
              <w:t xml:space="preserve"> Anticiper la prochaine vague numérique: </w:t>
            </w:r>
            <w:r w:rsidR="007E01A3" w:rsidRPr="00C65C2E">
              <w:rPr>
                <w:rFonts w:cstheme="minorHAnsi"/>
                <w:b/>
                <w:bCs/>
                <w:sz w:val="22"/>
                <w:szCs w:val="22"/>
              </w:rPr>
              <w:t>t</w:t>
            </w:r>
            <w:r w:rsidRPr="00C65C2E">
              <w:rPr>
                <w:rFonts w:cstheme="minorHAnsi"/>
                <w:b/>
                <w:bCs/>
                <w:sz w:val="22"/>
                <w:szCs w:val="22"/>
              </w:rPr>
              <w:t>echnologies émergentes, innovation et normes internationales; New</w:t>
            </w:r>
            <w:r w:rsidR="007E01A3" w:rsidRPr="00C65C2E">
              <w:rPr>
                <w:rFonts w:cstheme="minorHAnsi"/>
                <w:b/>
                <w:bCs/>
                <w:sz w:val="22"/>
                <w:szCs w:val="22"/>
              </w:rPr>
              <w:t> </w:t>
            </w:r>
            <w:r w:rsidRPr="00C65C2E">
              <w:rPr>
                <w:rFonts w:cstheme="minorHAnsi"/>
                <w:b/>
                <w:bCs/>
                <w:sz w:val="22"/>
                <w:szCs w:val="22"/>
              </w:rPr>
              <w:t>Delhi (Inde), 14 octobre 2024</w:t>
            </w:r>
          </w:p>
        </w:tc>
      </w:tr>
    </w:tbl>
    <w:p w14:paraId="2D1EC328" w14:textId="77777777" w:rsidR="00517A03" w:rsidRPr="00C65C2E" w:rsidRDefault="00517A03" w:rsidP="00C65C2E">
      <w:pPr>
        <w:rPr>
          <w:rFonts w:cstheme="minorHAnsi"/>
          <w:sz w:val="22"/>
          <w:szCs w:val="22"/>
        </w:rPr>
      </w:pPr>
      <w:bookmarkStart w:id="1" w:name="StartTyping_F"/>
      <w:bookmarkEnd w:id="1"/>
      <w:r w:rsidRPr="00C65C2E">
        <w:rPr>
          <w:rFonts w:cstheme="minorHAnsi"/>
          <w:sz w:val="22"/>
          <w:szCs w:val="22"/>
        </w:rPr>
        <w:t>Madame, Monsieur,</w:t>
      </w:r>
    </w:p>
    <w:p w14:paraId="6A7C468C" w14:textId="700E47B7" w:rsidR="00DE6CD0" w:rsidRPr="00C65C2E" w:rsidRDefault="00DE6CD0" w:rsidP="00DE6CD0">
      <w:pPr>
        <w:rPr>
          <w:rFonts w:cstheme="minorHAnsi"/>
          <w:bCs/>
          <w:sz w:val="22"/>
          <w:szCs w:val="22"/>
        </w:rPr>
      </w:pPr>
      <w:r w:rsidRPr="00C65C2E">
        <w:rPr>
          <w:rFonts w:cstheme="minorHAnsi"/>
          <w:bCs/>
          <w:sz w:val="22"/>
          <w:szCs w:val="22"/>
        </w:rPr>
        <w:t>Dans sa Lettre circulaire N</w:t>
      </w:r>
      <w:r w:rsidR="007E01A3" w:rsidRPr="00C65C2E">
        <w:rPr>
          <w:rFonts w:cstheme="minorHAnsi"/>
          <w:bCs/>
          <w:sz w:val="22"/>
          <w:szCs w:val="22"/>
        </w:rPr>
        <w:t>°</w:t>
      </w:r>
      <w:r w:rsidRPr="00C65C2E">
        <w:rPr>
          <w:rFonts w:cstheme="minorHAnsi"/>
          <w:bCs/>
          <w:sz w:val="22"/>
          <w:szCs w:val="22"/>
        </w:rPr>
        <w:t xml:space="preserve"> </w:t>
      </w:r>
      <w:hyperlink r:id="rId10">
        <w:r w:rsidRPr="00C65C2E">
          <w:rPr>
            <w:rStyle w:val="Hyperlink"/>
            <w:rFonts w:cstheme="minorHAnsi"/>
            <w:bCs/>
            <w:sz w:val="22"/>
            <w:szCs w:val="22"/>
          </w:rPr>
          <w:t>23/42</w:t>
        </w:r>
      </w:hyperlink>
      <w:r w:rsidRPr="00C65C2E">
        <w:rPr>
          <w:rFonts w:cstheme="minorHAnsi"/>
          <w:bCs/>
          <w:sz w:val="22"/>
          <w:szCs w:val="22"/>
          <w:u w:val="single"/>
        </w:rPr>
        <w:t>,</w:t>
      </w:r>
      <w:r w:rsidRPr="00C65C2E">
        <w:rPr>
          <w:rFonts w:cstheme="minorHAnsi"/>
          <w:bCs/>
          <w:sz w:val="22"/>
          <w:szCs w:val="22"/>
        </w:rPr>
        <w:t xml:space="preserve"> et dans les lettres </w:t>
      </w:r>
      <w:hyperlink r:id="rId11">
        <w:r w:rsidRPr="00C65C2E">
          <w:rPr>
            <w:rStyle w:val="Hyperlink"/>
            <w:rFonts w:cstheme="minorHAnsi"/>
            <w:bCs/>
            <w:sz w:val="22"/>
            <w:szCs w:val="22"/>
          </w:rPr>
          <w:t>DM-23/1013</w:t>
        </w:r>
      </w:hyperlink>
      <w:r w:rsidRPr="00C65C2E">
        <w:rPr>
          <w:rFonts w:cstheme="minorHAnsi"/>
          <w:bCs/>
          <w:sz w:val="22"/>
          <w:szCs w:val="22"/>
        </w:rPr>
        <w:t xml:space="preserve">, </w:t>
      </w:r>
      <w:hyperlink r:id="rId12">
        <w:r w:rsidRPr="00C65C2E">
          <w:rPr>
            <w:rStyle w:val="Hyperlink"/>
            <w:rFonts w:cstheme="minorHAnsi"/>
            <w:bCs/>
            <w:sz w:val="22"/>
            <w:szCs w:val="22"/>
          </w:rPr>
          <w:t>DM-23/1014</w:t>
        </w:r>
      </w:hyperlink>
      <w:r w:rsidRPr="00C65C2E">
        <w:rPr>
          <w:rFonts w:cstheme="minorHAnsi"/>
          <w:bCs/>
          <w:sz w:val="22"/>
          <w:szCs w:val="22"/>
        </w:rPr>
        <w:t xml:space="preserve"> et </w:t>
      </w:r>
      <w:hyperlink r:id="rId13">
        <w:r w:rsidRPr="00C65C2E">
          <w:rPr>
            <w:rStyle w:val="Hyperlink"/>
            <w:rFonts w:cstheme="minorHAnsi"/>
            <w:bCs/>
            <w:sz w:val="22"/>
            <w:szCs w:val="22"/>
          </w:rPr>
          <w:t>DM-23/1015</w:t>
        </w:r>
      </w:hyperlink>
      <w:r w:rsidRPr="00C65C2E">
        <w:rPr>
          <w:rFonts w:cstheme="minorHAnsi"/>
          <w:bCs/>
          <w:sz w:val="22"/>
          <w:szCs w:val="22"/>
        </w:rPr>
        <w:t>, datées du 30 octobre 2023, la Secrétaire générale de l'Union internationale des télécommunications (UIT) a annoncé que le Colloque mondial sur la normalisation 2024 (GSS-24) se tiendrait à New Delhi (Inde) le 14 octobre 2024 et serait suivi de l'Assemblée mondiale de normalisation des télécommunications (AMNT-24), du 15 au 24 octobre 2024.</w:t>
      </w:r>
    </w:p>
    <w:p w14:paraId="3CAB45C5" w14:textId="13A38A06" w:rsidR="00DE6CD0" w:rsidRPr="00C65C2E" w:rsidRDefault="00DE6CD0" w:rsidP="00DE6CD0">
      <w:pPr>
        <w:rPr>
          <w:rFonts w:cstheme="minorHAnsi"/>
          <w:bCs/>
          <w:sz w:val="22"/>
          <w:szCs w:val="22"/>
        </w:rPr>
      </w:pPr>
      <w:r w:rsidRPr="00C65C2E">
        <w:rPr>
          <w:rFonts w:cstheme="minorHAnsi"/>
          <w:bCs/>
          <w:sz w:val="22"/>
          <w:szCs w:val="22"/>
        </w:rPr>
        <w:t xml:space="preserve">J'ai l'honneur d'inviter les membres de l'UIT et les entités </w:t>
      </w:r>
      <w:proofErr w:type="gramStart"/>
      <w:r w:rsidRPr="00C65C2E">
        <w:rPr>
          <w:rFonts w:cstheme="minorHAnsi"/>
          <w:bCs/>
          <w:sz w:val="22"/>
          <w:szCs w:val="22"/>
        </w:rPr>
        <w:t>non membres</w:t>
      </w:r>
      <w:proofErr w:type="gramEnd"/>
      <w:r w:rsidRPr="00C65C2E">
        <w:rPr>
          <w:rFonts w:cstheme="minorHAnsi"/>
          <w:bCs/>
          <w:sz w:val="22"/>
          <w:szCs w:val="22"/>
        </w:rPr>
        <w:t xml:space="preserve"> à participer au GSS-24, qui se tiendra au même endroit que l'AMNT-24, à savoir au Centre de congrès Bharat Mandapam de Pragati Maidan, à New Delhi (Inde). Le GSS-24 offrira un cadre de discussion et de coordination de haut niveau sur le thème </w:t>
      </w:r>
      <w:r w:rsidR="007E01A3" w:rsidRPr="00C65C2E">
        <w:rPr>
          <w:rFonts w:cstheme="minorHAnsi"/>
          <w:bCs/>
          <w:sz w:val="22"/>
          <w:szCs w:val="22"/>
        </w:rPr>
        <w:t>"</w:t>
      </w:r>
      <w:r w:rsidRPr="00C65C2E">
        <w:rPr>
          <w:rFonts w:cstheme="minorHAnsi"/>
          <w:bCs/>
          <w:sz w:val="22"/>
          <w:szCs w:val="22"/>
        </w:rPr>
        <w:t xml:space="preserve">Anticiper la prochaine vague </w:t>
      </w:r>
      <w:proofErr w:type="gramStart"/>
      <w:r w:rsidRPr="00C65C2E">
        <w:rPr>
          <w:rFonts w:cstheme="minorHAnsi"/>
          <w:bCs/>
          <w:sz w:val="22"/>
          <w:szCs w:val="22"/>
        </w:rPr>
        <w:t>numérique:</w:t>
      </w:r>
      <w:proofErr w:type="gramEnd"/>
      <w:r w:rsidRPr="00C65C2E">
        <w:rPr>
          <w:rFonts w:cstheme="minorHAnsi"/>
          <w:bCs/>
          <w:sz w:val="22"/>
          <w:szCs w:val="22"/>
        </w:rPr>
        <w:t xml:space="preserve"> </w:t>
      </w:r>
      <w:r w:rsidR="007E01A3" w:rsidRPr="00C65C2E">
        <w:rPr>
          <w:rFonts w:cstheme="minorHAnsi"/>
          <w:bCs/>
          <w:sz w:val="22"/>
          <w:szCs w:val="22"/>
        </w:rPr>
        <w:t>t</w:t>
      </w:r>
      <w:r w:rsidRPr="00C65C2E">
        <w:rPr>
          <w:rFonts w:cstheme="minorHAnsi"/>
          <w:bCs/>
          <w:sz w:val="22"/>
          <w:szCs w:val="22"/>
        </w:rPr>
        <w:t>echnologies émergentes, innovation et normes internationales</w:t>
      </w:r>
      <w:r w:rsidR="007E01A3" w:rsidRPr="00C65C2E">
        <w:rPr>
          <w:rFonts w:cstheme="minorHAnsi"/>
          <w:bCs/>
          <w:sz w:val="22"/>
          <w:szCs w:val="22"/>
        </w:rPr>
        <w:t>"</w:t>
      </w:r>
      <w:r w:rsidRPr="00C65C2E">
        <w:rPr>
          <w:rFonts w:cstheme="minorHAnsi"/>
          <w:bCs/>
          <w:sz w:val="22"/>
          <w:szCs w:val="22"/>
        </w:rPr>
        <w:t>.</w:t>
      </w:r>
    </w:p>
    <w:p w14:paraId="11A07966" w14:textId="79E6C2CC" w:rsidR="00DE6CD0" w:rsidRPr="00C65C2E" w:rsidRDefault="00DE6CD0" w:rsidP="00DE6CD0">
      <w:pPr>
        <w:rPr>
          <w:rFonts w:cstheme="minorHAnsi"/>
          <w:bCs/>
          <w:sz w:val="22"/>
          <w:szCs w:val="22"/>
        </w:rPr>
      </w:pPr>
      <w:r w:rsidRPr="00C65C2E">
        <w:rPr>
          <w:rFonts w:cstheme="minorHAnsi"/>
          <w:bCs/>
          <w:sz w:val="22"/>
          <w:szCs w:val="22"/>
        </w:rPr>
        <w:t xml:space="preserve">Un segment de haut niveau sur le thème </w:t>
      </w:r>
      <w:r w:rsidR="007E01A3" w:rsidRPr="00C65C2E">
        <w:rPr>
          <w:rFonts w:cstheme="minorHAnsi"/>
          <w:bCs/>
          <w:sz w:val="22"/>
          <w:szCs w:val="22"/>
        </w:rPr>
        <w:t>"</w:t>
      </w:r>
      <w:r w:rsidRPr="00C65C2E">
        <w:rPr>
          <w:rFonts w:cstheme="minorHAnsi"/>
          <w:bCs/>
          <w:sz w:val="22"/>
          <w:szCs w:val="22"/>
        </w:rPr>
        <w:t xml:space="preserve">Catalyser le </w:t>
      </w:r>
      <w:proofErr w:type="gramStart"/>
      <w:r w:rsidRPr="00C65C2E">
        <w:rPr>
          <w:rFonts w:cstheme="minorHAnsi"/>
          <w:bCs/>
          <w:sz w:val="22"/>
          <w:szCs w:val="22"/>
        </w:rPr>
        <w:t>changement:</w:t>
      </w:r>
      <w:proofErr w:type="gramEnd"/>
      <w:r w:rsidRPr="00C65C2E">
        <w:rPr>
          <w:rFonts w:cstheme="minorHAnsi"/>
          <w:bCs/>
          <w:sz w:val="22"/>
          <w:szCs w:val="22"/>
        </w:rPr>
        <w:t xml:space="preserve"> des chefs d'entreprise et des responsables ministériels pour façonner l'avenir de l'innovation</w:t>
      </w:r>
      <w:r w:rsidR="007E01A3" w:rsidRPr="00C65C2E">
        <w:rPr>
          <w:rFonts w:cstheme="minorHAnsi"/>
          <w:bCs/>
          <w:sz w:val="22"/>
          <w:szCs w:val="22"/>
        </w:rPr>
        <w:t>"</w:t>
      </w:r>
      <w:r w:rsidRPr="00C65C2E">
        <w:rPr>
          <w:rFonts w:cstheme="minorHAnsi"/>
          <w:bCs/>
          <w:sz w:val="22"/>
          <w:szCs w:val="22"/>
        </w:rPr>
        <w:t xml:space="preserve"> aura lieu de 11</w:t>
      </w:r>
      <w:r w:rsidR="007E01A3" w:rsidRPr="00C65C2E">
        <w:rPr>
          <w:rFonts w:cstheme="minorHAnsi"/>
          <w:bCs/>
          <w:sz w:val="22"/>
          <w:szCs w:val="22"/>
        </w:rPr>
        <w:t xml:space="preserve"> </w:t>
      </w:r>
      <w:r w:rsidRPr="00C65C2E">
        <w:rPr>
          <w:rFonts w:cstheme="minorHAnsi"/>
          <w:bCs/>
          <w:sz w:val="22"/>
          <w:szCs w:val="22"/>
        </w:rPr>
        <w:t>h</w:t>
      </w:r>
      <w:r w:rsidR="007E01A3" w:rsidRPr="00C65C2E">
        <w:rPr>
          <w:rFonts w:cstheme="minorHAnsi"/>
          <w:bCs/>
          <w:sz w:val="22"/>
          <w:szCs w:val="22"/>
        </w:rPr>
        <w:t xml:space="preserve"> </w:t>
      </w:r>
      <w:r w:rsidRPr="00C65C2E">
        <w:rPr>
          <w:rFonts w:cstheme="minorHAnsi"/>
          <w:bCs/>
          <w:sz w:val="22"/>
          <w:szCs w:val="22"/>
        </w:rPr>
        <w:t>30 à 13</w:t>
      </w:r>
      <w:r w:rsidR="007E01A3" w:rsidRPr="00C65C2E">
        <w:rPr>
          <w:rFonts w:cstheme="minorHAnsi"/>
          <w:bCs/>
          <w:sz w:val="22"/>
          <w:szCs w:val="22"/>
        </w:rPr>
        <w:t> </w:t>
      </w:r>
      <w:r w:rsidRPr="00C65C2E">
        <w:rPr>
          <w:rFonts w:cstheme="minorHAnsi"/>
          <w:bCs/>
          <w:sz w:val="22"/>
          <w:szCs w:val="22"/>
        </w:rPr>
        <w:t>heures</w:t>
      </w:r>
      <w:r w:rsidR="007E01A3" w:rsidRPr="00C65C2E">
        <w:rPr>
          <w:rFonts w:cstheme="minorHAnsi"/>
          <w:bCs/>
          <w:sz w:val="22"/>
          <w:szCs w:val="22"/>
        </w:rPr>
        <w:t> </w:t>
      </w:r>
      <w:r w:rsidRPr="00C65C2E">
        <w:rPr>
          <w:rFonts w:cstheme="minorHAnsi"/>
          <w:bCs/>
          <w:sz w:val="22"/>
          <w:szCs w:val="22"/>
        </w:rPr>
        <w:t>IST, le 14 octobre 2024. Ce segment de haut niveau réunira des ministres, des P.-D. G., des maires et des recteurs universitaires qui mèneront un dialogue unique sur l'innovation des écosystèmes, l'harmonisation des approches réglementaires et l'exploitation des technologies émergentes, notamment l'intelligence artificielle, les métavers et l'informatique quantique.</w:t>
      </w:r>
    </w:p>
    <w:p w14:paraId="545E07EF" w14:textId="29CD8C05" w:rsidR="00DE6CD0" w:rsidRPr="00C65C2E" w:rsidRDefault="00DE6CD0" w:rsidP="00DE6CD0">
      <w:pPr>
        <w:rPr>
          <w:rFonts w:cstheme="minorHAnsi"/>
          <w:bCs/>
          <w:sz w:val="22"/>
          <w:szCs w:val="22"/>
        </w:rPr>
      </w:pPr>
      <w:r w:rsidRPr="00C65C2E">
        <w:rPr>
          <w:rFonts w:cstheme="minorHAnsi"/>
          <w:bCs/>
          <w:sz w:val="22"/>
          <w:szCs w:val="22"/>
        </w:rPr>
        <w:t xml:space="preserve">De plus amples informations sur le GSS-24, y compris le projet de programme, sont disponibles sur le </w:t>
      </w:r>
      <w:r w:rsidRPr="00C65C2E">
        <w:rPr>
          <w:rStyle w:val="Hyperlink"/>
          <w:rFonts w:cstheme="minorHAnsi"/>
          <w:sz w:val="22"/>
          <w:szCs w:val="22"/>
        </w:rPr>
        <w:t xml:space="preserve">site </w:t>
      </w:r>
      <w:hyperlink r:id="rId14" w:history="1">
        <w:r w:rsidR="0015354B" w:rsidRPr="00C65C2E">
          <w:rPr>
            <w:rStyle w:val="Hyperlink"/>
            <w:rFonts w:cstheme="minorHAnsi"/>
            <w:bCs/>
            <w:sz w:val="22"/>
            <w:szCs w:val="22"/>
          </w:rPr>
          <w:t>w</w:t>
        </w:r>
        <w:r w:rsidRPr="00C65C2E">
          <w:rPr>
            <w:rStyle w:val="Hyperlink"/>
            <w:rFonts w:cstheme="minorHAnsi"/>
            <w:bCs/>
            <w:sz w:val="22"/>
            <w:szCs w:val="22"/>
          </w:rPr>
          <w:t>eb du GSS</w:t>
        </w:r>
      </w:hyperlink>
      <w:r w:rsidRPr="00C65C2E">
        <w:rPr>
          <w:rFonts w:cstheme="minorHAnsi"/>
          <w:bCs/>
          <w:sz w:val="22"/>
          <w:szCs w:val="22"/>
        </w:rPr>
        <w:t>.</w:t>
      </w:r>
    </w:p>
    <w:p w14:paraId="36633969" w14:textId="77777777" w:rsidR="00DE6CD0" w:rsidRPr="00C65C2E" w:rsidRDefault="00DE6CD0" w:rsidP="00DE6CD0">
      <w:pPr>
        <w:rPr>
          <w:rFonts w:cstheme="minorHAnsi"/>
          <w:bCs/>
          <w:sz w:val="22"/>
          <w:szCs w:val="22"/>
        </w:rPr>
      </w:pPr>
      <w:r w:rsidRPr="00C65C2E">
        <w:rPr>
          <w:rFonts w:cstheme="minorHAnsi"/>
          <w:bCs/>
          <w:sz w:val="22"/>
          <w:szCs w:val="22"/>
        </w:rPr>
        <w:t>Veuillez noter que le Congrès indien sur la téléphonie mobile de 2024, organisé conjointement par le gouvernement indien et l'Association des opérateurs cellulaires de l'Inde, se tiendra au même endroit (Pragati Maidan, New Delhi) à compter du 15 octobre 2024.</w:t>
      </w:r>
    </w:p>
    <w:p w14:paraId="179E45F7" w14:textId="2A60C4A9" w:rsidR="00DE6CD0" w:rsidRPr="00C65C2E" w:rsidRDefault="00DE6CD0" w:rsidP="00DE6CD0">
      <w:pPr>
        <w:rPr>
          <w:rFonts w:cstheme="minorHAnsi"/>
          <w:bCs/>
          <w:sz w:val="22"/>
          <w:szCs w:val="22"/>
        </w:rPr>
      </w:pPr>
      <w:r w:rsidRPr="00C65C2E">
        <w:rPr>
          <w:rFonts w:cstheme="minorHAnsi"/>
          <w:bCs/>
          <w:sz w:val="22"/>
          <w:szCs w:val="22"/>
        </w:rPr>
        <w:lastRenderedPageBreak/>
        <w:t xml:space="preserve">L'inscription est obligatoire pour tous les participants souhaitant prendre part aux discussions en personne ou à distance et se fera exclusivement en ligne. Les participants représentant les </w:t>
      </w:r>
      <w:r w:rsidR="0015354B" w:rsidRPr="00C65C2E">
        <w:rPr>
          <w:rFonts w:cstheme="minorHAnsi"/>
          <w:bCs/>
          <w:sz w:val="22"/>
          <w:szCs w:val="22"/>
        </w:rPr>
        <w:t>m</w:t>
      </w:r>
      <w:r w:rsidRPr="00C65C2E">
        <w:rPr>
          <w:rFonts w:cstheme="minorHAnsi"/>
          <w:bCs/>
          <w:sz w:val="22"/>
          <w:szCs w:val="22"/>
        </w:rPr>
        <w:t xml:space="preserve">embres de l'UIT sont priés de s'inscrire sur le </w:t>
      </w:r>
      <w:hyperlink r:id="rId15" w:anchor="/fr" w:history="1">
        <w:r w:rsidR="0015354B" w:rsidRPr="00C65C2E">
          <w:rPr>
            <w:rStyle w:val="Hyperlink"/>
            <w:rFonts w:cstheme="minorHAnsi"/>
            <w:bCs/>
            <w:sz w:val="22"/>
            <w:szCs w:val="22"/>
          </w:rPr>
          <w:t>s</w:t>
        </w:r>
        <w:r w:rsidRPr="00C65C2E">
          <w:rPr>
            <w:rStyle w:val="Hyperlink"/>
            <w:rFonts w:cstheme="minorHAnsi"/>
            <w:bCs/>
            <w:sz w:val="22"/>
            <w:szCs w:val="22"/>
          </w:rPr>
          <w:t>ite web consacré aux inscriptions à l'AMNT-24</w:t>
        </w:r>
      </w:hyperlink>
      <w:r w:rsidRPr="00C65C2E">
        <w:rPr>
          <w:rFonts w:cstheme="minorHAnsi"/>
          <w:bCs/>
          <w:sz w:val="22"/>
          <w:szCs w:val="22"/>
        </w:rPr>
        <w:t xml:space="preserve"> et ceux représentant des entités non membres sont invités à s'inscrire à l'adresse </w:t>
      </w:r>
      <w:proofErr w:type="gramStart"/>
      <w:r w:rsidRPr="00C65C2E">
        <w:rPr>
          <w:rFonts w:cstheme="minorHAnsi"/>
          <w:bCs/>
          <w:sz w:val="22"/>
          <w:szCs w:val="22"/>
        </w:rPr>
        <w:t>suivante:</w:t>
      </w:r>
      <w:proofErr w:type="gramEnd"/>
      <w:r w:rsidRPr="00C65C2E">
        <w:rPr>
          <w:rFonts w:cstheme="minorHAnsi"/>
          <w:bCs/>
          <w:sz w:val="22"/>
          <w:szCs w:val="22"/>
        </w:rPr>
        <w:t xml:space="preserve"> </w:t>
      </w:r>
      <w:hyperlink r:id="rId16" w:history="1">
        <w:r w:rsidRPr="00C65C2E">
          <w:rPr>
            <w:rStyle w:val="Hyperlink"/>
            <w:rFonts w:cstheme="minorHAnsi"/>
            <w:bCs/>
            <w:sz w:val="22"/>
            <w:szCs w:val="22"/>
          </w:rPr>
          <w:t>https://www.itu.int/net4/CRM/xreg/web/Registration.aspx?Event=C-00013545</w:t>
        </w:r>
      </w:hyperlink>
      <w:r w:rsidRPr="00C65C2E">
        <w:rPr>
          <w:rFonts w:cstheme="minorHAnsi"/>
          <w:bCs/>
          <w:sz w:val="22"/>
          <w:szCs w:val="22"/>
        </w:rPr>
        <w:t>.</w:t>
      </w:r>
    </w:p>
    <w:p w14:paraId="2DEEDFE3" w14:textId="4CF434BE" w:rsidR="00DE6CD0" w:rsidRPr="00C65C2E" w:rsidRDefault="00DE6CD0" w:rsidP="00DE6CD0">
      <w:pPr>
        <w:rPr>
          <w:rFonts w:cstheme="minorHAnsi"/>
          <w:bCs/>
          <w:sz w:val="22"/>
          <w:szCs w:val="22"/>
        </w:rPr>
      </w:pPr>
      <w:r w:rsidRPr="00C65C2E">
        <w:rPr>
          <w:rFonts w:cstheme="minorHAnsi"/>
          <w:bCs/>
          <w:sz w:val="22"/>
          <w:szCs w:val="22"/>
        </w:rPr>
        <w:t xml:space="preserve">Le site web de l'AMNT-24 contient également des </w:t>
      </w:r>
      <w:hyperlink r:id="rId17" w:anchor="/fr" w:history="1">
        <w:r w:rsidRPr="00C65C2E">
          <w:rPr>
            <w:rStyle w:val="Hyperlink"/>
            <w:rFonts w:cstheme="minorHAnsi"/>
            <w:bCs/>
            <w:sz w:val="22"/>
            <w:szCs w:val="22"/>
          </w:rPr>
          <w:t>informations pratiques</w:t>
        </w:r>
      </w:hyperlink>
      <w:r w:rsidRPr="00C65C2E">
        <w:rPr>
          <w:rFonts w:cstheme="minorHAnsi"/>
          <w:bCs/>
          <w:sz w:val="22"/>
          <w:szCs w:val="22"/>
        </w:rPr>
        <w:t xml:space="preserve"> sur la manifestation, y compris en ce qui concerne les formalités de visa et les détails concernant l'hébergement.</w:t>
      </w:r>
    </w:p>
    <w:p w14:paraId="400FC20F" w14:textId="4F984D6A" w:rsidR="00DE6CD0" w:rsidRPr="00C65C2E" w:rsidRDefault="00DE6CD0" w:rsidP="00DE6CD0">
      <w:pPr>
        <w:rPr>
          <w:rFonts w:cstheme="minorHAnsi"/>
          <w:bCs/>
          <w:sz w:val="22"/>
          <w:szCs w:val="22"/>
        </w:rPr>
      </w:pPr>
      <w:r w:rsidRPr="00C65C2E">
        <w:rPr>
          <w:rFonts w:cstheme="minorHAnsi"/>
          <w:bCs/>
          <w:sz w:val="22"/>
          <w:szCs w:val="22"/>
        </w:rPr>
        <w:t>Des informations générales à l'intention des participants concernant les visas, les voyages et les mesures de sécurité et de sûreté en vigueur à compter du 26 février 2024 sont disponibles dans l'</w:t>
      </w:r>
      <w:r w:rsidRPr="00C65C2E">
        <w:rPr>
          <w:rFonts w:cstheme="minorHAnsi"/>
          <w:b/>
          <w:bCs/>
          <w:sz w:val="22"/>
          <w:szCs w:val="22"/>
        </w:rPr>
        <w:t>Annexe 1</w:t>
      </w:r>
      <w:r w:rsidRPr="00C65C2E">
        <w:rPr>
          <w:rFonts w:cstheme="minorHAnsi"/>
          <w:bCs/>
          <w:sz w:val="22"/>
          <w:szCs w:val="22"/>
        </w:rPr>
        <w:t>.</w:t>
      </w:r>
    </w:p>
    <w:p w14:paraId="379494F0" w14:textId="77777777" w:rsidR="00DE6CD0" w:rsidRPr="00C65C2E" w:rsidRDefault="00DE6CD0" w:rsidP="00DE6CD0">
      <w:pPr>
        <w:rPr>
          <w:rFonts w:cstheme="minorHAnsi"/>
          <w:bCs/>
          <w:sz w:val="22"/>
          <w:szCs w:val="22"/>
        </w:rPr>
      </w:pPr>
      <w:r w:rsidRPr="00C65C2E">
        <w:rPr>
          <w:rFonts w:cstheme="minorHAnsi"/>
          <w:bCs/>
          <w:sz w:val="22"/>
          <w:szCs w:val="22"/>
        </w:rPr>
        <w:t>Je me réjouis de vous accueillir à New Delhi.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2499"/>
      </w:tblGrid>
      <w:tr w:rsidR="00DE6CD0" w:rsidRPr="00C65C2E" w14:paraId="57F5D661" w14:textId="77777777" w:rsidTr="00986AD0">
        <w:trPr>
          <w:cantSplit/>
          <w:trHeight w:val="1249"/>
        </w:trPr>
        <w:tc>
          <w:tcPr>
            <w:tcW w:w="7230" w:type="dxa"/>
          </w:tcPr>
          <w:p w14:paraId="5A228CB5" w14:textId="16D95D6C" w:rsidR="00DE6CD0" w:rsidRPr="00C65C2E" w:rsidRDefault="00DE6CD0" w:rsidP="0015354B">
            <w:pPr>
              <w:ind w:left="-109"/>
              <w:rPr>
                <w:rFonts w:cstheme="minorHAnsi"/>
                <w:bCs/>
                <w:sz w:val="22"/>
                <w:szCs w:val="22"/>
              </w:rPr>
            </w:pPr>
            <w:r w:rsidRPr="00C65C2E">
              <w:rPr>
                <w:rFonts w:cstheme="minorHAnsi"/>
                <w:bCs/>
                <w:sz w:val="22"/>
                <w:szCs w:val="22"/>
              </w:rPr>
              <w:t>Je vous prie d'agréer, Madame, Monsieur, l'expression de ma considération distinguée.</w:t>
            </w:r>
          </w:p>
          <w:p w14:paraId="7A7CED91" w14:textId="2BE1B261" w:rsidR="00DE6CD0" w:rsidRPr="00C65C2E" w:rsidRDefault="00AA1C36" w:rsidP="00C65C2E">
            <w:pPr>
              <w:spacing w:before="840"/>
              <w:ind w:left="-108"/>
              <w:rPr>
                <w:rFonts w:cstheme="minorHAnsi"/>
                <w:bCs/>
                <w:sz w:val="22"/>
                <w:szCs w:val="22"/>
              </w:rPr>
            </w:pPr>
            <w:r>
              <w:rPr>
                <w:rFonts w:cstheme="minorHAnsi"/>
                <w:bCs/>
                <w:noProof/>
                <w:sz w:val="22"/>
                <w:szCs w:val="22"/>
              </w:rPr>
              <w:drawing>
                <wp:anchor distT="0" distB="0" distL="114300" distR="114300" simplePos="0" relativeHeight="251658240" behindDoc="1" locked="0" layoutInCell="1" allowOverlap="1" wp14:anchorId="5ECE47C8" wp14:editId="4EA2D72B">
                  <wp:simplePos x="0" y="0"/>
                  <wp:positionH relativeFrom="column">
                    <wp:posOffset>-64770</wp:posOffset>
                  </wp:positionH>
                  <wp:positionV relativeFrom="paragraph">
                    <wp:posOffset>52705</wp:posOffset>
                  </wp:positionV>
                  <wp:extent cx="609599" cy="457200"/>
                  <wp:effectExtent l="0" t="0" r="635" b="0"/>
                  <wp:wrapNone/>
                  <wp:docPr id="299745027"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45027" name="Picture 1" descr="A black and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09599" cy="457200"/>
                          </a:xfrm>
                          <a:prstGeom prst="rect">
                            <a:avLst/>
                          </a:prstGeom>
                        </pic:spPr>
                      </pic:pic>
                    </a:graphicData>
                  </a:graphic>
                  <wp14:sizeRelH relativeFrom="margin">
                    <wp14:pctWidth>0</wp14:pctWidth>
                  </wp14:sizeRelH>
                  <wp14:sizeRelV relativeFrom="margin">
                    <wp14:pctHeight>0</wp14:pctHeight>
                  </wp14:sizeRelV>
                </wp:anchor>
              </w:drawing>
            </w:r>
            <w:r w:rsidR="00DE6CD0" w:rsidRPr="00C65C2E">
              <w:rPr>
                <w:rFonts w:cstheme="minorHAnsi"/>
                <w:bCs/>
                <w:sz w:val="22"/>
                <w:szCs w:val="22"/>
              </w:rPr>
              <w:t xml:space="preserve">Seizo Onoe </w:t>
            </w:r>
            <w:r w:rsidR="00DE6CD0" w:rsidRPr="00C65C2E">
              <w:rPr>
                <w:rFonts w:cstheme="minorHAnsi"/>
                <w:bCs/>
                <w:sz w:val="22"/>
                <w:szCs w:val="22"/>
              </w:rPr>
              <w:br/>
              <w:t>Directeur du Bureau de la normalisation</w:t>
            </w:r>
            <w:r w:rsidR="0015354B" w:rsidRPr="00C65C2E">
              <w:rPr>
                <w:rFonts w:cstheme="minorHAnsi"/>
                <w:bCs/>
                <w:sz w:val="22"/>
                <w:szCs w:val="22"/>
              </w:rPr>
              <w:br/>
            </w:r>
            <w:r w:rsidR="00DE6CD0" w:rsidRPr="00C65C2E">
              <w:rPr>
                <w:rFonts w:cstheme="minorHAnsi"/>
                <w:bCs/>
                <w:sz w:val="22"/>
                <w:szCs w:val="22"/>
              </w:rPr>
              <w:t>des télécommunications</w:t>
            </w:r>
          </w:p>
        </w:tc>
        <w:tc>
          <w:tcPr>
            <w:tcW w:w="2499" w:type="dxa"/>
            <w:vAlign w:val="center"/>
          </w:tcPr>
          <w:p w14:paraId="25B2D082" w14:textId="77777777" w:rsidR="00DE6CD0" w:rsidRPr="00C65C2E" w:rsidRDefault="00DE6CD0" w:rsidP="00DE6CD0">
            <w:pPr>
              <w:rPr>
                <w:rFonts w:cstheme="minorHAnsi"/>
                <w:bCs/>
                <w:sz w:val="22"/>
                <w:szCs w:val="22"/>
              </w:rPr>
            </w:pPr>
            <w:r w:rsidRPr="00C65C2E">
              <w:rPr>
                <w:rFonts w:cstheme="minorHAnsi"/>
                <w:bCs/>
                <w:noProof/>
                <w:sz w:val="22"/>
                <w:szCs w:val="22"/>
              </w:rPr>
              <w:drawing>
                <wp:inline distT="0" distB="0" distL="0" distR="0" wp14:anchorId="0EB94442" wp14:editId="747C4814">
                  <wp:extent cx="1449705" cy="1449705"/>
                  <wp:effectExtent l="0" t="0" r="0" b="0"/>
                  <wp:docPr id="131213759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37592" name="Graphic 1312137592"/>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449705" cy="1449705"/>
                          </a:xfrm>
                          <a:prstGeom prst="rect">
                            <a:avLst/>
                          </a:prstGeom>
                        </pic:spPr>
                      </pic:pic>
                    </a:graphicData>
                  </a:graphic>
                </wp:inline>
              </w:drawing>
            </w:r>
          </w:p>
        </w:tc>
      </w:tr>
    </w:tbl>
    <w:p w14:paraId="601A1E45" w14:textId="77777777" w:rsidR="002937DB" w:rsidRPr="00447D23" w:rsidRDefault="002937DB">
      <w:pPr>
        <w:tabs>
          <w:tab w:val="clear" w:pos="794"/>
          <w:tab w:val="clear" w:pos="1191"/>
          <w:tab w:val="clear" w:pos="1588"/>
          <w:tab w:val="clear" w:pos="1985"/>
        </w:tabs>
        <w:overflowPunct/>
        <w:autoSpaceDE/>
        <w:autoSpaceDN/>
        <w:adjustRightInd/>
        <w:spacing w:before="0"/>
        <w:textAlignment w:val="auto"/>
        <w:rPr>
          <w:bCs/>
        </w:rPr>
      </w:pPr>
      <w:r w:rsidRPr="00447D23">
        <w:rPr>
          <w:bCs/>
        </w:rPr>
        <w:br w:type="page"/>
      </w:r>
    </w:p>
    <w:p w14:paraId="4DED0BCB" w14:textId="07297AB9" w:rsidR="00DE6CD0" w:rsidRPr="00447D23" w:rsidRDefault="00DE6CD0" w:rsidP="0015354B">
      <w:pPr>
        <w:pStyle w:val="Annex"/>
      </w:pPr>
      <w:r w:rsidRPr="00447D23">
        <w:lastRenderedPageBreak/>
        <w:t>ANNEXE 1</w:t>
      </w:r>
      <w:r w:rsidRPr="00447D23">
        <w:br/>
        <w:t>(</w:t>
      </w:r>
      <w:r w:rsidR="0015354B" w:rsidRPr="00447D23">
        <w:rPr>
          <w:caps w:val="0"/>
        </w:rPr>
        <w:t xml:space="preserve">de la </w:t>
      </w:r>
      <w:r w:rsidR="00447D23" w:rsidRPr="00447D23">
        <w:rPr>
          <w:caps w:val="0"/>
        </w:rPr>
        <w:t>C</w:t>
      </w:r>
      <w:r w:rsidR="0015354B" w:rsidRPr="00447D23">
        <w:rPr>
          <w:caps w:val="0"/>
        </w:rPr>
        <w:t xml:space="preserve">irculaire </w:t>
      </w:r>
      <w:r w:rsidRPr="00447D23">
        <w:t>TSB 178)</w:t>
      </w:r>
    </w:p>
    <w:p w14:paraId="19EA37ED" w14:textId="77777777" w:rsidR="00DE6CD0" w:rsidRPr="00447D23" w:rsidRDefault="00DE6CD0" w:rsidP="0015354B">
      <w:pPr>
        <w:pStyle w:val="AnnexTitle"/>
      </w:pPr>
      <w:r w:rsidRPr="00447D23">
        <w:t>Informations pour les participants sur les visas, les voyages et les mesures</w:t>
      </w:r>
      <w:r w:rsidRPr="00447D23">
        <w:br/>
        <w:t>en vigueur à New Delhi, Inde</w:t>
      </w:r>
    </w:p>
    <w:p w14:paraId="4970417C" w14:textId="77777777" w:rsidR="00DE6CD0" w:rsidRPr="00C65C2E" w:rsidRDefault="00DE6CD0" w:rsidP="0015354B">
      <w:pPr>
        <w:pStyle w:val="Heading2"/>
        <w:rPr>
          <w:sz w:val="22"/>
          <w:szCs w:val="18"/>
        </w:rPr>
      </w:pPr>
      <w:r w:rsidRPr="00447D23">
        <w:t>1.1</w:t>
      </w:r>
      <w:r w:rsidRPr="00447D23">
        <w:tab/>
      </w:r>
      <w:r w:rsidRPr="00C65C2E">
        <w:rPr>
          <w:sz w:val="22"/>
          <w:szCs w:val="18"/>
        </w:rPr>
        <w:t>Demande de visa</w:t>
      </w:r>
    </w:p>
    <w:p w14:paraId="728D0956" w14:textId="48505ACE" w:rsidR="00DE6CD0" w:rsidRPr="00C65C2E" w:rsidRDefault="0015354B" w:rsidP="0015354B">
      <w:pPr>
        <w:pStyle w:val="enumlev1"/>
        <w:rPr>
          <w:sz w:val="22"/>
          <w:szCs w:val="18"/>
        </w:rPr>
      </w:pPr>
      <w:r w:rsidRPr="00C65C2E">
        <w:rPr>
          <w:sz w:val="22"/>
          <w:szCs w:val="18"/>
        </w:rPr>
        <w:t>•</w:t>
      </w:r>
      <w:r w:rsidRPr="00C65C2E">
        <w:rPr>
          <w:sz w:val="22"/>
          <w:szCs w:val="18"/>
        </w:rPr>
        <w:tab/>
      </w:r>
      <w:r w:rsidR="00DE6CD0" w:rsidRPr="00C65C2E">
        <w:rPr>
          <w:sz w:val="22"/>
          <w:szCs w:val="18"/>
        </w:rPr>
        <w:t>Vérifiez les exigences en matière de visa: Bien que les ressortissants de plusieurs pays puissent entrer en Inde sans visa, d'autres doivent obtenir un visa. Nous vous recommandons de consulter le site officiel de l'Inde consacré aux visas (</w:t>
      </w:r>
      <w:hyperlink r:id="rId21" w:tgtFrame="_blank" w:history="1">
        <w:r w:rsidR="00DE6CD0" w:rsidRPr="00C65C2E">
          <w:rPr>
            <w:rStyle w:val="Hyperlink"/>
            <w:bCs/>
            <w:sz w:val="22"/>
            <w:szCs w:val="18"/>
          </w:rPr>
          <w:t>https://indianvisaonline.gov.in/visa/</w:t>
        </w:r>
      </w:hyperlink>
      <w:r w:rsidR="00DE6CD0" w:rsidRPr="00C65C2E">
        <w:rPr>
          <w:sz w:val="22"/>
          <w:szCs w:val="18"/>
        </w:rPr>
        <w:t>) pour déterminer les exigences applicables à votre situation.</w:t>
      </w:r>
    </w:p>
    <w:p w14:paraId="27AC1989" w14:textId="347FDBF0" w:rsidR="00DE6CD0" w:rsidRPr="00C65C2E" w:rsidRDefault="0015354B" w:rsidP="0015354B">
      <w:pPr>
        <w:pStyle w:val="enumlev1"/>
        <w:rPr>
          <w:sz w:val="22"/>
          <w:szCs w:val="18"/>
        </w:rPr>
      </w:pPr>
      <w:r w:rsidRPr="00C65C2E">
        <w:rPr>
          <w:sz w:val="22"/>
          <w:szCs w:val="18"/>
        </w:rPr>
        <w:t>•</w:t>
      </w:r>
      <w:r w:rsidRPr="00C65C2E">
        <w:rPr>
          <w:sz w:val="22"/>
          <w:szCs w:val="18"/>
        </w:rPr>
        <w:tab/>
      </w:r>
      <w:r w:rsidR="00DE6CD0" w:rsidRPr="00C65C2E">
        <w:rPr>
          <w:sz w:val="22"/>
          <w:szCs w:val="18"/>
        </w:rPr>
        <w:t>Soumettez votre demande de visa à l'avance: Pour assurer un processus de demande de visa fluide, nous vous conseillons de soumettre votre demande bien avant la manifestation, de préférence 2 à 3 mois avant la date prévue de votre voyage.</w:t>
      </w:r>
    </w:p>
    <w:p w14:paraId="105C68D3" w14:textId="282556E3" w:rsidR="00DE6CD0" w:rsidRPr="00C65C2E" w:rsidRDefault="0015354B" w:rsidP="0015354B">
      <w:pPr>
        <w:pStyle w:val="enumlev1"/>
        <w:rPr>
          <w:sz w:val="22"/>
          <w:szCs w:val="18"/>
        </w:rPr>
      </w:pPr>
      <w:r w:rsidRPr="00C65C2E">
        <w:rPr>
          <w:sz w:val="22"/>
          <w:szCs w:val="18"/>
        </w:rPr>
        <w:t>•</w:t>
      </w:r>
      <w:r w:rsidRPr="00C65C2E">
        <w:rPr>
          <w:sz w:val="22"/>
          <w:szCs w:val="18"/>
        </w:rPr>
        <w:tab/>
      </w:r>
      <w:r w:rsidR="00DE6CD0" w:rsidRPr="00C65C2E">
        <w:rPr>
          <w:sz w:val="22"/>
          <w:szCs w:val="18"/>
        </w:rPr>
        <w:t>Demande en ligne: La plupart des demandes de visa peuvent être soumises facilement en ligne, via le portail électronique pour les demandes de visa de l'Inde (</w:t>
      </w:r>
      <w:hyperlink r:id="rId22" w:tgtFrame="_blank" w:history="1">
        <w:r w:rsidR="00DE6CD0" w:rsidRPr="00C65C2E">
          <w:rPr>
            <w:rStyle w:val="Hyperlink"/>
            <w:bCs/>
            <w:sz w:val="22"/>
            <w:szCs w:val="18"/>
          </w:rPr>
          <w:t>https://indianvisaonline.gov.in/evisa/tvoa.html</w:t>
        </w:r>
      </w:hyperlink>
      <w:r w:rsidR="00DE6CD0" w:rsidRPr="00C65C2E">
        <w:rPr>
          <w:sz w:val="22"/>
          <w:szCs w:val="18"/>
        </w:rPr>
        <w:t>).</w:t>
      </w:r>
    </w:p>
    <w:p w14:paraId="442E2824" w14:textId="3B830DFE" w:rsidR="00DE6CD0" w:rsidRPr="00C65C2E" w:rsidRDefault="0015354B" w:rsidP="0015354B">
      <w:pPr>
        <w:pStyle w:val="enumlev1"/>
        <w:rPr>
          <w:sz w:val="22"/>
          <w:szCs w:val="18"/>
        </w:rPr>
      </w:pPr>
      <w:r w:rsidRPr="00C65C2E">
        <w:rPr>
          <w:sz w:val="22"/>
          <w:szCs w:val="18"/>
        </w:rPr>
        <w:t>•</w:t>
      </w:r>
      <w:r w:rsidRPr="00C65C2E">
        <w:rPr>
          <w:sz w:val="22"/>
          <w:szCs w:val="18"/>
        </w:rPr>
        <w:tab/>
      </w:r>
      <w:r w:rsidR="00DE6CD0" w:rsidRPr="00C65C2E">
        <w:rPr>
          <w:sz w:val="22"/>
          <w:szCs w:val="18"/>
        </w:rPr>
        <w:t>Frais de visa: Les frais de visa varient en fonction de votre nationalité et du type de visa. Consultez le site officiel pour connaître la structure tarifaire actuelle.</w:t>
      </w:r>
    </w:p>
    <w:p w14:paraId="39C6BD7A" w14:textId="2DBCA6B6" w:rsidR="00DE6CD0" w:rsidRPr="00C65C2E" w:rsidRDefault="0015354B" w:rsidP="0015354B">
      <w:pPr>
        <w:pStyle w:val="enumlev1"/>
        <w:rPr>
          <w:sz w:val="22"/>
          <w:szCs w:val="18"/>
        </w:rPr>
      </w:pPr>
      <w:r w:rsidRPr="00C65C2E">
        <w:rPr>
          <w:sz w:val="22"/>
          <w:szCs w:val="18"/>
        </w:rPr>
        <w:t>•</w:t>
      </w:r>
      <w:r w:rsidRPr="00C65C2E">
        <w:rPr>
          <w:sz w:val="22"/>
          <w:szCs w:val="18"/>
        </w:rPr>
        <w:tab/>
      </w:r>
      <w:r w:rsidR="00DE6CD0" w:rsidRPr="00C65C2E">
        <w:rPr>
          <w:sz w:val="22"/>
          <w:szCs w:val="18"/>
        </w:rPr>
        <w:t>Documentation: Assurez-vous d'avoir tous les documents requis, y compris votre passeport, votre itinéraire de voyage, une preuve d'hébergement et la confirmation de votre inscription au GSS.</w:t>
      </w:r>
    </w:p>
    <w:p w14:paraId="185FC757" w14:textId="39545B00" w:rsidR="00DE6CD0" w:rsidRPr="00C65C2E" w:rsidRDefault="0015354B" w:rsidP="0015354B">
      <w:pPr>
        <w:pStyle w:val="enumlev1"/>
        <w:rPr>
          <w:sz w:val="22"/>
          <w:szCs w:val="18"/>
        </w:rPr>
      </w:pPr>
      <w:r w:rsidRPr="00C65C2E">
        <w:rPr>
          <w:sz w:val="22"/>
          <w:szCs w:val="18"/>
        </w:rPr>
        <w:t>•</w:t>
      </w:r>
      <w:r w:rsidRPr="00C65C2E">
        <w:rPr>
          <w:sz w:val="22"/>
          <w:szCs w:val="18"/>
        </w:rPr>
        <w:tab/>
      </w:r>
      <w:r w:rsidR="00DE6CD0" w:rsidRPr="00C65C2E">
        <w:rPr>
          <w:sz w:val="22"/>
          <w:szCs w:val="18"/>
        </w:rPr>
        <w:t>Temps de traitement du visa: Le temps de traitement peut varier en fonction de votre nationalité et du type de demande.</w:t>
      </w:r>
    </w:p>
    <w:p w14:paraId="05811CE7" w14:textId="77777777" w:rsidR="0015354B" w:rsidRPr="00447D23" w:rsidRDefault="0015354B">
      <w:pPr>
        <w:jc w:val="center"/>
      </w:pPr>
      <w:r w:rsidRPr="00447D23">
        <w:t>______________</w:t>
      </w:r>
    </w:p>
    <w:sectPr w:rsidR="0015354B" w:rsidRPr="00447D23" w:rsidSect="00A15179">
      <w:headerReference w:type="default" r:id="rId23"/>
      <w:footerReference w:type="first" r:id="rId24"/>
      <w:pgSz w:w="11907" w:h="16840" w:code="9"/>
      <w:pgMar w:top="1134" w:right="1089" w:bottom="1134" w:left="1089" w:header="567" w:footer="51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87419" w14:textId="77777777" w:rsidR="004419E9" w:rsidRDefault="004419E9">
      <w:r>
        <w:separator/>
      </w:r>
    </w:p>
  </w:endnote>
  <w:endnote w:type="continuationSeparator" w:id="0">
    <w:p w14:paraId="31479BA6" w14:textId="77777777" w:rsidR="004419E9" w:rsidRDefault="00441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utura Lt BT">
    <w:altName w:val="Arial"/>
    <w:charset w:val="00"/>
    <w:family w:val="swiss"/>
    <w:pitch w:val="variable"/>
    <w:sig w:usb0="00000087" w:usb1="00000000" w:usb2="00000000" w:usb3="00000000" w:csb0="0000001B"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1A9C5" w14:textId="77777777" w:rsidR="005120A2" w:rsidRPr="003E66AD" w:rsidRDefault="005120A2" w:rsidP="00085F5A">
    <w:pPr>
      <w:tabs>
        <w:tab w:val="clear" w:pos="794"/>
        <w:tab w:val="clear" w:pos="1191"/>
        <w:tab w:val="clear" w:pos="1588"/>
        <w:tab w:val="clear" w:pos="1985"/>
      </w:tabs>
      <w:overflowPunct/>
      <w:autoSpaceDE/>
      <w:autoSpaceDN/>
      <w:adjustRightInd/>
      <w:spacing w:before="40"/>
      <w:ind w:left="-397" w:right="-397"/>
      <w:jc w:val="center"/>
      <w:textAlignment w:val="auto"/>
      <w:rPr>
        <w:color w:val="0070C0"/>
        <w:sz w:val="18"/>
        <w:szCs w:val="18"/>
        <w:lang w:val="fr-CH"/>
      </w:rPr>
    </w:pPr>
    <w:r w:rsidRPr="003E66AD">
      <w:rPr>
        <w:color w:val="0070C0"/>
        <w:sz w:val="18"/>
        <w:szCs w:val="18"/>
        <w:lang w:val="fr-CH"/>
      </w:rPr>
      <w:t>Union internationale des télécommunications • Place des Nations</w:t>
    </w:r>
    <w:r w:rsidR="00085F5A" w:rsidRPr="003E66AD">
      <w:rPr>
        <w:color w:val="0070C0"/>
        <w:sz w:val="18"/>
        <w:szCs w:val="18"/>
        <w:lang w:val="fr-CH"/>
      </w:rPr>
      <w:t xml:space="preserve"> •</w:t>
    </w:r>
    <w:r w:rsidRPr="003E66AD">
      <w:rPr>
        <w:color w:val="0070C0"/>
        <w:sz w:val="18"/>
        <w:szCs w:val="18"/>
        <w:lang w:val="fr-CH"/>
      </w:rPr>
      <w:t xml:space="preserve"> CH</w:t>
    </w:r>
    <w:r w:rsidRPr="003E66AD">
      <w:rPr>
        <w:color w:val="0070C0"/>
        <w:sz w:val="18"/>
        <w:szCs w:val="18"/>
        <w:lang w:val="fr-CH"/>
      </w:rPr>
      <w:noBreakHyphen/>
      <w:t>1211 Genève 20</w:t>
    </w:r>
    <w:r w:rsidR="00085F5A" w:rsidRPr="003E66AD">
      <w:rPr>
        <w:color w:val="0070C0"/>
        <w:sz w:val="18"/>
        <w:szCs w:val="18"/>
        <w:lang w:val="fr-CH"/>
      </w:rPr>
      <w:t xml:space="preserve"> •</w:t>
    </w:r>
    <w:r w:rsidRPr="003E66AD">
      <w:rPr>
        <w:color w:val="0070C0"/>
        <w:sz w:val="18"/>
        <w:szCs w:val="18"/>
        <w:lang w:val="fr-CH"/>
      </w:rPr>
      <w:t xml:space="preserve"> Suisse </w:t>
    </w:r>
    <w:r w:rsidRPr="003E66AD">
      <w:rPr>
        <w:color w:val="0070C0"/>
        <w:sz w:val="18"/>
        <w:szCs w:val="18"/>
        <w:lang w:val="fr-CH"/>
      </w:rPr>
      <w:br/>
      <w:t>Tél</w:t>
    </w:r>
    <w:r w:rsidR="00085F5A" w:rsidRPr="003E66AD">
      <w:rPr>
        <w:color w:val="0070C0"/>
        <w:sz w:val="18"/>
        <w:szCs w:val="18"/>
        <w:lang w:val="fr-CH"/>
      </w:rPr>
      <w:t>.</w:t>
    </w:r>
    <w:r w:rsidRPr="003E66AD">
      <w:rPr>
        <w:color w:val="0070C0"/>
        <w:sz w:val="18"/>
        <w:szCs w:val="18"/>
        <w:lang w:val="fr-CH"/>
      </w:rPr>
      <w:t xml:space="preserve">: +41 22 730 5111 • Fax: +41 22 733 7256 • </w:t>
    </w:r>
    <w:r w:rsidR="00085F5A" w:rsidRPr="003E66AD">
      <w:rPr>
        <w:color w:val="0070C0"/>
        <w:sz w:val="18"/>
        <w:szCs w:val="18"/>
        <w:lang w:val="fr-CH"/>
      </w:rPr>
      <w:t>Courriel</w:t>
    </w:r>
    <w:r w:rsidRPr="003E66AD">
      <w:rPr>
        <w:color w:val="0070C0"/>
        <w:sz w:val="18"/>
        <w:szCs w:val="18"/>
        <w:lang w:val="fr-CH"/>
      </w:rPr>
      <w:t xml:space="preserve">: </w:t>
    </w:r>
    <w:hyperlink r:id="rId1" w:history="1">
      <w:r w:rsidRPr="003E66AD">
        <w:rPr>
          <w:rStyle w:val="Hyperlink"/>
          <w:color w:val="0070C0"/>
          <w:sz w:val="18"/>
          <w:szCs w:val="18"/>
        </w:rPr>
        <w:t>itumail@itu.int</w:t>
      </w:r>
    </w:hyperlink>
    <w:r w:rsidRPr="003E66AD">
      <w:rPr>
        <w:color w:val="0070C0"/>
        <w:sz w:val="18"/>
        <w:szCs w:val="18"/>
        <w:lang w:val="fr-CH"/>
      </w:rPr>
      <w:t xml:space="preserve"> • </w:t>
    </w:r>
    <w:hyperlink r:id="rId2" w:history="1">
      <w:r w:rsidRPr="003E66AD">
        <w:rPr>
          <w:rStyle w:val="Hyperlink"/>
          <w:color w:val="0070C0"/>
          <w:sz w:val="18"/>
          <w:szCs w:val="18"/>
        </w:rPr>
        <w:t>www.itu.int</w:t>
      </w:r>
    </w:hyperlink>
    <w:r w:rsidRPr="003E66AD">
      <w:rPr>
        <w:color w:val="0070C0"/>
        <w:sz w:val="18"/>
        <w:szCs w:val="18"/>
        <w:lang w:val="fr-CH"/>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9D309" w14:textId="77777777" w:rsidR="004419E9" w:rsidRDefault="004419E9">
      <w:r>
        <w:t>____________________</w:t>
      </w:r>
    </w:p>
  </w:footnote>
  <w:footnote w:type="continuationSeparator" w:id="0">
    <w:p w14:paraId="5828E93A" w14:textId="77777777" w:rsidR="004419E9" w:rsidRDefault="004419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D5492" w14:textId="34783EE0" w:rsidR="00697BC1" w:rsidRPr="00697BC1" w:rsidRDefault="00AA1C36" w:rsidP="00697BC1">
    <w:pPr>
      <w:pStyle w:val="Header"/>
      <w:rPr>
        <w:sz w:val="18"/>
        <w:szCs w:val="16"/>
      </w:rPr>
    </w:pPr>
    <w:sdt>
      <w:sdtPr>
        <w:rPr>
          <w:sz w:val="18"/>
          <w:szCs w:val="16"/>
        </w:rPr>
        <w:id w:val="526448189"/>
        <w:docPartObj>
          <w:docPartGallery w:val="Page Numbers (Top of Page)"/>
          <w:docPartUnique/>
        </w:docPartObj>
      </w:sdtPr>
      <w:sdtEndPr>
        <w:rPr>
          <w:noProof/>
        </w:rPr>
      </w:sdtEndPr>
      <w:sdtContent>
        <w:r w:rsidR="00697BC1" w:rsidRPr="00697BC1">
          <w:rPr>
            <w:sz w:val="18"/>
            <w:szCs w:val="16"/>
          </w:rPr>
          <w:fldChar w:fldCharType="begin"/>
        </w:r>
        <w:r w:rsidR="00697BC1" w:rsidRPr="00697BC1">
          <w:rPr>
            <w:sz w:val="18"/>
            <w:szCs w:val="16"/>
          </w:rPr>
          <w:instrText xml:space="preserve"> PAGE   \* MERGEFORMAT </w:instrText>
        </w:r>
        <w:r w:rsidR="00697BC1" w:rsidRPr="00697BC1">
          <w:rPr>
            <w:sz w:val="18"/>
            <w:szCs w:val="16"/>
          </w:rPr>
          <w:fldChar w:fldCharType="separate"/>
        </w:r>
        <w:r w:rsidR="00036F4F">
          <w:rPr>
            <w:noProof/>
            <w:sz w:val="18"/>
            <w:szCs w:val="16"/>
          </w:rPr>
          <w:t>2</w:t>
        </w:r>
        <w:r w:rsidR="00697BC1" w:rsidRPr="00697BC1">
          <w:rPr>
            <w:noProof/>
            <w:sz w:val="18"/>
            <w:szCs w:val="16"/>
          </w:rPr>
          <w:fldChar w:fldCharType="end"/>
        </w:r>
      </w:sdtContent>
    </w:sdt>
    <w:r w:rsidR="00AF0D7D">
      <w:rPr>
        <w:noProof/>
        <w:sz w:val="18"/>
        <w:szCs w:val="16"/>
      </w:rPr>
      <w:br/>
      <w:t xml:space="preserve">Circulaire TSB </w:t>
    </w:r>
    <w:r w:rsidR="007E01A3">
      <w:rPr>
        <w:noProof/>
        <w:sz w:val="18"/>
        <w:szCs w:val="16"/>
      </w:rPr>
      <w:t>178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435D"/>
    <w:multiLevelType w:val="hybridMultilevel"/>
    <w:tmpl w:val="E556B9C0"/>
    <w:lvl w:ilvl="0" w:tplc="288A8D86">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1" w15:restartNumberingAfterBreak="0">
    <w:nsid w:val="066B6C4F"/>
    <w:multiLevelType w:val="singleLevel"/>
    <w:tmpl w:val="ABE4E72C"/>
    <w:lvl w:ilvl="0">
      <w:start w:val="1"/>
      <w:numFmt w:val="decimal"/>
      <w:pStyle w:val="Style1"/>
      <w:lvlText w:val="%1. "/>
      <w:lvlJc w:val="left"/>
      <w:pPr>
        <w:tabs>
          <w:tab w:val="num" w:pos="0"/>
        </w:tabs>
        <w:ind w:left="283" w:hanging="283"/>
      </w:pPr>
      <w:rPr>
        <w:rFonts w:ascii="Times New Roman" w:hAnsi="Times New Roman" w:hint="default"/>
        <w:b w:val="0"/>
        <w:i w:val="0"/>
        <w:sz w:val="22"/>
        <w:u w:val="none"/>
      </w:rPr>
    </w:lvl>
  </w:abstractNum>
  <w:abstractNum w:abstractNumId="2" w15:restartNumberingAfterBreak="0">
    <w:nsid w:val="18BC2467"/>
    <w:multiLevelType w:val="multilevel"/>
    <w:tmpl w:val="7DC8D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437EF1"/>
    <w:multiLevelType w:val="hybridMultilevel"/>
    <w:tmpl w:val="45C875A2"/>
    <w:lvl w:ilvl="0" w:tplc="C4685C10">
      <w:start w:val="2"/>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4" w15:restartNumberingAfterBreak="0">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65120867">
    <w:abstractNumId w:val="1"/>
  </w:num>
  <w:num w:numId="2" w16cid:durableId="2119984868">
    <w:abstractNumId w:val="4"/>
  </w:num>
  <w:num w:numId="3" w16cid:durableId="2075545744">
    <w:abstractNumId w:val="3"/>
  </w:num>
  <w:num w:numId="4" w16cid:durableId="1871449755">
    <w:abstractNumId w:val="0"/>
  </w:num>
  <w:num w:numId="5" w16cid:durableId="18371156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9E9"/>
    <w:rsid w:val="000039EE"/>
    <w:rsid w:val="00005622"/>
    <w:rsid w:val="0002519E"/>
    <w:rsid w:val="00035B43"/>
    <w:rsid w:val="00036F4F"/>
    <w:rsid w:val="000758B3"/>
    <w:rsid w:val="00085F5A"/>
    <w:rsid w:val="000B0D96"/>
    <w:rsid w:val="000B59D8"/>
    <w:rsid w:val="000C1F6B"/>
    <w:rsid w:val="000C25CC"/>
    <w:rsid w:val="000C56BE"/>
    <w:rsid w:val="001026FD"/>
    <w:rsid w:val="001077FD"/>
    <w:rsid w:val="00115DD7"/>
    <w:rsid w:val="0015354B"/>
    <w:rsid w:val="00167472"/>
    <w:rsid w:val="00167F92"/>
    <w:rsid w:val="00173738"/>
    <w:rsid w:val="001B79A3"/>
    <w:rsid w:val="002152A3"/>
    <w:rsid w:val="0023667A"/>
    <w:rsid w:val="002937DB"/>
    <w:rsid w:val="002E395D"/>
    <w:rsid w:val="00307FB4"/>
    <w:rsid w:val="003131F0"/>
    <w:rsid w:val="00333A80"/>
    <w:rsid w:val="00341117"/>
    <w:rsid w:val="00364E95"/>
    <w:rsid w:val="00372875"/>
    <w:rsid w:val="003742F8"/>
    <w:rsid w:val="003B1E80"/>
    <w:rsid w:val="003B66E8"/>
    <w:rsid w:val="003E66AD"/>
    <w:rsid w:val="004033F1"/>
    <w:rsid w:val="00414B0C"/>
    <w:rsid w:val="00423C21"/>
    <w:rsid w:val="004257AC"/>
    <w:rsid w:val="0043711B"/>
    <w:rsid w:val="004419E9"/>
    <w:rsid w:val="00445B68"/>
    <w:rsid w:val="00447D23"/>
    <w:rsid w:val="0048088B"/>
    <w:rsid w:val="004977C9"/>
    <w:rsid w:val="004B732E"/>
    <w:rsid w:val="004D51F4"/>
    <w:rsid w:val="004D64E0"/>
    <w:rsid w:val="005120A2"/>
    <w:rsid w:val="0051210D"/>
    <w:rsid w:val="005136D2"/>
    <w:rsid w:val="00517A03"/>
    <w:rsid w:val="005A3DD9"/>
    <w:rsid w:val="005B1DFC"/>
    <w:rsid w:val="00601682"/>
    <w:rsid w:val="00603470"/>
    <w:rsid w:val="00625E79"/>
    <w:rsid w:val="006333F7"/>
    <w:rsid w:val="006427A1"/>
    <w:rsid w:val="00644741"/>
    <w:rsid w:val="00697BC1"/>
    <w:rsid w:val="006A6FFE"/>
    <w:rsid w:val="006C5A91"/>
    <w:rsid w:val="006F52F7"/>
    <w:rsid w:val="00716BBC"/>
    <w:rsid w:val="007321BC"/>
    <w:rsid w:val="00760063"/>
    <w:rsid w:val="00775E4B"/>
    <w:rsid w:val="0079553B"/>
    <w:rsid w:val="00795679"/>
    <w:rsid w:val="007A40FE"/>
    <w:rsid w:val="007E01A3"/>
    <w:rsid w:val="00810105"/>
    <w:rsid w:val="008157E0"/>
    <w:rsid w:val="00850477"/>
    <w:rsid w:val="00854E1D"/>
    <w:rsid w:val="00887FA6"/>
    <w:rsid w:val="008C4397"/>
    <w:rsid w:val="008C465A"/>
    <w:rsid w:val="008F2C9B"/>
    <w:rsid w:val="00923CD6"/>
    <w:rsid w:val="00935AA8"/>
    <w:rsid w:val="00971C9A"/>
    <w:rsid w:val="009D51FA"/>
    <w:rsid w:val="009F1E23"/>
    <w:rsid w:val="00A15179"/>
    <w:rsid w:val="00A51537"/>
    <w:rsid w:val="00A5280F"/>
    <w:rsid w:val="00A5645A"/>
    <w:rsid w:val="00A60FC1"/>
    <w:rsid w:val="00A97C37"/>
    <w:rsid w:val="00AA131B"/>
    <w:rsid w:val="00AA1C36"/>
    <w:rsid w:val="00AC37B5"/>
    <w:rsid w:val="00AD752F"/>
    <w:rsid w:val="00AF08A4"/>
    <w:rsid w:val="00AF0D7D"/>
    <w:rsid w:val="00B27B41"/>
    <w:rsid w:val="00B42659"/>
    <w:rsid w:val="00B46F2D"/>
    <w:rsid w:val="00B60868"/>
    <w:rsid w:val="00B8573E"/>
    <w:rsid w:val="00BA2003"/>
    <w:rsid w:val="00BB24C0"/>
    <w:rsid w:val="00BD6ECF"/>
    <w:rsid w:val="00C26F2E"/>
    <w:rsid w:val="00C302E3"/>
    <w:rsid w:val="00C41B89"/>
    <w:rsid w:val="00C45376"/>
    <w:rsid w:val="00C65C2E"/>
    <w:rsid w:val="00C9028F"/>
    <w:rsid w:val="00CA0416"/>
    <w:rsid w:val="00CB1125"/>
    <w:rsid w:val="00CB4E80"/>
    <w:rsid w:val="00CD042E"/>
    <w:rsid w:val="00CF2560"/>
    <w:rsid w:val="00CF5B46"/>
    <w:rsid w:val="00D46B68"/>
    <w:rsid w:val="00D542A5"/>
    <w:rsid w:val="00DC3D47"/>
    <w:rsid w:val="00DD77DA"/>
    <w:rsid w:val="00DE6CD0"/>
    <w:rsid w:val="00E06C61"/>
    <w:rsid w:val="00E13DB3"/>
    <w:rsid w:val="00E2408B"/>
    <w:rsid w:val="00E62CEA"/>
    <w:rsid w:val="00E72AE1"/>
    <w:rsid w:val="00ED6A7A"/>
    <w:rsid w:val="00EE4C36"/>
    <w:rsid w:val="00EF6A23"/>
    <w:rsid w:val="00F346CE"/>
    <w:rsid w:val="00F34F98"/>
    <w:rsid w:val="00F40540"/>
    <w:rsid w:val="00F67402"/>
    <w:rsid w:val="00F766A2"/>
    <w:rsid w:val="00F9451D"/>
    <w:rsid w:val="00FF619E"/>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64031F"/>
  <w15:docId w15:val="{C0C524F5-3929-45CC-8FD1-E984F510A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6ECF"/>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fr-FR" w:eastAsia="en-US"/>
    </w:rPr>
  </w:style>
  <w:style w:type="paragraph" w:styleId="Heading1">
    <w:name w:val="heading 1"/>
    <w:basedOn w:val="Normal"/>
    <w:next w:val="Normal"/>
    <w:qFormat/>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1191"/>
      </w:tabs>
      <w:ind w:left="993" w:hanging="993"/>
      <w:outlineLvl w:val="3"/>
    </w:pPr>
  </w:style>
  <w:style w:type="paragraph" w:styleId="Heading5">
    <w:name w:val="heading 5"/>
    <w:basedOn w:val="Heading3"/>
    <w:next w:val="Normal"/>
    <w:qFormat/>
    <w:pPr>
      <w:tabs>
        <w:tab w:val="clear" w:pos="794"/>
        <w:tab w:val="left" w:pos="1191"/>
      </w:tabs>
      <w:outlineLvl w:val="4"/>
    </w:pPr>
  </w:style>
  <w:style w:type="paragraph" w:styleId="Heading6">
    <w:name w:val="heading 6"/>
    <w:basedOn w:val="Heading3"/>
    <w:next w:val="Normal"/>
    <w:qFormat/>
    <w:pPr>
      <w:tabs>
        <w:tab w:val="clear" w:pos="794"/>
        <w:tab w:val="left" w:pos="1191"/>
      </w:tabs>
      <w:outlineLvl w:val="5"/>
    </w:pPr>
  </w:style>
  <w:style w:type="paragraph" w:styleId="Heading7">
    <w:name w:val="heading 7"/>
    <w:basedOn w:val="Heading3"/>
    <w:next w:val="Normal"/>
    <w:qFormat/>
    <w:pPr>
      <w:tabs>
        <w:tab w:val="clear" w:pos="794"/>
        <w:tab w:val="left" w:pos="1191"/>
      </w:tabs>
      <w:outlineLvl w:val="6"/>
    </w:pPr>
  </w:style>
  <w:style w:type="paragraph" w:styleId="Heading8">
    <w:name w:val="heading 8"/>
    <w:basedOn w:val="Heading3"/>
    <w:next w:val="Normal"/>
    <w:qFormat/>
    <w:pPr>
      <w:tabs>
        <w:tab w:val="clear" w:pos="794"/>
        <w:tab w:val="left" w:pos="1191"/>
      </w:tabs>
      <w:outlineLvl w:val="7"/>
    </w:pPr>
  </w:style>
  <w:style w:type="paragraph" w:styleId="Heading9">
    <w:name w:val="heading 9"/>
    <w:basedOn w:val="Heading3"/>
    <w:next w:val="Normal"/>
    <w:qFormat/>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semiHidden/>
  </w:style>
  <w:style w:type="paragraph" w:styleId="TOC7">
    <w:name w:val="toc 7"/>
    <w:basedOn w:val="TOC3"/>
    <w:semiHidden/>
  </w:style>
  <w:style w:type="paragraph" w:styleId="TOC6">
    <w:name w:val="toc 6"/>
    <w:basedOn w:val="TOC3"/>
    <w:semiHidden/>
  </w:style>
  <w:style w:type="paragraph" w:styleId="TOC5">
    <w:name w:val="toc 5"/>
    <w:basedOn w:val="TOC3"/>
    <w:semiHidden/>
  </w:style>
  <w:style w:type="paragraph" w:styleId="TOC4">
    <w:name w:val="toc 4"/>
    <w:basedOn w:val="TOC3"/>
    <w:semiHidden/>
  </w:style>
  <w:style w:type="paragraph" w:styleId="TOC3">
    <w:name w:val="toc 3"/>
    <w:basedOn w:val="TOC2"/>
    <w:semiHidden/>
    <w:pPr>
      <w:spacing w:before="80"/>
    </w:pPr>
  </w:style>
  <w:style w:type="paragraph" w:styleId="TOC2">
    <w:name w:val="toc 2"/>
    <w:basedOn w:val="TOC1"/>
    <w:semiHidden/>
    <w:pPr>
      <w:spacing w:before="120"/>
    </w:pPr>
  </w:style>
  <w:style w:type="paragraph" w:styleId="TOC1">
    <w:name w:val="toc 1"/>
    <w:basedOn w:val="Normal"/>
    <w:semiHidden/>
    <w:pPr>
      <w:tabs>
        <w:tab w:val="clear" w:pos="794"/>
        <w:tab w:val="clear" w:pos="1191"/>
        <w:tab w:val="clear" w:pos="1588"/>
        <w:tab w:val="clear" w:pos="1985"/>
        <w:tab w:val="left" w:leader="dot" w:pos="8789"/>
        <w:tab w:val="right" w:pos="9639"/>
      </w:tabs>
      <w:spacing w:before="200"/>
      <w:ind w:left="794" w:hanging="794"/>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Normal"/>
    <w:link w:val="FooterChar"/>
    <w:pPr>
      <w:tabs>
        <w:tab w:val="clear" w:pos="794"/>
        <w:tab w:val="clear" w:pos="1191"/>
        <w:tab w:val="clear" w:pos="1588"/>
        <w:tab w:val="clear" w:pos="1985"/>
        <w:tab w:val="left" w:pos="5954"/>
        <w:tab w:val="right" w:pos="9639"/>
      </w:tabs>
      <w:spacing w:before="0"/>
    </w:pPr>
    <w:rPr>
      <w:caps/>
      <w:sz w:val="18"/>
    </w:rPr>
  </w:style>
  <w:style w:type="paragraph" w:styleId="Header">
    <w:name w:val="header"/>
    <w:basedOn w:val="Normal"/>
    <w:link w:val="HeaderChar"/>
    <w:uiPriority w:val="99"/>
    <w:pPr>
      <w:tabs>
        <w:tab w:val="clear" w:pos="794"/>
        <w:tab w:val="clear" w:pos="1191"/>
        <w:tab w:val="clear" w:pos="1588"/>
        <w:tab w:val="clear" w:pos="1985"/>
      </w:tabs>
      <w:spacing w:before="0"/>
      <w:jc w:val="center"/>
    </w:pPr>
    <w:rPr>
      <w:sz w:val="22"/>
    </w:rPr>
  </w:style>
  <w:style w:type="character" w:styleId="FootnoteReference">
    <w:name w:val="footnote reference"/>
    <w:semiHidden/>
    <w:rPr>
      <w:position w:val="6"/>
      <w:sz w:val="16"/>
    </w:rPr>
  </w:style>
  <w:style w:type="paragraph" w:styleId="FootnoteText">
    <w:name w:val="footnote text"/>
    <w:basedOn w:val="Normal"/>
    <w:semiHidden/>
    <w:pPr>
      <w:keepLines/>
      <w:tabs>
        <w:tab w:val="left" w:pos="256"/>
      </w:tabs>
      <w:ind w:left="256" w:hanging="256"/>
    </w:pPr>
  </w:style>
  <w:style w:type="paragraph" w:styleId="NormalIndent">
    <w:name w:val="Normal Indent"/>
    <w:basedOn w:val="Normal"/>
    <w:pPr>
      <w:ind w:left="794"/>
    </w:pPr>
  </w:style>
  <w:style w:type="paragraph" w:customStyle="1" w:styleId="TableLegend">
    <w:name w:val="Table_Legend"/>
    <w:basedOn w:val="TableText"/>
    <w:pPr>
      <w:spacing w:before="120"/>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pPr>
      <w:keepLines/>
      <w:spacing w:before="0"/>
    </w:pPr>
    <w:rPr>
      <w:b/>
      <w:caps w:val="0"/>
    </w:rPr>
  </w:style>
  <w:style w:type="paragraph" w:customStyle="1" w:styleId="Table">
    <w:name w:val="Table_#"/>
    <w:basedOn w:val="Normal"/>
    <w:next w:val="TableTitle"/>
    <w:pPr>
      <w:keepNext/>
      <w:spacing w:before="560" w:after="120"/>
      <w:jc w:val="center"/>
    </w:pPr>
    <w:rPr>
      <w:caps/>
    </w:rPr>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TableHead">
    <w:name w:val="Table_Head"/>
    <w:basedOn w:val="TableText"/>
    <w:pPr>
      <w:keepNext/>
      <w:spacing w:before="80" w:after="80"/>
      <w:jc w:val="center"/>
    </w:pPr>
    <w:rPr>
      <w:b/>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pPr>
      <w:spacing w:before="480"/>
    </w:pPr>
  </w:style>
  <w:style w:type="paragraph" w:customStyle="1" w:styleId="FigureTitle">
    <w:name w:val="Figure_Title"/>
    <w:basedOn w:val="TableTitle"/>
    <w:next w:val="Normal"/>
    <w:pPr>
      <w:keepNext w:val="0"/>
      <w:spacing w:after="480"/>
    </w:pPr>
  </w:style>
  <w:style w:type="paragraph" w:customStyle="1" w:styleId="Annex">
    <w:name w:val="Annex_#"/>
    <w:basedOn w:val="Normal"/>
    <w:next w:val="AnnexRef"/>
    <w:pPr>
      <w:keepNext/>
      <w:keepLines/>
      <w:spacing w:before="480" w:after="80"/>
      <w:jc w:val="center"/>
    </w:pPr>
    <w:rPr>
      <w:caps/>
    </w:rPr>
  </w:style>
  <w:style w:type="paragraph" w:customStyle="1" w:styleId="AnnexRef">
    <w:name w:val="Annex_Ref"/>
    <w:basedOn w:val="Normal"/>
    <w:next w:val="AnnexTitle"/>
    <w:pPr>
      <w:keepNext/>
      <w:keepLines/>
      <w:jc w:val="center"/>
    </w:pPr>
  </w:style>
  <w:style w:type="paragraph" w:customStyle="1" w:styleId="AnnexTitle">
    <w:name w:val="Annex_Title"/>
    <w:basedOn w:val="Normal"/>
    <w:next w:val="Normal"/>
    <w:pPr>
      <w:keepNext/>
      <w:keepLines/>
      <w:spacing w:before="240" w:after="280"/>
      <w:jc w:val="center"/>
    </w:pPr>
    <w:rPr>
      <w:b/>
    </w:r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spacing w:before="480"/>
      <w:jc w:val="center"/>
    </w:pPr>
    <w:rPr>
      <w:caps/>
    </w:rPr>
  </w:style>
  <w:style w:type="paragraph" w:customStyle="1" w:styleId="RefText">
    <w:name w:val="Ref_Text"/>
    <w:basedOn w:val="Normal"/>
    <w:pPr>
      <w:ind w:left="794" w:hanging="794"/>
    </w:pPr>
  </w:style>
  <w:style w:type="paragraph" w:customStyle="1" w:styleId="Equation">
    <w:name w:val="Equation"/>
    <w:basedOn w:val="Normal"/>
    <w:pPr>
      <w:tabs>
        <w:tab w:val="clear" w:pos="1191"/>
        <w:tab w:val="clear" w:pos="1588"/>
        <w:tab w:val="clear" w:pos="1985"/>
        <w:tab w:val="center" w:pos="4876"/>
        <w:tab w:val="right" w:pos="9752"/>
      </w:tabs>
    </w:pPr>
  </w:style>
  <w:style w:type="paragraph" w:customStyle="1" w:styleId="Head">
    <w:name w:val="Head"/>
    <w:basedOn w:val="Normal"/>
    <w:pPr>
      <w:tabs>
        <w:tab w:val="clear" w:pos="794"/>
        <w:tab w:val="clear" w:pos="1191"/>
        <w:tab w:val="clear" w:pos="1588"/>
        <w:tab w:val="clear" w:pos="1985"/>
        <w:tab w:val="left" w:pos="6663"/>
      </w:tabs>
      <w:spacing w:before="0"/>
    </w:pPr>
  </w:style>
  <w:style w:type="paragraph" w:customStyle="1" w:styleId="RecTitle">
    <w:name w:val="Rec_Title"/>
    <w:basedOn w:val="Normal"/>
    <w:next w:val="Heading1"/>
    <w:pPr>
      <w:keepNext/>
      <w:keepLines/>
      <w:spacing w:before="240"/>
      <w:jc w:val="center"/>
    </w:pPr>
    <w:rPr>
      <w:b/>
      <w:caps/>
    </w:rPr>
  </w:style>
  <w:style w:type="paragraph" w:customStyle="1" w:styleId="Normalaftertitle">
    <w:name w:val="Normal after title"/>
    <w:basedOn w:val="Normal"/>
    <w:next w:val="Normal"/>
    <w:pPr>
      <w:spacing w:before="320"/>
    </w:pPr>
  </w:style>
  <w:style w:type="paragraph" w:customStyle="1" w:styleId="call">
    <w:name w:val="call"/>
    <w:basedOn w:val="Normal"/>
    <w:next w:val="Normal"/>
    <w:pPr>
      <w:keepNext/>
      <w:keepLines/>
      <w:spacing w:before="160"/>
      <w:ind w:left="794"/>
    </w:pPr>
    <w:rPr>
      <w:i/>
    </w:rPr>
  </w:style>
  <w:style w:type="paragraph" w:customStyle="1" w:styleId="Rec">
    <w:name w:val="Rec_#"/>
    <w:basedOn w:val="Normal"/>
    <w:next w:val="RecTitle"/>
    <w:pPr>
      <w:keepNext/>
      <w:keepLines/>
      <w:spacing w:before="480"/>
      <w:jc w:val="center"/>
    </w:pPr>
    <w:rPr>
      <w:caps/>
    </w:rPr>
  </w:style>
  <w:style w:type="paragraph" w:customStyle="1" w:styleId="toc0">
    <w:name w:val="toc 0"/>
    <w:basedOn w:val="Normal"/>
    <w:next w:val="TOC1"/>
    <w:pPr>
      <w:tabs>
        <w:tab w:val="clear" w:pos="794"/>
        <w:tab w:val="clear" w:pos="1191"/>
        <w:tab w:val="clear" w:pos="1588"/>
        <w:tab w:val="clear" w:pos="1985"/>
        <w:tab w:val="right" w:pos="9781"/>
      </w:tabs>
    </w:pPr>
    <w:rPr>
      <w:b/>
    </w:rPr>
  </w:style>
  <w:style w:type="paragraph" w:styleId="List">
    <w:name w:val="List"/>
    <w:basedOn w:val="Normal"/>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pPr>
      <w:tabs>
        <w:tab w:val="clear" w:pos="794"/>
        <w:tab w:val="clear" w:pos="1191"/>
        <w:tab w:val="clear" w:pos="1588"/>
        <w:tab w:val="clear" w:pos="1985"/>
        <w:tab w:val="left" w:pos="1418"/>
      </w:tabs>
      <w:spacing w:before="0"/>
      <w:ind w:left="1418" w:hanging="1418"/>
    </w:pPr>
  </w:style>
  <w:style w:type="paragraph" w:customStyle="1" w:styleId="Part">
    <w:name w:val="Part"/>
    <w:basedOn w:val="Normal"/>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pPr>
      <w:tabs>
        <w:tab w:val="clear" w:pos="794"/>
        <w:tab w:val="clear" w:pos="1191"/>
        <w:tab w:val="clear" w:pos="1588"/>
        <w:tab w:val="clear" w:pos="1985"/>
        <w:tab w:val="left" w:pos="4820"/>
        <w:tab w:val="left" w:pos="5529"/>
      </w:tabs>
      <w:ind w:left="794"/>
    </w:pPr>
  </w:style>
  <w:style w:type="character" w:styleId="Hyperlink">
    <w:name w:val="Hyperlink"/>
    <w:aliases w:val="超级链接,CEO_Hyperlink,超?级链,Style 58,超????,하이퍼링크2,超链接1"/>
    <w:qFormat/>
    <w:rsid w:val="00760063"/>
    <w:rPr>
      <w:color w:val="0000FF"/>
      <w:u w:val="single"/>
    </w:rPr>
  </w:style>
  <w:style w:type="paragraph" w:customStyle="1" w:styleId="Keywords">
    <w:name w:val="Keywords"/>
    <w:basedOn w:val="Normal"/>
    <w:pPr>
      <w:tabs>
        <w:tab w:val="clear" w:pos="1191"/>
        <w:tab w:val="clear" w:pos="1588"/>
      </w:tabs>
      <w:ind w:left="794" w:hanging="794"/>
    </w:pPr>
  </w:style>
  <w:style w:type="paragraph" w:styleId="BodyText">
    <w:name w:val="Body Text"/>
    <w:basedOn w:val="Normal"/>
    <w:pPr>
      <w:spacing w:after="120"/>
    </w:pPr>
  </w:style>
  <w:style w:type="paragraph" w:customStyle="1" w:styleId="EquationLegend">
    <w:name w:val="Equation_Legend"/>
    <w:basedOn w:val="Normal"/>
    <w:pPr>
      <w:tabs>
        <w:tab w:val="clear" w:pos="794"/>
        <w:tab w:val="clear" w:pos="1191"/>
        <w:tab w:val="clear" w:pos="1588"/>
        <w:tab w:val="clear" w:pos="1985"/>
        <w:tab w:val="right" w:pos="1531"/>
        <w:tab w:val="left" w:pos="1701"/>
      </w:tabs>
      <w:spacing w:before="80"/>
      <w:ind w:left="1701" w:hanging="1701"/>
    </w:pPr>
  </w:style>
  <w:style w:type="paragraph" w:customStyle="1" w:styleId="Qlist">
    <w:name w:val="Qlist"/>
    <w:basedOn w:val="Normal"/>
    <w:pPr>
      <w:tabs>
        <w:tab w:val="clear" w:pos="794"/>
        <w:tab w:val="clear" w:pos="1191"/>
        <w:tab w:val="clear" w:pos="1588"/>
        <w:tab w:val="clear" w:pos="1985"/>
        <w:tab w:val="left" w:pos="1843"/>
        <w:tab w:val="left" w:pos="2268"/>
      </w:tabs>
      <w:ind w:left="2268" w:hanging="2268"/>
    </w:pPr>
    <w:rPr>
      <w:b/>
    </w:rPr>
  </w:style>
  <w:style w:type="paragraph" w:customStyle="1" w:styleId="meeting">
    <w:name w:val="meeting"/>
    <w:basedOn w:val="Head"/>
    <w:next w:val="Head"/>
    <w:pPr>
      <w:tabs>
        <w:tab w:val="left" w:pos="7371"/>
      </w:tabs>
      <w:spacing w:after="560"/>
    </w:p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FirstFooter">
    <w:name w:val="FirstFooter"/>
    <w:basedOn w:val="Footer"/>
    <w:pPr>
      <w:tabs>
        <w:tab w:val="clear" w:pos="5954"/>
        <w:tab w:val="clear" w:pos="9639"/>
      </w:tabs>
    </w:pPr>
    <w:rPr>
      <w:caps w:val="0"/>
    </w:rPr>
  </w:style>
  <w:style w:type="paragraph" w:customStyle="1" w:styleId="Note">
    <w:name w:val="Note"/>
    <w:basedOn w:val="Normal"/>
    <w:pPr>
      <w:tabs>
        <w:tab w:val="left" w:pos="397"/>
      </w:tabs>
    </w:pPr>
  </w:style>
  <w:style w:type="paragraph" w:styleId="TOC9">
    <w:name w:val="toc 9"/>
    <w:basedOn w:val="TOC3"/>
    <w:semiHidden/>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outlineLvl w:val="9"/>
    </w:pPr>
    <w:rPr>
      <w:b w:val="0"/>
      <w:i/>
    </w:rPr>
  </w:style>
  <w:style w:type="character" w:styleId="PageNumber">
    <w:name w:val="page number"/>
    <w:basedOn w:val="DefaultParagraphFont"/>
    <w:rsid w:val="00CB1125"/>
  </w:style>
  <w:style w:type="paragraph" w:customStyle="1" w:styleId="Style1">
    <w:name w:val="Style1"/>
    <w:basedOn w:val="Normal"/>
    <w:next w:val="Index1"/>
    <w:rsid w:val="00CB1125"/>
    <w:pPr>
      <w:numPr>
        <w:numId w:val="1"/>
      </w:numPr>
      <w:tabs>
        <w:tab w:val="clear" w:pos="794"/>
        <w:tab w:val="clear" w:pos="1191"/>
        <w:tab w:val="clear" w:pos="1588"/>
        <w:tab w:val="clear" w:pos="1985"/>
      </w:tabs>
      <w:spacing w:before="240"/>
      <w:ind w:right="-143"/>
    </w:pPr>
  </w:style>
  <w:style w:type="character" w:customStyle="1" w:styleId="HeaderChar">
    <w:name w:val="Header Char"/>
    <w:link w:val="Header"/>
    <w:uiPriority w:val="99"/>
    <w:rsid w:val="00644741"/>
    <w:rPr>
      <w:rFonts w:ascii="Times New Roman" w:hAnsi="Times New Roman"/>
      <w:sz w:val="22"/>
      <w:lang w:val="fr-FR" w:eastAsia="en-US"/>
    </w:rPr>
  </w:style>
  <w:style w:type="paragraph" w:customStyle="1" w:styleId="ITUintr">
    <w:name w:val="ITU_intr"/>
    <w:basedOn w:val="Normal"/>
    <w:next w:val="Normal"/>
    <w:rsid w:val="009D51FA"/>
    <w:pPr>
      <w:tabs>
        <w:tab w:val="clear" w:pos="794"/>
        <w:tab w:val="clear" w:pos="1191"/>
        <w:tab w:val="clear" w:pos="1588"/>
        <w:tab w:val="clear" w:pos="1985"/>
        <w:tab w:val="left" w:pos="737"/>
        <w:tab w:val="left" w:pos="1134"/>
      </w:tabs>
      <w:spacing w:before="567" w:after="57"/>
    </w:pPr>
    <w:rPr>
      <w:sz w:val="20"/>
    </w:rPr>
  </w:style>
  <w:style w:type="paragraph" w:customStyle="1" w:styleId="LetterStart">
    <w:name w:val="Letter_Start"/>
    <w:basedOn w:val="Normal"/>
    <w:rsid w:val="009D51FA"/>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itu">
    <w:name w:val="itu"/>
    <w:basedOn w:val="Normal"/>
    <w:rsid w:val="009D51FA"/>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hAnsi="Futura Lt BT"/>
      <w:sz w:val="18"/>
      <w:lang w:val="en-GB"/>
    </w:rPr>
  </w:style>
  <w:style w:type="character" w:customStyle="1" w:styleId="FooterChar">
    <w:name w:val="Footer Char"/>
    <w:link w:val="Footer"/>
    <w:rsid w:val="005A3DD9"/>
    <w:rPr>
      <w:rFonts w:ascii="Times New Roman" w:hAnsi="Times New Roman"/>
      <w:caps/>
      <w:sz w:val="18"/>
      <w:lang w:val="fr-FR" w:eastAsia="en-US"/>
    </w:rPr>
  </w:style>
  <w:style w:type="character" w:styleId="UnresolvedMention">
    <w:name w:val="Unresolved Mention"/>
    <w:basedOn w:val="DefaultParagraphFont"/>
    <w:uiPriority w:val="99"/>
    <w:semiHidden/>
    <w:unhideWhenUsed/>
    <w:rsid w:val="00307FB4"/>
    <w:rPr>
      <w:color w:val="605E5C"/>
      <w:shd w:val="clear" w:color="auto" w:fill="E1DFDD"/>
    </w:rPr>
  </w:style>
  <w:style w:type="character" w:styleId="FollowedHyperlink">
    <w:name w:val="FollowedHyperlink"/>
    <w:basedOn w:val="DefaultParagraphFont"/>
    <w:semiHidden/>
    <w:unhideWhenUsed/>
    <w:rsid w:val="00307FB4"/>
    <w:rPr>
      <w:color w:val="800080" w:themeColor="followedHyperlink"/>
      <w:u w:val="single"/>
    </w:rPr>
  </w:style>
  <w:style w:type="table" w:styleId="TableGrid">
    <w:name w:val="Table Grid"/>
    <w:basedOn w:val="TableNormal"/>
    <w:rsid w:val="00DE6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15354B"/>
    <w:pPr>
      <w:tabs>
        <w:tab w:val="clear" w:pos="794"/>
        <w:tab w:val="clear" w:pos="1191"/>
        <w:tab w:val="clear" w:pos="1588"/>
        <w:tab w:val="clear" w:pos="1985"/>
      </w:tabs>
      <w:overflowPunct/>
      <w:autoSpaceDE/>
      <w:autoSpaceDN/>
      <w:adjustRightInd/>
      <w:spacing w:before="0"/>
      <w:textAlignment w:val="auto"/>
    </w:pPr>
    <w:rPr>
      <w:rFonts w:ascii="Times New Roman" w:hAnsi="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541019">
      <w:bodyDiv w:val="1"/>
      <w:marLeft w:val="0"/>
      <w:marRight w:val="0"/>
      <w:marTop w:val="0"/>
      <w:marBottom w:val="0"/>
      <w:divBdr>
        <w:top w:val="none" w:sz="0" w:space="0" w:color="auto"/>
        <w:left w:val="none" w:sz="0" w:space="0" w:color="auto"/>
        <w:bottom w:val="none" w:sz="0" w:space="0" w:color="auto"/>
        <w:right w:val="none" w:sz="0" w:space="0" w:color="auto"/>
      </w:divBdr>
    </w:div>
    <w:div w:id="112377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tu.int/md/S23-DM-CIR-01015/en"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indianvisaonline.gov.in/visa/" TargetMode="External"/><Relationship Id="rId7" Type="http://schemas.openxmlformats.org/officeDocument/2006/relationships/endnotes" Target="endnotes.xml"/><Relationship Id="rId12" Type="http://schemas.openxmlformats.org/officeDocument/2006/relationships/hyperlink" Target="https://www.itu.int/md/S23-DM-CIR-01014/en" TargetMode="External"/><Relationship Id="rId17" Type="http://schemas.openxmlformats.org/officeDocument/2006/relationships/hyperlink" Target="https://www.itu.int/wtsa/2024/participation/practical-informatio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tu.int/net4/CRM/xreg/web/Registration.aspx?Event=C-00013545" TargetMode="External"/><Relationship Id="rId20" Type="http://schemas.openxmlformats.org/officeDocument/2006/relationships/image" Target="media/image4.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md/S23-DM-CIR-01013/e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itu.int/wtsa/2024/participation/registration/" TargetMode="External"/><Relationship Id="rId23" Type="http://schemas.openxmlformats.org/officeDocument/2006/relationships/header" Target="header1.xml"/><Relationship Id="rId10" Type="http://schemas.openxmlformats.org/officeDocument/2006/relationships/hyperlink" Target="https://www.itu.int/md/S23-SG-CIR-0042/en"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tsbsgd@itu.int" TargetMode="External"/><Relationship Id="rId14" Type="http://schemas.openxmlformats.org/officeDocument/2006/relationships/hyperlink" Target="https://gss.itu.int/" TargetMode="External"/><Relationship Id="rId22" Type="http://schemas.openxmlformats.org/officeDocument/2006/relationships/hyperlink" Target="https://indianvisaonline.gov.in/evisa/tvoa.html"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blue\dfs\REFINFO\TEMPLATE\ITUOffice2007\POOL\POOL%20F%20-%20ITU\TSB\PF_TSB_Circul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6824F-16C0-45D0-B266-61AC5B6DA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PF_TSB_Circular.dotx</Template>
  <TotalTime>23</TotalTime>
  <Pages>3</Pages>
  <Words>780</Words>
  <Characters>5371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UNION INTERNATIONALE DES TÉLÉCOMMUNICATIONS</vt:lpstr>
    </vt:vector>
  </TitlesOfParts>
  <Company>ITU</Company>
  <LinksUpToDate>false</LinksUpToDate>
  <CharactersWithSpaces>6139</CharactersWithSpaces>
  <SharedDoc>false</SharedDoc>
  <HLinks>
    <vt:vector size="6" baseType="variant">
      <vt:variant>
        <vt:i4>3932176</vt:i4>
      </vt:variant>
      <vt:variant>
        <vt:i4>0</vt:i4>
      </vt:variant>
      <vt:variant>
        <vt:i4>0</vt:i4>
      </vt:variant>
      <vt:variant>
        <vt:i4>5</vt:i4>
      </vt:variant>
      <vt:variant>
        <vt:lpwstr>mailto:tsbsg..@itu.int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UNION INTERNATIONALE DES TÉLÉCOMMUNICATIONS</dc:title>
  <dc:creator>French</dc:creator>
  <cp:lastModifiedBy>Braud, Olivia</cp:lastModifiedBy>
  <cp:revision>7</cp:revision>
  <cp:lastPrinted>2024-05-09T12:12:00Z</cp:lastPrinted>
  <dcterms:created xsi:type="dcterms:W3CDTF">2024-03-15T15:12:00Z</dcterms:created>
  <dcterms:modified xsi:type="dcterms:W3CDTF">2024-05-09T12:13:00Z</dcterms:modified>
</cp:coreProperties>
</file>