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2" w:type="dxa"/>
        <w:tblCellMar>
          <w:left w:w="0" w:type="dxa"/>
          <w:right w:w="0" w:type="dxa"/>
        </w:tblCellMar>
        <w:tblLook w:val="0000" w:firstRow="0" w:lastRow="0" w:firstColumn="0" w:lastColumn="0" w:noHBand="0" w:noVBand="0"/>
      </w:tblPr>
      <w:tblGrid>
        <w:gridCol w:w="1170"/>
        <w:gridCol w:w="4025"/>
        <w:gridCol w:w="4676"/>
      </w:tblGrid>
      <w:tr w:rsidR="00EF6A23" w:rsidRPr="0073446A" w14:paraId="3FDAE1F3" w14:textId="77777777" w:rsidTr="00A65000">
        <w:trPr>
          <w:cantSplit/>
        </w:trPr>
        <w:tc>
          <w:tcPr>
            <w:tcW w:w="1135" w:type="dxa"/>
            <w:vAlign w:val="center"/>
          </w:tcPr>
          <w:p w14:paraId="3DE42CAA" w14:textId="77777777" w:rsidR="00EF6A23" w:rsidRPr="0073446A" w:rsidRDefault="00EF6A23" w:rsidP="00D14F31">
            <w:pPr>
              <w:tabs>
                <w:tab w:val="right" w:pos="8732"/>
              </w:tabs>
              <w:spacing w:before="0"/>
              <w:rPr>
                <w:b/>
                <w:bCs/>
                <w:iCs/>
                <w:color w:val="FFFFFF"/>
                <w:sz w:val="30"/>
                <w:szCs w:val="30"/>
              </w:rPr>
            </w:pPr>
            <w:r w:rsidRPr="0073446A">
              <w:rPr>
                <w:noProof/>
                <w:lang w:eastAsia="zh-CN"/>
              </w:rPr>
              <w:drawing>
                <wp:inline distT="0" distB="0" distL="0" distR="0" wp14:anchorId="05764050" wp14:editId="61C79F3D">
                  <wp:extent cx="742950" cy="74295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c>
        <w:tc>
          <w:tcPr>
            <w:tcW w:w="8736" w:type="dxa"/>
            <w:gridSpan w:val="2"/>
            <w:vAlign w:val="center"/>
          </w:tcPr>
          <w:p w14:paraId="75924CEF" w14:textId="77777777" w:rsidR="00EF6A23" w:rsidRPr="0073446A" w:rsidRDefault="00EF6A23" w:rsidP="00EF6A23">
            <w:pPr>
              <w:spacing w:before="0"/>
              <w:rPr>
                <w:rFonts w:cs="Times New Roman Bold"/>
                <w:b/>
                <w:bCs/>
                <w:iCs/>
                <w:smallCaps/>
                <w:sz w:val="34"/>
                <w:szCs w:val="34"/>
              </w:rPr>
            </w:pPr>
            <w:r w:rsidRPr="0073446A">
              <w:rPr>
                <w:rFonts w:cs="Times New Roman Bold"/>
                <w:b/>
                <w:bCs/>
                <w:iCs/>
                <w:smallCaps/>
                <w:sz w:val="34"/>
                <w:szCs w:val="34"/>
              </w:rPr>
              <w:t>Union internationale des télécommunications</w:t>
            </w:r>
          </w:p>
          <w:p w14:paraId="089E66D0" w14:textId="77777777" w:rsidR="00EF6A23" w:rsidRPr="0073446A" w:rsidRDefault="00EF6A23" w:rsidP="00EF6A23">
            <w:pPr>
              <w:spacing w:before="0"/>
              <w:rPr>
                <w:color w:val="FFFFFF"/>
                <w:sz w:val="26"/>
                <w:szCs w:val="26"/>
              </w:rPr>
            </w:pPr>
            <w:r w:rsidRPr="0073446A">
              <w:rPr>
                <w:rFonts w:cs="Times New Roman Bold"/>
                <w:b/>
                <w:bCs/>
                <w:iCs/>
                <w:smallCaps/>
                <w:sz w:val="28"/>
                <w:szCs w:val="28"/>
              </w:rPr>
              <w:t>B</w:t>
            </w:r>
            <w:r w:rsidRPr="0073446A">
              <w:rPr>
                <w:b/>
                <w:bCs/>
                <w:iCs/>
                <w:smallCaps/>
                <w:sz w:val="28"/>
                <w:szCs w:val="28"/>
              </w:rPr>
              <w:t>ureau de la Normalisation des Télécommunications</w:t>
            </w:r>
          </w:p>
        </w:tc>
      </w:tr>
      <w:tr w:rsidR="00036F4F" w:rsidRPr="0073446A" w14:paraId="18B25741" w14:textId="77777777" w:rsidTr="00A65000">
        <w:trPr>
          <w:cantSplit/>
          <w:trHeight w:val="667"/>
        </w:trPr>
        <w:tc>
          <w:tcPr>
            <w:tcW w:w="1135" w:type="dxa"/>
          </w:tcPr>
          <w:p w14:paraId="4B1AFD72" w14:textId="77777777" w:rsidR="00036F4F" w:rsidRPr="0073446A" w:rsidRDefault="00036F4F" w:rsidP="00A5280F">
            <w:pPr>
              <w:tabs>
                <w:tab w:val="left" w:pos="4111"/>
              </w:tabs>
              <w:spacing w:before="10"/>
              <w:ind w:left="57"/>
            </w:pPr>
          </w:p>
        </w:tc>
        <w:tc>
          <w:tcPr>
            <w:tcW w:w="4040" w:type="dxa"/>
          </w:tcPr>
          <w:p w14:paraId="6579D3E8" w14:textId="77777777" w:rsidR="00036F4F" w:rsidRPr="00A65000" w:rsidRDefault="00036F4F" w:rsidP="00A5280F">
            <w:pPr>
              <w:tabs>
                <w:tab w:val="left" w:pos="4111"/>
              </w:tabs>
              <w:spacing w:before="10"/>
              <w:ind w:left="57"/>
              <w:rPr>
                <w:b/>
                <w:sz w:val="22"/>
                <w:szCs w:val="18"/>
              </w:rPr>
            </w:pPr>
          </w:p>
        </w:tc>
        <w:tc>
          <w:tcPr>
            <w:tcW w:w="4696" w:type="dxa"/>
          </w:tcPr>
          <w:p w14:paraId="0DC34ECA" w14:textId="19E03DA3" w:rsidR="00036F4F" w:rsidRPr="00A65000" w:rsidRDefault="00036F4F" w:rsidP="00A65000">
            <w:pPr>
              <w:tabs>
                <w:tab w:val="clear" w:pos="794"/>
                <w:tab w:val="clear" w:pos="1191"/>
                <w:tab w:val="clear" w:pos="1588"/>
                <w:tab w:val="clear" w:pos="1985"/>
                <w:tab w:val="left" w:pos="284"/>
              </w:tabs>
              <w:spacing w:after="120"/>
              <w:rPr>
                <w:sz w:val="22"/>
                <w:szCs w:val="18"/>
              </w:rPr>
            </w:pPr>
            <w:r w:rsidRPr="00A65000">
              <w:rPr>
                <w:sz w:val="22"/>
                <w:szCs w:val="18"/>
              </w:rPr>
              <w:t>Genève, le</w:t>
            </w:r>
            <w:r w:rsidR="004419E9" w:rsidRPr="00A65000">
              <w:rPr>
                <w:sz w:val="22"/>
                <w:szCs w:val="18"/>
              </w:rPr>
              <w:t xml:space="preserve"> </w:t>
            </w:r>
            <w:r w:rsidR="002C686F" w:rsidRPr="00A65000">
              <w:rPr>
                <w:sz w:val="22"/>
                <w:szCs w:val="18"/>
              </w:rPr>
              <w:t>4 mars 2024</w:t>
            </w:r>
          </w:p>
        </w:tc>
      </w:tr>
      <w:tr w:rsidR="00445B68" w:rsidRPr="00A65000" w14:paraId="16CDDFEF" w14:textId="77777777" w:rsidTr="00A65000">
        <w:trPr>
          <w:cantSplit/>
          <w:trHeight w:val="340"/>
        </w:trPr>
        <w:tc>
          <w:tcPr>
            <w:tcW w:w="1135" w:type="dxa"/>
          </w:tcPr>
          <w:p w14:paraId="3EFF375D" w14:textId="58556577" w:rsidR="00445B68" w:rsidRPr="00A65000" w:rsidRDefault="00445B68" w:rsidP="00A65000">
            <w:pPr>
              <w:tabs>
                <w:tab w:val="left" w:pos="4111"/>
              </w:tabs>
              <w:spacing w:before="10"/>
              <w:ind w:left="135"/>
              <w:rPr>
                <w:b/>
                <w:bCs/>
                <w:sz w:val="22"/>
                <w:szCs w:val="18"/>
              </w:rPr>
            </w:pPr>
            <w:proofErr w:type="gramStart"/>
            <w:r w:rsidRPr="00A65000">
              <w:rPr>
                <w:b/>
                <w:bCs/>
                <w:sz w:val="22"/>
                <w:szCs w:val="18"/>
              </w:rPr>
              <w:t>Réf.:</w:t>
            </w:r>
            <w:proofErr w:type="gramEnd"/>
          </w:p>
        </w:tc>
        <w:tc>
          <w:tcPr>
            <w:tcW w:w="4040" w:type="dxa"/>
          </w:tcPr>
          <w:p w14:paraId="577F6DA2" w14:textId="662151BD" w:rsidR="00445B68" w:rsidRPr="00A65000" w:rsidRDefault="00445B68" w:rsidP="002C686F">
            <w:pPr>
              <w:tabs>
                <w:tab w:val="left" w:pos="4111"/>
              </w:tabs>
              <w:spacing w:before="10"/>
              <w:ind w:left="57"/>
              <w:rPr>
                <w:b/>
                <w:bCs/>
                <w:sz w:val="22"/>
                <w:szCs w:val="18"/>
              </w:rPr>
            </w:pPr>
            <w:r w:rsidRPr="00A65000">
              <w:rPr>
                <w:b/>
                <w:sz w:val="22"/>
                <w:szCs w:val="18"/>
              </w:rPr>
              <w:t xml:space="preserve">Circulaire TSB </w:t>
            </w:r>
            <w:r w:rsidR="002C686F" w:rsidRPr="00A65000">
              <w:rPr>
                <w:b/>
                <w:sz w:val="22"/>
                <w:szCs w:val="18"/>
              </w:rPr>
              <w:t>186</w:t>
            </w:r>
          </w:p>
        </w:tc>
        <w:tc>
          <w:tcPr>
            <w:tcW w:w="4696" w:type="dxa"/>
            <w:vMerge w:val="restart"/>
          </w:tcPr>
          <w:p w14:paraId="56FFB697" w14:textId="77777777" w:rsidR="00307FB4" w:rsidRPr="00A65000" w:rsidRDefault="00307FB4" w:rsidP="00307FB4">
            <w:pPr>
              <w:tabs>
                <w:tab w:val="left" w:pos="226"/>
                <w:tab w:val="left" w:pos="4111"/>
              </w:tabs>
              <w:spacing w:before="0"/>
              <w:ind w:left="226" w:hanging="226"/>
              <w:rPr>
                <w:b/>
                <w:bCs/>
                <w:sz w:val="22"/>
                <w:szCs w:val="18"/>
              </w:rPr>
            </w:pPr>
            <w:bookmarkStart w:id="0" w:name="Addressee_F"/>
            <w:bookmarkEnd w:id="0"/>
            <w:r w:rsidRPr="00A65000">
              <w:rPr>
                <w:b/>
                <w:bCs/>
                <w:sz w:val="22"/>
                <w:szCs w:val="18"/>
              </w:rPr>
              <w:t>Aux:</w:t>
            </w:r>
          </w:p>
          <w:p w14:paraId="35271D8E" w14:textId="536C0CE8" w:rsidR="00307FB4" w:rsidRPr="00A65000" w:rsidRDefault="00307FB4" w:rsidP="00307FB4">
            <w:pPr>
              <w:tabs>
                <w:tab w:val="left" w:pos="4111"/>
              </w:tabs>
              <w:spacing w:before="0"/>
              <w:ind w:left="426" w:hanging="426"/>
              <w:rPr>
                <w:sz w:val="22"/>
                <w:szCs w:val="18"/>
              </w:rPr>
            </w:pPr>
            <w:r w:rsidRPr="00A65000">
              <w:rPr>
                <w:sz w:val="22"/>
                <w:szCs w:val="18"/>
              </w:rPr>
              <w:t>–</w:t>
            </w:r>
            <w:r w:rsidRPr="00A65000">
              <w:rPr>
                <w:sz w:val="22"/>
                <w:szCs w:val="18"/>
              </w:rPr>
              <w:tab/>
              <w:t>Administrations des États Membres de l'Union;</w:t>
            </w:r>
          </w:p>
          <w:p w14:paraId="38A5A6AE" w14:textId="47344D7B" w:rsidR="00307FB4" w:rsidRPr="00A65000" w:rsidRDefault="00307FB4" w:rsidP="00307FB4">
            <w:pPr>
              <w:tabs>
                <w:tab w:val="left" w:pos="4111"/>
              </w:tabs>
              <w:spacing w:before="0"/>
              <w:ind w:left="426" w:hanging="426"/>
              <w:rPr>
                <w:sz w:val="22"/>
                <w:szCs w:val="18"/>
              </w:rPr>
            </w:pPr>
            <w:r w:rsidRPr="00A65000">
              <w:rPr>
                <w:sz w:val="22"/>
                <w:szCs w:val="18"/>
              </w:rPr>
              <w:t>–</w:t>
            </w:r>
            <w:r w:rsidRPr="00A65000">
              <w:rPr>
                <w:sz w:val="22"/>
                <w:szCs w:val="18"/>
              </w:rPr>
              <w:tab/>
              <w:t>Membres du Secteur de l'UIT-T;</w:t>
            </w:r>
          </w:p>
          <w:p w14:paraId="45F82FBC" w14:textId="7313CB0A" w:rsidR="00307FB4" w:rsidRPr="00A65000" w:rsidRDefault="00307FB4" w:rsidP="00307FB4">
            <w:pPr>
              <w:tabs>
                <w:tab w:val="left" w:pos="4111"/>
              </w:tabs>
              <w:spacing w:before="0"/>
              <w:ind w:left="426" w:hanging="426"/>
              <w:rPr>
                <w:sz w:val="22"/>
                <w:szCs w:val="18"/>
              </w:rPr>
            </w:pPr>
            <w:r w:rsidRPr="00A65000">
              <w:rPr>
                <w:sz w:val="22"/>
                <w:szCs w:val="18"/>
              </w:rPr>
              <w:t>–</w:t>
            </w:r>
            <w:r w:rsidRPr="00A65000">
              <w:rPr>
                <w:sz w:val="22"/>
                <w:szCs w:val="18"/>
              </w:rPr>
              <w:tab/>
              <w:t>Associés de l'UIT-T;</w:t>
            </w:r>
          </w:p>
          <w:p w14:paraId="461460AE" w14:textId="5666B808" w:rsidR="00445B68" w:rsidRPr="00A65000" w:rsidRDefault="00307FB4" w:rsidP="00307FB4">
            <w:pPr>
              <w:tabs>
                <w:tab w:val="left" w:pos="4111"/>
              </w:tabs>
              <w:spacing w:before="0"/>
              <w:ind w:left="426" w:hanging="426"/>
              <w:rPr>
                <w:sz w:val="22"/>
                <w:szCs w:val="18"/>
              </w:rPr>
            </w:pPr>
            <w:r w:rsidRPr="00A65000">
              <w:rPr>
                <w:sz w:val="22"/>
                <w:szCs w:val="18"/>
              </w:rPr>
              <w:t>–</w:t>
            </w:r>
            <w:r w:rsidRPr="00A65000">
              <w:rPr>
                <w:sz w:val="22"/>
                <w:szCs w:val="18"/>
              </w:rPr>
              <w:tab/>
              <w:t>Établissements universitaires participant aux travaux de l'UIT</w:t>
            </w:r>
          </w:p>
        </w:tc>
      </w:tr>
      <w:tr w:rsidR="002C686F" w:rsidRPr="00A65000" w14:paraId="06A3F0E7" w14:textId="77777777" w:rsidTr="00A65000">
        <w:trPr>
          <w:cantSplit/>
          <w:trHeight w:val="340"/>
        </w:trPr>
        <w:tc>
          <w:tcPr>
            <w:tcW w:w="1135" w:type="dxa"/>
          </w:tcPr>
          <w:p w14:paraId="5CF43A7B" w14:textId="57747CC5" w:rsidR="002C686F" w:rsidRPr="00A65000" w:rsidRDefault="002C686F" w:rsidP="00A65000">
            <w:pPr>
              <w:tabs>
                <w:tab w:val="left" w:pos="4111"/>
              </w:tabs>
              <w:spacing w:before="10"/>
              <w:ind w:left="135"/>
              <w:rPr>
                <w:b/>
                <w:bCs/>
                <w:sz w:val="22"/>
                <w:szCs w:val="18"/>
              </w:rPr>
            </w:pPr>
            <w:r w:rsidRPr="00A65000">
              <w:rPr>
                <w:b/>
                <w:bCs/>
                <w:sz w:val="22"/>
                <w:szCs w:val="18"/>
              </w:rPr>
              <w:t>Tél.:</w:t>
            </w:r>
          </w:p>
        </w:tc>
        <w:tc>
          <w:tcPr>
            <w:tcW w:w="4040" w:type="dxa"/>
          </w:tcPr>
          <w:p w14:paraId="2074781F" w14:textId="2AE37B4B" w:rsidR="002C686F" w:rsidRPr="00A65000" w:rsidRDefault="002C686F" w:rsidP="002C686F">
            <w:pPr>
              <w:tabs>
                <w:tab w:val="left" w:pos="4111"/>
              </w:tabs>
              <w:spacing w:before="10"/>
              <w:ind w:left="57"/>
              <w:rPr>
                <w:b/>
                <w:sz w:val="22"/>
                <w:szCs w:val="18"/>
              </w:rPr>
            </w:pPr>
            <w:r w:rsidRPr="00A65000">
              <w:rPr>
                <w:sz w:val="22"/>
                <w:szCs w:val="18"/>
              </w:rPr>
              <w:t>+41 22 730 5882</w:t>
            </w:r>
          </w:p>
        </w:tc>
        <w:tc>
          <w:tcPr>
            <w:tcW w:w="4696" w:type="dxa"/>
            <w:vMerge/>
          </w:tcPr>
          <w:p w14:paraId="2F310545" w14:textId="77777777" w:rsidR="002C686F" w:rsidRPr="00A65000" w:rsidRDefault="002C686F" w:rsidP="002C686F">
            <w:pPr>
              <w:tabs>
                <w:tab w:val="clear" w:pos="794"/>
                <w:tab w:val="clear" w:pos="1191"/>
                <w:tab w:val="clear" w:pos="1588"/>
                <w:tab w:val="clear" w:pos="1985"/>
                <w:tab w:val="left" w:pos="284"/>
              </w:tabs>
              <w:spacing w:before="0"/>
              <w:ind w:left="284" w:hanging="227"/>
              <w:rPr>
                <w:sz w:val="22"/>
                <w:szCs w:val="18"/>
              </w:rPr>
            </w:pPr>
          </w:p>
        </w:tc>
      </w:tr>
      <w:tr w:rsidR="002C686F" w:rsidRPr="00A65000" w14:paraId="724FD23E" w14:textId="77777777" w:rsidTr="00A65000">
        <w:trPr>
          <w:cantSplit/>
        </w:trPr>
        <w:tc>
          <w:tcPr>
            <w:tcW w:w="1135" w:type="dxa"/>
          </w:tcPr>
          <w:p w14:paraId="73149CCD" w14:textId="3D5D5616" w:rsidR="002C686F" w:rsidRPr="00A65000" w:rsidRDefault="002C686F" w:rsidP="00A65000">
            <w:pPr>
              <w:tabs>
                <w:tab w:val="left" w:pos="4111"/>
              </w:tabs>
              <w:spacing w:before="10"/>
              <w:ind w:left="135"/>
              <w:rPr>
                <w:b/>
                <w:bCs/>
                <w:sz w:val="18"/>
                <w:szCs w:val="18"/>
              </w:rPr>
            </w:pPr>
            <w:r w:rsidRPr="00A65000">
              <w:rPr>
                <w:b/>
                <w:bCs/>
                <w:sz w:val="22"/>
                <w:szCs w:val="18"/>
              </w:rPr>
              <w:t>Télécopie:</w:t>
            </w:r>
          </w:p>
        </w:tc>
        <w:tc>
          <w:tcPr>
            <w:tcW w:w="4040" w:type="dxa"/>
          </w:tcPr>
          <w:p w14:paraId="78D06186" w14:textId="40BC5598" w:rsidR="002C686F" w:rsidRPr="00A65000" w:rsidRDefault="002C686F" w:rsidP="002C686F">
            <w:pPr>
              <w:tabs>
                <w:tab w:val="left" w:pos="4111"/>
              </w:tabs>
              <w:spacing w:before="0"/>
              <w:ind w:left="57"/>
              <w:rPr>
                <w:sz w:val="22"/>
                <w:szCs w:val="18"/>
              </w:rPr>
            </w:pPr>
            <w:r w:rsidRPr="00A65000">
              <w:rPr>
                <w:sz w:val="22"/>
                <w:szCs w:val="18"/>
              </w:rPr>
              <w:t>+41 22 730 5853</w:t>
            </w:r>
          </w:p>
        </w:tc>
        <w:tc>
          <w:tcPr>
            <w:tcW w:w="4696" w:type="dxa"/>
            <w:vMerge/>
          </w:tcPr>
          <w:p w14:paraId="6D3A5806" w14:textId="77777777" w:rsidR="002C686F" w:rsidRPr="00A65000" w:rsidRDefault="002C686F" w:rsidP="002C686F">
            <w:pPr>
              <w:tabs>
                <w:tab w:val="left" w:pos="226"/>
                <w:tab w:val="left" w:pos="4111"/>
              </w:tabs>
              <w:spacing w:before="0"/>
              <w:ind w:left="226" w:hanging="226"/>
              <w:rPr>
                <w:b/>
                <w:sz w:val="22"/>
                <w:szCs w:val="18"/>
              </w:rPr>
            </w:pPr>
          </w:p>
        </w:tc>
      </w:tr>
      <w:tr w:rsidR="002C686F" w:rsidRPr="00A65000" w14:paraId="030F9AE5" w14:textId="77777777" w:rsidTr="00A65000">
        <w:trPr>
          <w:cantSplit/>
          <w:trHeight w:val="586"/>
        </w:trPr>
        <w:tc>
          <w:tcPr>
            <w:tcW w:w="1135" w:type="dxa"/>
          </w:tcPr>
          <w:p w14:paraId="7B417C4C" w14:textId="3CD13B0F" w:rsidR="002C686F" w:rsidRPr="00A65000" w:rsidRDefault="002C686F" w:rsidP="00A65000">
            <w:pPr>
              <w:tabs>
                <w:tab w:val="left" w:pos="4111"/>
              </w:tabs>
              <w:spacing w:before="10"/>
              <w:ind w:left="135"/>
              <w:rPr>
                <w:b/>
                <w:bCs/>
                <w:sz w:val="18"/>
                <w:szCs w:val="18"/>
              </w:rPr>
            </w:pPr>
            <w:r w:rsidRPr="00A65000">
              <w:rPr>
                <w:b/>
                <w:bCs/>
                <w:sz w:val="22"/>
                <w:szCs w:val="18"/>
              </w:rPr>
              <w:t>Courriel:</w:t>
            </w:r>
          </w:p>
        </w:tc>
        <w:tc>
          <w:tcPr>
            <w:tcW w:w="4040" w:type="dxa"/>
          </w:tcPr>
          <w:p w14:paraId="1A4A5F7B" w14:textId="41D38524" w:rsidR="002C686F" w:rsidRPr="00A65000" w:rsidRDefault="00506742" w:rsidP="002C686F">
            <w:pPr>
              <w:tabs>
                <w:tab w:val="left" w:pos="4111"/>
              </w:tabs>
              <w:spacing w:before="0"/>
              <w:ind w:left="57"/>
              <w:rPr>
                <w:sz w:val="22"/>
                <w:szCs w:val="18"/>
              </w:rPr>
            </w:pPr>
            <w:hyperlink r:id="rId9" w:history="1">
              <w:r w:rsidR="002C686F" w:rsidRPr="00A65000">
                <w:rPr>
                  <w:rStyle w:val="Hyperlink"/>
                  <w:sz w:val="22"/>
                  <w:szCs w:val="18"/>
                </w:rPr>
                <w:t>alessia.magliarditi@itu.int</w:t>
              </w:r>
            </w:hyperlink>
          </w:p>
        </w:tc>
        <w:tc>
          <w:tcPr>
            <w:tcW w:w="4696" w:type="dxa"/>
            <w:vMerge/>
          </w:tcPr>
          <w:p w14:paraId="323DAC81" w14:textId="77777777" w:rsidR="002C686F" w:rsidRPr="00A65000" w:rsidRDefault="002C686F" w:rsidP="002C686F">
            <w:pPr>
              <w:tabs>
                <w:tab w:val="left" w:pos="226"/>
                <w:tab w:val="left" w:pos="4111"/>
              </w:tabs>
              <w:spacing w:before="0"/>
              <w:ind w:left="226" w:hanging="226"/>
              <w:rPr>
                <w:b/>
                <w:sz w:val="22"/>
                <w:szCs w:val="18"/>
              </w:rPr>
            </w:pPr>
          </w:p>
        </w:tc>
      </w:tr>
      <w:tr w:rsidR="002C686F" w:rsidRPr="00A65000" w14:paraId="640FB6B9" w14:textId="77777777" w:rsidTr="00A65000">
        <w:trPr>
          <w:cantSplit/>
        </w:trPr>
        <w:tc>
          <w:tcPr>
            <w:tcW w:w="1135" w:type="dxa"/>
          </w:tcPr>
          <w:p w14:paraId="15527369" w14:textId="35271649" w:rsidR="002C686F" w:rsidRPr="00A65000" w:rsidRDefault="002C686F" w:rsidP="00A65000">
            <w:pPr>
              <w:tabs>
                <w:tab w:val="left" w:pos="4111"/>
              </w:tabs>
              <w:spacing w:before="10"/>
              <w:ind w:left="135"/>
              <w:rPr>
                <w:b/>
                <w:bCs/>
                <w:sz w:val="22"/>
                <w:szCs w:val="18"/>
              </w:rPr>
            </w:pPr>
          </w:p>
        </w:tc>
        <w:tc>
          <w:tcPr>
            <w:tcW w:w="4040" w:type="dxa"/>
          </w:tcPr>
          <w:p w14:paraId="172249CE" w14:textId="4DE71540" w:rsidR="002C686F" w:rsidRPr="00A65000" w:rsidRDefault="002C686F" w:rsidP="002C686F">
            <w:pPr>
              <w:tabs>
                <w:tab w:val="left" w:pos="4111"/>
              </w:tabs>
              <w:spacing w:before="0"/>
              <w:ind w:left="57"/>
              <w:rPr>
                <w:sz w:val="22"/>
                <w:szCs w:val="18"/>
              </w:rPr>
            </w:pPr>
          </w:p>
        </w:tc>
        <w:tc>
          <w:tcPr>
            <w:tcW w:w="4696" w:type="dxa"/>
          </w:tcPr>
          <w:p w14:paraId="55E5D357" w14:textId="77777777" w:rsidR="002C686F" w:rsidRPr="00A65000" w:rsidRDefault="002C686F" w:rsidP="002C686F">
            <w:pPr>
              <w:tabs>
                <w:tab w:val="clear" w:pos="794"/>
                <w:tab w:val="left" w:pos="226"/>
                <w:tab w:val="left" w:pos="4111"/>
              </w:tabs>
              <w:spacing w:before="0"/>
              <w:ind w:left="226" w:hanging="226"/>
              <w:rPr>
                <w:b/>
                <w:bCs/>
                <w:sz w:val="22"/>
                <w:szCs w:val="18"/>
              </w:rPr>
            </w:pPr>
            <w:r w:rsidRPr="00A65000">
              <w:rPr>
                <w:b/>
                <w:bCs/>
                <w:sz w:val="22"/>
                <w:szCs w:val="18"/>
              </w:rPr>
              <w:t>Copie:</w:t>
            </w:r>
          </w:p>
          <w:p w14:paraId="6CE98CB1" w14:textId="5DA2600C" w:rsidR="002C686F" w:rsidRPr="00A65000" w:rsidRDefault="002C686F" w:rsidP="002C686F">
            <w:pPr>
              <w:tabs>
                <w:tab w:val="clear" w:pos="794"/>
                <w:tab w:val="left" w:pos="4111"/>
              </w:tabs>
              <w:spacing w:before="0"/>
              <w:ind w:left="426" w:hanging="426"/>
              <w:rPr>
                <w:sz w:val="22"/>
                <w:szCs w:val="18"/>
              </w:rPr>
            </w:pPr>
            <w:r w:rsidRPr="00A65000">
              <w:rPr>
                <w:sz w:val="22"/>
                <w:szCs w:val="18"/>
              </w:rPr>
              <w:t>–</w:t>
            </w:r>
            <w:r w:rsidRPr="00A65000">
              <w:rPr>
                <w:sz w:val="22"/>
                <w:szCs w:val="18"/>
              </w:rPr>
              <w:tab/>
              <w:t>Aux Présidents et Vice-Présidents des Commissions d</w:t>
            </w:r>
            <w:r w:rsidR="00A65000">
              <w:rPr>
                <w:sz w:val="22"/>
                <w:szCs w:val="18"/>
              </w:rPr>
              <w:t xml:space="preserve"> </w:t>
            </w:r>
            <w:r w:rsidRPr="00A65000">
              <w:rPr>
                <w:sz w:val="22"/>
                <w:szCs w:val="18"/>
              </w:rPr>
              <w:t>'</w:t>
            </w:r>
            <w:proofErr w:type="gramStart"/>
            <w:r w:rsidRPr="00A65000">
              <w:rPr>
                <w:sz w:val="22"/>
                <w:szCs w:val="18"/>
              </w:rPr>
              <w:t>études;</w:t>
            </w:r>
            <w:proofErr w:type="gramEnd"/>
          </w:p>
          <w:p w14:paraId="56C75C35" w14:textId="1A09D40C" w:rsidR="002C686F" w:rsidRPr="00A65000" w:rsidRDefault="002C686F" w:rsidP="002C686F">
            <w:pPr>
              <w:tabs>
                <w:tab w:val="clear" w:pos="794"/>
                <w:tab w:val="left" w:pos="4111"/>
              </w:tabs>
              <w:spacing w:before="0"/>
              <w:ind w:left="426" w:hanging="426"/>
              <w:rPr>
                <w:sz w:val="22"/>
                <w:szCs w:val="18"/>
              </w:rPr>
            </w:pPr>
            <w:r w:rsidRPr="00A65000">
              <w:rPr>
                <w:sz w:val="22"/>
                <w:szCs w:val="18"/>
              </w:rPr>
              <w:t>–</w:t>
            </w:r>
            <w:r w:rsidRPr="00A65000">
              <w:rPr>
                <w:sz w:val="22"/>
                <w:szCs w:val="18"/>
              </w:rPr>
              <w:tab/>
              <w:t>Au Directeur du Bureau de développement des télécommunications;</w:t>
            </w:r>
          </w:p>
          <w:p w14:paraId="19762254" w14:textId="061893F3" w:rsidR="002C686F" w:rsidRPr="00A65000" w:rsidRDefault="002C686F" w:rsidP="002C686F">
            <w:pPr>
              <w:tabs>
                <w:tab w:val="clear" w:pos="794"/>
                <w:tab w:val="left" w:pos="4111"/>
              </w:tabs>
              <w:spacing w:before="0"/>
              <w:ind w:left="426" w:hanging="426"/>
              <w:rPr>
                <w:sz w:val="22"/>
                <w:szCs w:val="18"/>
              </w:rPr>
            </w:pPr>
            <w:r w:rsidRPr="00A65000">
              <w:rPr>
                <w:sz w:val="22"/>
                <w:szCs w:val="18"/>
              </w:rPr>
              <w:t>–</w:t>
            </w:r>
            <w:r w:rsidRPr="00A65000">
              <w:rPr>
                <w:sz w:val="22"/>
                <w:szCs w:val="18"/>
              </w:rPr>
              <w:tab/>
              <w:t>Au Directeur du Bureau des radiocommunications</w:t>
            </w:r>
          </w:p>
        </w:tc>
      </w:tr>
      <w:tr w:rsidR="002C686F" w:rsidRPr="00A65000" w14:paraId="5435C04A" w14:textId="77777777" w:rsidTr="00A65000">
        <w:trPr>
          <w:cantSplit/>
          <w:trHeight w:val="484"/>
        </w:trPr>
        <w:tc>
          <w:tcPr>
            <w:tcW w:w="1135" w:type="dxa"/>
          </w:tcPr>
          <w:p w14:paraId="2A0B9B4F" w14:textId="77777777" w:rsidR="002C686F" w:rsidRPr="00A65000" w:rsidRDefault="002C686F" w:rsidP="00A65000">
            <w:pPr>
              <w:tabs>
                <w:tab w:val="left" w:pos="4111"/>
              </w:tabs>
              <w:ind w:left="135"/>
              <w:rPr>
                <w:b/>
                <w:bCs/>
                <w:sz w:val="22"/>
              </w:rPr>
            </w:pPr>
            <w:proofErr w:type="gramStart"/>
            <w:r w:rsidRPr="00A65000">
              <w:rPr>
                <w:b/>
                <w:bCs/>
                <w:sz w:val="22"/>
              </w:rPr>
              <w:t>Objet:</w:t>
            </w:r>
            <w:proofErr w:type="gramEnd"/>
          </w:p>
        </w:tc>
        <w:tc>
          <w:tcPr>
            <w:tcW w:w="8736" w:type="dxa"/>
            <w:gridSpan w:val="2"/>
          </w:tcPr>
          <w:p w14:paraId="1A51EE75" w14:textId="64BDF5A8" w:rsidR="002C686F" w:rsidRPr="00A65000" w:rsidRDefault="002C686F" w:rsidP="00A65000">
            <w:pPr>
              <w:tabs>
                <w:tab w:val="left" w:pos="4111"/>
              </w:tabs>
              <w:ind w:left="57"/>
              <w:rPr>
                <w:b/>
                <w:bCs/>
                <w:sz w:val="22"/>
              </w:rPr>
            </w:pPr>
            <w:r w:rsidRPr="00A65000">
              <w:rPr>
                <w:b/>
                <w:bCs/>
                <w:sz w:val="22"/>
              </w:rPr>
              <w:t>Série de webinaires du Journal de l'UIT. Manifestation entièrement virtuelle, février-juin 2024.</w:t>
            </w:r>
          </w:p>
        </w:tc>
      </w:tr>
    </w:tbl>
    <w:p w14:paraId="2D1EC328" w14:textId="77777777" w:rsidR="00517A03" w:rsidRPr="00A65000" w:rsidRDefault="00517A03" w:rsidP="00A65000">
      <w:pPr>
        <w:rPr>
          <w:sz w:val="22"/>
          <w:szCs w:val="18"/>
        </w:rPr>
      </w:pPr>
      <w:bookmarkStart w:id="1" w:name="StartTyping_F"/>
      <w:bookmarkEnd w:id="1"/>
      <w:r w:rsidRPr="00A65000">
        <w:rPr>
          <w:sz w:val="22"/>
          <w:szCs w:val="18"/>
        </w:rPr>
        <w:t>Madame, Monsieur,</w:t>
      </w:r>
    </w:p>
    <w:p w14:paraId="5391DBFC" w14:textId="5070C8DD" w:rsidR="002C686F" w:rsidRPr="00A65000" w:rsidRDefault="002C686F" w:rsidP="002C686F">
      <w:pPr>
        <w:rPr>
          <w:sz w:val="22"/>
          <w:szCs w:val="18"/>
        </w:rPr>
      </w:pPr>
      <w:r w:rsidRPr="00A65000">
        <w:rPr>
          <w:sz w:val="22"/>
          <w:szCs w:val="18"/>
        </w:rPr>
        <w:t>1</w:t>
      </w:r>
      <w:r w:rsidRPr="00A65000">
        <w:rPr>
          <w:sz w:val="22"/>
          <w:szCs w:val="18"/>
        </w:rPr>
        <w:tab/>
        <w:t xml:space="preserve">Le </w:t>
      </w:r>
      <w:hyperlink r:id="rId10" w:history="1">
        <w:r w:rsidRPr="00A65000">
          <w:rPr>
            <w:rStyle w:val="Hyperlink"/>
            <w:sz w:val="22"/>
            <w:szCs w:val="18"/>
          </w:rPr>
          <w:t>Journal de l'UIT</w:t>
        </w:r>
      </w:hyperlink>
      <w:r w:rsidRPr="00A65000">
        <w:rPr>
          <w:sz w:val="22"/>
          <w:szCs w:val="18"/>
        </w:rPr>
        <w:t xml:space="preserve"> poursuit l'organisation de sa </w:t>
      </w:r>
      <w:hyperlink r:id="rId11" w:history="1">
        <w:r w:rsidRPr="00A65000">
          <w:rPr>
            <w:rStyle w:val="Hyperlink"/>
            <w:sz w:val="22"/>
            <w:szCs w:val="18"/>
          </w:rPr>
          <w:t>série de webinaires</w:t>
        </w:r>
      </w:hyperlink>
      <w:r w:rsidRPr="00A65000">
        <w:rPr>
          <w:sz w:val="22"/>
          <w:szCs w:val="18"/>
        </w:rPr>
        <w:t>, lancée le 16 mars 2022, afin de présenter des vues et des travaux de recherche prospectifs sur les technologies futures et les technologies en évolution.</w:t>
      </w:r>
      <w:r w:rsidR="00A65000">
        <w:rPr>
          <w:sz w:val="22"/>
          <w:szCs w:val="18"/>
        </w:rPr>
        <w:t xml:space="preserve"> </w:t>
      </w:r>
    </w:p>
    <w:p w14:paraId="1DB147D0" w14:textId="77777777" w:rsidR="002C686F" w:rsidRPr="00A65000" w:rsidRDefault="002C686F" w:rsidP="002C686F">
      <w:pPr>
        <w:rPr>
          <w:sz w:val="22"/>
          <w:szCs w:val="18"/>
        </w:rPr>
      </w:pPr>
      <w:r w:rsidRPr="00A65000">
        <w:rPr>
          <w:sz w:val="22"/>
          <w:szCs w:val="18"/>
        </w:rPr>
        <w:t>2</w:t>
      </w:r>
      <w:r w:rsidRPr="00A65000">
        <w:rPr>
          <w:sz w:val="22"/>
          <w:szCs w:val="18"/>
        </w:rPr>
        <w:tab/>
        <w:t>Les prochains webinaires de la série mettront en avant des chefs d'entreprise et des chercheurs de renom qui feront part de leurs travaux novateurs, exprimeront leurs idées et livreront les enseignements constructifs qu'ils ont tirés de leur expérience au fil des ans.</w:t>
      </w:r>
    </w:p>
    <w:p w14:paraId="351CB44E" w14:textId="68096047" w:rsidR="002C686F" w:rsidRPr="00A65000" w:rsidRDefault="002C686F" w:rsidP="002C686F">
      <w:pPr>
        <w:rPr>
          <w:sz w:val="22"/>
          <w:szCs w:val="18"/>
        </w:rPr>
      </w:pPr>
      <w:r w:rsidRPr="00A65000">
        <w:rPr>
          <w:sz w:val="22"/>
          <w:szCs w:val="18"/>
        </w:rPr>
        <w:t>3</w:t>
      </w:r>
      <w:r w:rsidRPr="00A65000">
        <w:rPr>
          <w:sz w:val="22"/>
          <w:szCs w:val="18"/>
        </w:rPr>
        <w:tab/>
        <w:t>Le premier webinaire de la série, intitulé "</w:t>
      </w:r>
      <w:hyperlink r:id="rId12" w:history="1">
        <w:r w:rsidRPr="00A65000">
          <w:rPr>
            <w:rStyle w:val="Hyperlink"/>
            <w:b/>
            <w:bCs/>
            <w:sz w:val="22"/>
            <w:szCs w:val="18"/>
          </w:rPr>
          <w:t>Facteur de perte (W): Un facteur de mérite pour l'ingénierie économe en énergie (verte) pour tout dispositif ou toute cascade de circuits et de systèmes</w:t>
        </w:r>
      </w:hyperlink>
      <w:r w:rsidRPr="00A65000">
        <w:rPr>
          <w:sz w:val="22"/>
          <w:szCs w:val="18"/>
        </w:rPr>
        <w:t xml:space="preserve">", a été présenté par </w:t>
      </w:r>
      <w:r w:rsidRPr="00A65000">
        <w:rPr>
          <w:b/>
          <w:bCs/>
          <w:sz w:val="22"/>
          <w:szCs w:val="18"/>
        </w:rPr>
        <w:t>M. Theodore Rappaport</w:t>
      </w:r>
      <w:r w:rsidRPr="00A65000">
        <w:rPr>
          <w:sz w:val="22"/>
          <w:szCs w:val="18"/>
        </w:rPr>
        <w:t xml:space="preserve">, de l'Université de New York (États-Unis), le 20 février 2024 de 16 h 00 à 17 h 30 </w:t>
      </w:r>
      <w:r w:rsidR="0073446A" w:rsidRPr="00A65000">
        <w:rPr>
          <w:sz w:val="22"/>
          <w:szCs w:val="18"/>
        </w:rPr>
        <w:t>CET. Ce</w:t>
      </w:r>
      <w:r w:rsidRPr="00A65000">
        <w:rPr>
          <w:sz w:val="22"/>
          <w:szCs w:val="18"/>
        </w:rPr>
        <w:t xml:space="preserve"> webinaire a permis de présenter un nouveau facteur de mérite pour la comparaison des pertes d'énergie le long d'une cascade, à savoir le Facteur de perte, qui peut être utilisé comme indicateur fondamental de performance dans la conception de circuits et de systèmes économes en énergie.</w:t>
      </w:r>
    </w:p>
    <w:p w14:paraId="293DE197" w14:textId="39C477AB" w:rsidR="002C686F" w:rsidRPr="00A65000" w:rsidRDefault="002C686F" w:rsidP="002C686F">
      <w:pPr>
        <w:rPr>
          <w:sz w:val="22"/>
          <w:szCs w:val="18"/>
        </w:rPr>
      </w:pPr>
      <w:r w:rsidRPr="00A65000">
        <w:rPr>
          <w:sz w:val="22"/>
          <w:szCs w:val="18"/>
        </w:rPr>
        <w:t>4</w:t>
      </w:r>
      <w:r w:rsidRPr="00A65000">
        <w:rPr>
          <w:sz w:val="22"/>
          <w:szCs w:val="18"/>
        </w:rPr>
        <w:tab/>
        <w:t>Les prochains webinaires porteront sur les thèmes suivants:</w:t>
      </w:r>
    </w:p>
    <w:p w14:paraId="46041BBF" w14:textId="4FB7F24A" w:rsidR="002C686F" w:rsidRPr="00A65000" w:rsidRDefault="002C686F" w:rsidP="002C686F">
      <w:pPr>
        <w:pStyle w:val="enumlev1"/>
        <w:rPr>
          <w:sz w:val="22"/>
          <w:szCs w:val="18"/>
        </w:rPr>
      </w:pPr>
      <w:r w:rsidRPr="00A65000">
        <w:rPr>
          <w:sz w:val="22"/>
          <w:szCs w:val="18"/>
        </w:rPr>
        <w:t>•</w:t>
      </w:r>
      <w:r w:rsidRPr="00A65000">
        <w:rPr>
          <w:sz w:val="22"/>
          <w:szCs w:val="18"/>
        </w:rPr>
        <w:tab/>
        <w:t>"</w:t>
      </w:r>
      <w:hyperlink r:id="rId13" w:history="1">
        <w:r w:rsidRPr="00A65000">
          <w:rPr>
            <w:rStyle w:val="Hyperlink"/>
            <w:b/>
            <w:bCs/>
            <w:sz w:val="22"/>
            <w:szCs w:val="18"/>
          </w:rPr>
          <w:t>Décoder les mondes cachés: Des capacités de détection et de connectivité inédites au service de l'action climatique, de la robotique et des environnements intelligents</w:t>
        </w:r>
      </w:hyperlink>
      <w:r w:rsidRPr="00A65000">
        <w:rPr>
          <w:sz w:val="22"/>
          <w:szCs w:val="18"/>
        </w:rPr>
        <w:t xml:space="preserve">". Ce webinaire aura lieu le </w:t>
      </w:r>
      <w:r w:rsidRPr="00A65000">
        <w:rPr>
          <w:b/>
          <w:bCs/>
          <w:sz w:val="22"/>
          <w:szCs w:val="18"/>
        </w:rPr>
        <w:t>5 mars 2024</w:t>
      </w:r>
      <w:r w:rsidRPr="00A65000">
        <w:rPr>
          <w:sz w:val="22"/>
          <w:szCs w:val="18"/>
        </w:rPr>
        <w:t xml:space="preserve">, de 16 h 00 à 17 h 30 CET, et sera présenté par </w:t>
      </w:r>
      <w:r w:rsidRPr="00A65000">
        <w:rPr>
          <w:b/>
          <w:bCs/>
          <w:sz w:val="22"/>
          <w:szCs w:val="18"/>
        </w:rPr>
        <w:t>M. Fadel Adib</w:t>
      </w:r>
      <w:r w:rsidRPr="00A65000">
        <w:rPr>
          <w:sz w:val="22"/>
          <w:szCs w:val="18"/>
        </w:rPr>
        <w:t>, de l'Institut de technologie du Massachusetts (MIT) (États-Unis).</w:t>
      </w:r>
    </w:p>
    <w:p w14:paraId="26A94994" w14:textId="2E5E43DB" w:rsidR="002C686F" w:rsidRPr="00A65000" w:rsidRDefault="002C686F" w:rsidP="002C686F">
      <w:pPr>
        <w:pStyle w:val="enumlev1"/>
        <w:rPr>
          <w:sz w:val="22"/>
          <w:szCs w:val="18"/>
        </w:rPr>
      </w:pPr>
      <w:r w:rsidRPr="00A65000">
        <w:rPr>
          <w:sz w:val="22"/>
          <w:szCs w:val="18"/>
        </w:rPr>
        <w:tab/>
        <w:t>Ce webinaire mettra à l'honneur des technologies de nouvelle génération, capables de détecter et de percevoir le monde physique et de s'y connecter comme jamais auparavant. Quatre technologies fondamentales, inventées par M. Adib et son équipe, y seront présentées, ainsi que le parcours suivi par ces technologies, depuis leur création, au MIT, jusqu'à leur application concrète par des startups et des entités internationales, dans des domaines tels que les soins de santé, les changements climatiques et la chaîne d'approvisionnement.</w:t>
      </w:r>
    </w:p>
    <w:p w14:paraId="4778686A" w14:textId="6E40F8A5" w:rsidR="002C686F" w:rsidRPr="00A65000" w:rsidRDefault="002C686F" w:rsidP="002C686F">
      <w:pPr>
        <w:pStyle w:val="enumlev1"/>
        <w:rPr>
          <w:sz w:val="22"/>
          <w:szCs w:val="18"/>
        </w:rPr>
      </w:pPr>
      <w:r w:rsidRPr="00A65000">
        <w:rPr>
          <w:sz w:val="22"/>
          <w:szCs w:val="18"/>
        </w:rPr>
        <w:t>•</w:t>
      </w:r>
      <w:r w:rsidRPr="00A65000">
        <w:rPr>
          <w:sz w:val="22"/>
          <w:szCs w:val="18"/>
        </w:rPr>
        <w:tab/>
        <w:t>"</w:t>
      </w:r>
      <w:hyperlink r:id="rId14" w:history="1">
        <w:r w:rsidR="0073446A" w:rsidRPr="00A65000">
          <w:rPr>
            <w:rStyle w:val="Hyperlink"/>
            <w:b/>
            <w:bCs/>
            <w:sz w:val="22"/>
            <w:szCs w:val="18"/>
          </w:rPr>
          <w:t>Repousser les limites de la détection mobile: Les soins de santé intelligents à l'ère des technologies d'intelligence artificielle</w:t>
        </w:r>
      </w:hyperlink>
      <w:r w:rsidRPr="00A65000">
        <w:rPr>
          <w:sz w:val="22"/>
          <w:szCs w:val="18"/>
        </w:rPr>
        <w:t xml:space="preserve">". Ce webinaire aura lieu le </w:t>
      </w:r>
      <w:r w:rsidRPr="00A65000">
        <w:rPr>
          <w:b/>
          <w:bCs/>
          <w:sz w:val="22"/>
          <w:szCs w:val="18"/>
        </w:rPr>
        <w:t>23 avril 2024</w:t>
      </w:r>
      <w:r w:rsidRPr="00A65000">
        <w:rPr>
          <w:sz w:val="22"/>
          <w:szCs w:val="18"/>
        </w:rPr>
        <w:t xml:space="preserve">, de 16 h 00 à 17 h 30 CEST, et sera présenté par </w:t>
      </w:r>
      <w:r w:rsidRPr="00A65000">
        <w:rPr>
          <w:b/>
          <w:bCs/>
          <w:sz w:val="22"/>
          <w:szCs w:val="18"/>
        </w:rPr>
        <w:t>M. Qian Zhang</w:t>
      </w:r>
      <w:r w:rsidRPr="00A65000">
        <w:rPr>
          <w:sz w:val="22"/>
          <w:szCs w:val="18"/>
        </w:rPr>
        <w:t>, de l'Université des sciences et technologies de Hong Kong (HKUST), à Hong Kong (Chine).</w:t>
      </w:r>
    </w:p>
    <w:p w14:paraId="714A8671" w14:textId="48B6E905" w:rsidR="002C686F" w:rsidRPr="00A65000" w:rsidRDefault="002C686F" w:rsidP="002C686F">
      <w:pPr>
        <w:pStyle w:val="enumlev1"/>
        <w:rPr>
          <w:sz w:val="22"/>
          <w:szCs w:val="18"/>
        </w:rPr>
      </w:pPr>
      <w:r w:rsidRPr="00A65000">
        <w:rPr>
          <w:sz w:val="22"/>
          <w:szCs w:val="18"/>
        </w:rPr>
        <w:lastRenderedPageBreak/>
        <w:tab/>
        <w:t>Ce webinaire présentera certains des travaux de M. Zhang sur la façon de tirer parti des dispositifs portables et de la capacité de détection du support de communication pour prendre en charge des applications de soins de santé intelligentes, en particulier dans le cas des soins à domicile.</w:t>
      </w:r>
    </w:p>
    <w:p w14:paraId="53149862" w14:textId="5A8DB9FF" w:rsidR="002C686F" w:rsidRPr="00A65000" w:rsidRDefault="002C686F" w:rsidP="002C686F">
      <w:pPr>
        <w:pStyle w:val="enumlev1"/>
        <w:rPr>
          <w:sz w:val="22"/>
          <w:szCs w:val="18"/>
        </w:rPr>
      </w:pPr>
      <w:r w:rsidRPr="00A65000">
        <w:rPr>
          <w:sz w:val="22"/>
          <w:szCs w:val="18"/>
        </w:rPr>
        <w:t>•</w:t>
      </w:r>
      <w:r w:rsidRPr="00A65000">
        <w:rPr>
          <w:sz w:val="22"/>
          <w:szCs w:val="18"/>
        </w:rPr>
        <w:tab/>
        <w:t>"</w:t>
      </w:r>
      <w:hyperlink r:id="rId15" w:history="1">
        <w:r w:rsidR="0073446A" w:rsidRPr="00A65000">
          <w:rPr>
            <w:rStyle w:val="Hyperlink"/>
            <w:b/>
            <w:bCs/>
            <w:sz w:val="22"/>
            <w:szCs w:val="18"/>
          </w:rPr>
          <w:t>Transparence, confidentialité et performance: La triade noire de l'IA dans l'Internet de nouvelle génération</w:t>
        </w:r>
      </w:hyperlink>
      <w:r w:rsidRPr="00A65000">
        <w:rPr>
          <w:sz w:val="22"/>
          <w:szCs w:val="18"/>
        </w:rPr>
        <w:t xml:space="preserve">". Ce webinaire sera organisé le </w:t>
      </w:r>
      <w:r w:rsidRPr="00A65000">
        <w:rPr>
          <w:b/>
          <w:bCs/>
          <w:sz w:val="22"/>
          <w:szCs w:val="18"/>
        </w:rPr>
        <w:t>30 avril 2024</w:t>
      </w:r>
      <w:r w:rsidRPr="00A65000">
        <w:rPr>
          <w:sz w:val="22"/>
          <w:szCs w:val="18"/>
        </w:rPr>
        <w:t xml:space="preserve"> de 16 h 00 à 17 h 30 CEST, et sera présenté par </w:t>
      </w:r>
      <w:r w:rsidRPr="00A65000">
        <w:rPr>
          <w:b/>
          <w:bCs/>
          <w:sz w:val="22"/>
          <w:szCs w:val="18"/>
        </w:rPr>
        <w:t>Mme Silvia Giordano</w:t>
      </w:r>
      <w:r w:rsidRPr="00A65000">
        <w:rPr>
          <w:sz w:val="22"/>
          <w:szCs w:val="18"/>
        </w:rPr>
        <w:t>, de la Haute école spécialisée de Suisse méridionale (SUPSI) (Suisse). Ce webinaire portera sur la façon d'atteindre l'équilibre délicat dans le cadre du déploiement de systèmes d'intelligence artificielle capables d'intégrer les exigences de transparence, de confidentialité et de performance.</w:t>
      </w:r>
    </w:p>
    <w:p w14:paraId="5826C0D7" w14:textId="6B566DCF" w:rsidR="002C686F" w:rsidRPr="00A65000" w:rsidRDefault="002C686F" w:rsidP="002C686F">
      <w:pPr>
        <w:rPr>
          <w:sz w:val="22"/>
          <w:szCs w:val="18"/>
        </w:rPr>
      </w:pPr>
      <w:r w:rsidRPr="00A65000">
        <w:rPr>
          <w:sz w:val="22"/>
          <w:szCs w:val="18"/>
        </w:rPr>
        <w:t xml:space="preserve">Les autres webinaires de la série seront annoncés en temps voulu sur la page d'accueil de la </w:t>
      </w:r>
      <w:hyperlink r:id="rId16" w:history="1">
        <w:r w:rsidRPr="00A65000">
          <w:rPr>
            <w:rStyle w:val="Hyperlink"/>
            <w:b/>
            <w:bCs/>
            <w:sz w:val="22"/>
            <w:szCs w:val="18"/>
          </w:rPr>
          <w:t>série de webinaires du Journal de l'UIT</w:t>
        </w:r>
      </w:hyperlink>
      <w:r w:rsidRPr="00A65000">
        <w:rPr>
          <w:sz w:val="22"/>
          <w:szCs w:val="18"/>
        </w:rPr>
        <w:t>.</w:t>
      </w:r>
    </w:p>
    <w:p w14:paraId="61C0DEC1" w14:textId="684FA811" w:rsidR="002C686F" w:rsidRPr="00A65000" w:rsidRDefault="002C686F" w:rsidP="002C686F">
      <w:pPr>
        <w:rPr>
          <w:sz w:val="22"/>
          <w:szCs w:val="18"/>
        </w:rPr>
      </w:pPr>
      <w:r w:rsidRPr="00A65000">
        <w:rPr>
          <w:sz w:val="22"/>
          <w:szCs w:val="18"/>
        </w:rPr>
        <w:t>5</w:t>
      </w:r>
      <w:r w:rsidRPr="00A65000">
        <w:rPr>
          <w:sz w:val="22"/>
          <w:szCs w:val="18"/>
        </w:rPr>
        <w:tab/>
        <w:t>La participation à ces webinaires est ouverte aux États Membres, aux Membres de Secteur et aux Associés de l'UIT ainsi qu'aux établissements universitaires participant aux travaux de l'UIT, et à toute personne issue d'un pays Membre de l'UIT. Il peut s'agir de personnes qui sont aussi membres d'organisations internationales, régionales ou nationales. La participation aux webinaires est gratuite.</w:t>
      </w:r>
    </w:p>
    <w:p w14:paraId="3F2E8C79" w14:textId="6AB6F3AE" w:rsidR="002C686F" w:rsidRPr="00A65000" w:rsidRDefault="002C686F" w:rsidP="002C686F">
      <w:pPr>
        <w:rPr>
          <w:sz w:val="22"/>
          <w:szCs w:val="18"/>
        </w:rPr>
      </w:pPr>
      <w:r w:rsidRPr="00A65000">
        <w:rPr>
          <w:sz w:val="22"/>
          <w:szCs w:val="18"/>
        </w:rPr>
        <w:t>6</w:t>
      </w:r>
      <w:r w:rsidRPr="00A65000">
        <w:rPr>
          <w:sz w:val="22"/>
          <w:szCs w:val="18"/>
        </w:rPr>
        <w:tab/>
        <w:t xml:space="preserve">Toutes les informations utiles concernant les webinaires (intervenants, liens pour l'inscription, modalités de connexion à distance) seront disponibles sur la page web de chaque manifestation indiquée ci-dessus ainsi que sur la page d'accueil de la </w:t>
      </w:r>
      <w:hyperlink r:id="rId17" w:history="1">
        <w:r w:rsidRPr="00A65000">
          <w:rPr>
            <w:rStyle w:val="Hyperlink"/>
            <w:b/>
            <w:bCs/>
            <w:sz w:val="22"/>
            <w:szCs w:val="18"/>
          </w:rPr>
          <w:t>série de webinaires du Journal de l'UIT</w:t>
        </w:r>
      </w:hyperlink>
      <w:r w:rsidRPr="00A65000">
        <w:rPr>
          <w:sz w:val="22"/>
          <w:szCs w:val="18"/>
        </w:rPr>
        <w:t>.</w:t>
      </w:r>
    </w:p>
    <w:p w14:paraId="77CFC92F" w14:textId="6BB3D71E" w:rsidR="002C686F" w:rsidRPr="00A65000" w:rsidRDefault="002C686F" w:rsidP="002C686F">
      <w:pPr>
        <w:rPr>
          <w:sz w:val="22"/>
          <w:szCs w:val="18"/>
        </w:rPr>
      </w:pPr>
      <w:r w:rsidRPr="00A65000">
        <w:rPr>
          <w:sz w:val="22"/>
          <w:szCs w:val="18"/>
        </w:rPr>
        <w:t>Ces pages web seront actualisées à mesure que parviendront des informations nouvelles ou modifiées. Il est recommandé aux participants de consulter régulièrement la page Web de l'épisode pour consulter les mises à jour.</w:t>
      </w:r>
    </w:p>
    <w:p w14:paraId="7965F7FF" w14:textId="6686E96B" w:rsidR="002C686F" w:rsidRPr="00A65000" w:rsidRDefault="002C686F" w:rsidP="002C686F">
      <w:pPr>
        <w:rPr>
          <w:sz w:val="22"/>
          <w:szCs w:val="18"/>
        </w:rPr>
      </w:pPr>
      <w:r w:rsidRPr="00A65000">
        <w:rPr>
          <w:sz w:val="22"/>
          <w:szCs w:val="18"/>
        </w:rPr>
        <w:t>7</w:t>
      </w:r>
      <w:r w:rsidRPr="00A65000">
        <w:rPr>
          <w:sz w:val="22"/>
          <w:szCs w:val="18"/>
        </w:rPr>
        <w:tab/>
        <w:t>Tous les webinaires se dérouleront en anglais.</w:t>
      </w:r>
    </w:p>
    <w:p w14:paraId="57E7EF71" w14:textId="7C0187F3" w:rsidR="002C686F" w:rsidRPr="00A65000" w:rsidRDefault="002C686F" w:rsidP="002C686F">
      <w:pPr>
        <w:rPr>
          <w:sz w:val="22"/>
          <w:szCs w:val="18"/>
        </w:rPr>
      </w:pPr>
      <w:r w:rsidRPr="00A65000">
        <w:rPr>
          <w:sz w:val="22"/>
          <w:szCs w:val="18"/>
        </w:rPr>
        <w:t>8</w:t>
      </w:r>
      <w:r w:rsidRPr="00A65000">
        <w:rPr>
          <w:sz w:val="22"/>
          <w:szCs w:val="18"/>
        </w:rPr>
        <w:tab/>
        <w:t xml:space="preserve">Les webinaires seront enregistrés. Les enregistrements de cette série et des séries précédentes seront mis à disposition sur la liste de lecture de la série de webinaires du Journal de l'UIT sur Youtube, sous ce </w:t>
      </w:r>
      <w:hyperlink r:id="rId18" w:history="1">
        <w:r w:rsidRPr="00A65000">
          <w:rPr>
            <w:rStyle w:val="Hyperlink"/>
            <w:sz w:val="22"/>
            <w:szCs w:val="18"/>
          </w:rPr>
          <w:t>lien</w:t>
        </w:r>
      </w:hyperlink>
      <w:r w:rsidRPr="00A65000">
        <w:rPr>
          <w:sz w:val="22"/>
          <w:szCs w:val="18"/>
        </w:rPr>
        <w:t>.</w:t>
      </w:r>
    </w:p>
    <w:p w14:paraId="46F2C3C2" w14:textId="2887D4AA" w:rsidR="00307FB4" w:rsidRPr="00A65000" w:rsidRDefault="002C686F" w:rsidP="002C686F">
      <w:pPr>
        <w:rPr>
          <w:sz w:val="22"/>
          <w:szCs w:val="18"/>
        </w:rPr>
      </w:pPr>
      <w:r w:rsidRPr="00A65000">
        <w:rPr>
          <w:sz w:val="22"/>
          <w:szCs w:val="18"/>
        </w:rPr>
        <w:t>9</w:t>
      </w:r>
      <w:r w:rsidRPr="00A65000">
        <w:rPr>
          <w:sz w:val="22"/>
          <w:szCs w:val="18"/>
        </w:rPr>
        <w:tab/>
      </w:r>
      <w:r w:rsidRPr="00A65000">
        <w:rPr>
          <w:b/>
          <w:bCs/>
          <w:sz w:val="22"/>
          <w:szCs w:val="18"/>
        </w:rPr>
        <w:t>L'inscription en ligne à chaque manifestation est obligatoire pour tous les participants.</w:t>
      </w:r>
      <w:r w:rsidRPr="00A65000">
        <w:rPr>
          <w:sz w:val="22"/>
          <w:szCs w:val="18"/>
        </w:rPr>
        <w:t xml:space="preserve"> De plus amples informations sur l'inscription seront disponibles sur le site web de chaque webinaire.</w:t>
      </w:r>
    </w:p>
    <w:p w14:paraId="3A296738" w14:textId="7CA9E040" w:rsidR="00B60868" w:rsidRPr="00A65000" w:rsidRDefault="00307FB4" w:rsidP="00A65000">
      <w:pPr>
        <w:rPr>
          <w:bCs/>
          <w:sz w:val="22"/>
          <w:szCs w:val="18"/>
        </w:rPr>
      </w:pPr>
      <w:r w:rsidRPr="00A65000">
        <w:rPr>
          <w:bCs/>
          <w:sz w:val="22"/>
          <w:szCs w:val="18"/>
        </w:rPr>
        <w:t>Veuillez agréer, Madame, Monsieur, l'assurance de ma considération distinguée.</w:t>
      </w:r>
    </w:p>
    <w:p w14:paraId="3B647157" w14:textId="1E64A8F3" w:rsidR="00517A03" w:rsidRPr="00A65000" w:rsidRDefault="00506742" w:rsidP="00A65000">
      <w:pPr>
        <w:spacing w:before="840"/>
        <w:rPr>
          <w:bCs/>
          <w:sz w:val="22"/>
          <w:szCs w:val="18"/>
        </w:rPr>
      </w:pPr>
      <w:r>
        <w:rPr>
          <w:bCs/>
          <w:noProof/>
          <w:sz w:val="22"/>
          <w:szCs w:val="18"/>
        </w:rPr>
        <w:drawing>
          <wp:anchor distT="0" distB="0" distL="114300" distR="114300" simplePos="0" relativeHeight="251658240" behindDoc="1" locked="0" layoutInCell="1" allowOverlap="1" wp14:anchorId="16B22A2D" wp14:editId="6EA27981">
            <wp:simplePos x="0" y="0"/>
            <wp:positionH relativeFrom="column">
              <wp:posOffset>3810</wp:posOffset>
            </wp:positionH>
            <wp:positionV relativeFrom="paragraph">
              <wp:posOffset>92710</wp:posOffset>
            </wp:positionV>
            <wp:extent cx="596899" cy="447675"/>
            <wp:effectExtent l="0" t="0" r="0" b="0"/>
            <wp:wrapNone/>
            <wp:docPr id="398834177"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834177" name="Picture 1" descr="A black and white tex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96899" cy="447675"/>
                    </a:xfrm>
                    <a:prstGeom prst="rect">
                      <a:avLst/>
                    </a:prstGeom>
                  </pic:spPr>
                </pic:pic>
              </a:graphicData>
            </a:graphic>
            <wp14:sizeRelH relativeFrom="margin">
              <wp14:pctWidth>0</wp14:pctWidth>
            </wp14:sizeRelH>
            <wp14:sizeRelV relativeFrom="margin">
              <wp14:pctHeight>0</wp14:pctHeight>
            </wp14:sizeRelV>
          </wp:anchor>
        </w:drawing>
      </w:r>
      <w:r w:rsidR="00307FB4" w:rsidRPr="00A65000">
        <w:rPr>
          <w:bCs/>
          <w:sz w:val="22"/>
          <w:szCs w:val="18"/>
        </w:rPr>
        <w:t>Seizo Onoe</w:t>
      </w:r>
      <w:r w:rsidR="00B60868" w:rsidRPr="00A65000">
        <w:rPr>
          <w:bCs/>
          <w:sz w:val="22"/>
          <w:szCs w:val="18"/>
        </w:rPr>
        <w:br/>
      </w:r>
      <w:r w:rsidR="00307FB4" w:rsidRPr="00A65000">
        <w:rPr>
          <w:bCs/>
          <w:sz w:val="22"/>
          <w:szCs w:val="18"/>
        </w:rPr>
        <w:t>Directeur du Bureau de la normalisation</w:t>
      </w:r>
      <w:r w:rsidR="00B60868" w:rsidRPr="00A65000">
        <w:rPr>
          <w:bCs/>
          <w:sz w:val="22"/>
          <w:szCs w:val="18"/>
        </w:rPr>
        <w:br/>
      </w:r>
      <w:r w:rsidR="00307FB4" w:rsidRPr="00A65000">
        <w:rPr>
          <w:bCs/>
          <w:sz w:val="22"/>
          <w:szCs w:val="18"/>
        </w:rPr>
        <w:t>des télécommunications</w:t>
      </w:r>
    </w:p>
    <w:sectPr w:rsidR="00517A03" w:rsidRPr="00A65000" w:rsidSect="00A15179">
      <w:headerReference w:type="default" r:id="rId20"/>
      <w:footerReference w:type="first" r:id="rId21"/>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7419" w14:textId="77777777" w:rsidR="004419E9" w:rsidRDefault="004419E9">
      <w:r>
        <w:separator/>
      </w:r>
    </w:p>
  </w:endnote>
  <w:endnote w:type="continuationSeparator" w:id="0">
    <w:p w14:paraId="31479BA6" w14:textId="77777777" w:rsidR="004419E9" w:rsidRDefault="004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D309" w14:textId="77777777" w:rsidR="004419E9" w:rsidRDefault="004419E9">
      <w:r>
        <w:t>____________________</w:t>
      </w:r>
    </w:p>
  </w:footnote>
  <w:footnote w:type="continuationSeparator" w:id="0">
    <w:p w14:paraId="5828E93A" w14:textId="77777777" w:rsidR="004419E9" w:rsidRDefault="0044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564CB3FE" w:rsidR="00697BC1" w:rsidRPr="00697BC1" w:rsidRDefault="00506742"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2C686F">
      <w:rPr>
        <w:noProof/>
        <w:sz w:val="18"/>
        <w:szCs w:val="16"/>
      </w:rPr>
      <w:t>186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3079C"/>
    <w:rsid w:val="00167472"/>
    <w:rsid w:val="00167F92"/>
    <w:rsid w:val="00173738"/>
    <w:rsid w:val="001B79A3"/>
    <w:rsid w:val="002152A3"/>
    <w:rsid w:val="0023667A"/>
    <w:rsid w:val="002937DB"/>
    <w:rsid w:val="002C686F"/>
    <w:rsid w:val="002E395D"/>
    <w:rsid w:val="00307FB4"/>
    <w:rsid w:val="003131F0"/>
    <w:rsid w:val="00333A80"/>
    <w:rsid w:val="00341117"/>
    <w:rsid w:val="00364E95"/>
    <w:rsid w:val="00372875"/>
    <w:rsid w:val="003742F8"/>
    <w:rsid w:val="003B1E80"/>
    <w:rsid w:val="003B66E8"/>
    <w:rsid w:val="003E66AD"/>
    <w:rsid w:val="004033F1"/>
    <w:rsid w:val="00414B0C"/>
    <w:rsid w:val="00423C21"/>
    <w:rsid w:val="004257AC"/>
    <w:rsid w:val="0043711B"/>
    <w:rsid w:val="004419E9"/>
    <w:rsid w:val="00445B68"/>
    <w:rsid w:val="0048088B"/>
    <w:rsid w:val="004977C9"/>
    <w:rsid w:val="004B732E"/>
    <w:rsid w:val="004D51F4"/>
    <w:rsid w:val="004D64E0"/>
    <w:rsid w:val="00506742"/>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6F52F7"/>
    <w:rsid w:val="00716BBC"/>
    <w:rsid w:val="007321BC"/>
    <w:rsid w:val="0073446A"/>
    <w:rsid w:val="00760063"/>
    <w:rsid w:val="00775E4B"/>
    <w:rsid w:val="0079553B"/>
    <w:rsid w:val="00795679"/>
    <w:rsid w:val="007A40FE"/>
    <w:rsid w:val="007D1622"/>
    <w:rsid w:val="00810105"/>
    <w:rsid w:val="008157E0"/>
    <w:rsid w:val="00850477"/>
    <w:rsid w:val="00854E1D"/>
    <w:rsid w:val="00887FA6"/>
    <w:rsid w:val="008C4397"/>
    <w:rsid w:val="008C465A"/>
    <w:rsid w:val="008F2C9B"/>
    <w:rsid w:val="008F782D"/>
    <w:rsid w:val="00923CD6"/>
    <w:rsid w:val="00935AA8"/>
    <w:rsid w:val="00971C9A"/>
    <w:rsid w:val="009D51FA"/>
    <w:rsid w:val="009F1E23"/>
    <w:rsid w:val="00A15179"/>
    <w:rsid w:val="00A51537"/>
    <w:rsid w:val="00A5280F"/>
    <w:rsid w:val="00A5645A"/>
    <w:rsid w:val="00A60FC1"/>
    <w:rsid w:val="00A65000"/>
    <w:rsid w:val="00A97C37"/>
    <w:rsid w:val="00AA131B"/>
    <w:rsid w:val="00AC37B5"/>
    <w:rsid w:val="00AD752F"/>
    <w:rsid w:val="00AF08A4"/>
    <w:rsid w:val="00AF0D7D"/>
    <w:rsid w:val="00B27B41"/>
    <w:rsid w:val="00B42659"/>
    <w:rsid w:val="00B46F2D"/>
    <w:rsid w:val="00B60868"/>
    <w:rsid w:val="00B8573E"/>
    <w:rsid w:val="00BB24C0"/>
    <w:rsid w:val="00BD6ECF"/>
    <w:rsid w:val="00C26F2E"/>
    <w:rsid w:val="00C302E3"/>
    <w:rsid w:val="00C41B89"/>
    <w:rsid w:val="00C45376"/>
    <w:rsid w:val="00C9028F"/>
    <w:rsid w:val="00CA0416"/>
    <w:rsid w:val="00CB1125"/>
    <w:rsid w:val="00CB4E80"/>
    <w:rsid w:val="00CD042E"/>
    <w:rsid w:val="00CF2560"/>
    <w:rsid w:val="00CF5B46"/>
    <w:rsid w:val="00D46B68"/>
    <w:rsid w:val="00D542A5"/>
    <w:rsid w:val="00DC3D47"/>
    <w:rsid w:val="00DD77DA"/>
    <w:rsid w:val="00E06C61"/>
    <w:rsid w:val="00E13DB3"/>
    <w:rsid w:val="00E2408B"/>
    <w:rsid w:val="00E62CEA"/>
    <w:rsid w:val="00E72AE1"/>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journal/j-fet/webinars/20240305/Pages/default.aspx" TargetMode="External"/><Relationship Id="rId18" Type="http://schemas.openxmlformats.org/officeDocument/2006/relationships/hyperlink" Target="https://consent.youtube.com/m?continue=https%3A%2F%2Fwww.youtube.com%2Fplaylist%3Flist%3DPLpoIPNlF8P2Pv_IPejcMgAohtasUIJVE3%26cbrd%3D1&amp;gl=CH&amp;m=0&amp;pc=yt&amp;cm=2&amp;hl=en&amp;src=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journal/j-fet/webinars/20240220/Pages/default.aspx" TargetMode="External"/><Relationship Id="rId17" Type="http://schemas.openxmlformats.org/officeDocument/2006/relationships/hyperlink" Target="https://www.itu.int/en/journal/j-fet/webinars/Pages/default.aspx" TargetMode="External"/><Relationship Id="rId2" Type="http://schemas.openxmlformats.org/officeDocument/2006/relationships/numbering" Target="numbering.xml"/><Relationship Id="rId16" Type="http://schemas.openxmlformats.org/officeDocument/2006/relationships/hyperlink" Target="https://www.itu.int/en/journal/j-fet/webinars/Page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journal/j-fet/webinars/Pages/default.aspx" TargetMode="External"/><Relationship Id="rId5" Type="http://schemas.openxmlformats.org/officeDocument/2006/relationships/webSettings" Target="webSettings.xml"/><Relationship Id="rId15" Type="http://schemas.openxmlformats.org/officeDocument/2006/relationships/hyperlink" Target="https://www.itu.int/en/journal/j-fet/webinars/20240430/Pages/default.aspx" TargetMode="External"/><Relationship Id="rId23" Type="http://schemas.openxmlformats.org/officeDocument/2006/relationships/theme" Target="theme/theme1.xml"/><Relationship Id="rId10" Type="http://schemas.openxmlformats.org/officeDocument/2006/relationships/hyperlink" Target="https://www.itu.int/en/journal/j-fet/Pages/default.aspx"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lessia.magliarditi@itu.int" TargetMode="External"/><Relationship Id="rId14" Type="http://schemas.openxmlformats.org/officeDocument/2006/relationships/hyperlink" Target="https://www.itu.int/en/journal/j-fet/webinars/20240423/Pages/defaul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34</TotalTime>
  <Pages>2</Pages>
  <Words>853</Words>
  <Characters>5641</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6482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8</cp:revision>
  <cp:lastPrinted>2024-03-19T13:21:00Z</cp:lastPrinted>
  <dcterms:created xsi:type="dcterms:W3CDTF">2024-03-12T12:45:00Z</dcterms:created>
  <dcterms:modified xsi:type="dcterms:W3CDTF">2024-03-19T13:22:00Z</dcterms:modified>
</cp:coreProperties>
</file>