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751"/>
        <w:gridCol w:w="5329"/>
      </w:tblGrid>
      <w:tr w:rsidR="007B6316" w14:paraId="41839D6F" w14:textId="77777777" w:rsidTr="00214B3D">
        <w:trPr>
          <w:cantSplit/>
          <w:trHeight w:val="340"/>
        </w:trPr>
        <w:tc>
          <w:tcPr>
            <w:tcW w:w="1276" w:type="dxa"/>
          </w:tcPr>
          <w:p w14:paraId="35DAA8C0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6EF831C" wp14:editId="7D8576B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  <w:gridSpan w:val="2"/>
            <w:vAlign w:val="center"/>
          </w:tcPr>
          <w:p w14:paraId="2088A797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5921D87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214B3D" w14:paraId="46CBF5DD" w14:textId="77777777" w:rsidTr="00214B3D">
        <w:trPr>
          <w:cantSplit/>
          <w:trHeight w:val="340"/>
        </w:trPr>
        <w:tc>
          <w:tcPr>
            <w:tcW w:w="1276" w:type="dxa"/>
          </w:tcPr>
          <w:p w14:paraId="713B798C" w14:textId="77777777" w:rsidR="007B6316" w:rsidRPr="00214B3D" w:rsidRDefault="007B6316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</w:tcPr>
          <w:p w14:paraId="11B2E1FA" w14:textId="77777777" w:rsidR="007B6316" w:rsidRPr="00214B3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1693FFE0" w14:textId="403B1E93" w:rsidR="007B6316" w:rsidRPr="00214B3D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Ginebra,</w:t>
            </w:r>
            <w:r w:rsidR="00674B0D" w:rsidRPr="00214B3D">
              <w:rPr>
                <w:rFonts w:cstheme="minorHAnsi"/>
                <w:sz w:val="22"/>
                <w:szCs w:val="22"/>
              </w:rPr>
              <w:t xml:space="preserve"> </w:t>
            </w:r>
            <w:r w:rsidR="00674B0D" w:rsidRPr="00214B3D">
              <w:rPr>
                <w:rFonts w:cstheme="minorHAnsi"/>
                <w:sz w:val="22"/>
                <w:szCs w:val="22"/>
                <w:lang w:val="es-ES"/>
              </w:rPr>
              <w:t>4 de marzo de 2024</w:t>
            </w:r>
          </w:p>
        </w:tc>
      </w:tr>
      <w:tr w:rsidR="001350B9" w:rsidRPr="00214B3D" w14:paraId="3E79881B" w14:textId="77777777" w:rsidTr="00214B3D">
        <w:trPr>
          <w:cantSplit/>
          <w:trHeight w:val="340"/>
        </w:trPr>
        <w:tc>
          <w:tcPr>
            <w:tcW w:w="1276" w:type="dxa"/>
          </w:tcPr>
          <w:p w14:paraId="19A3EFB0" w14:textId="77777777" w:rsidR="001350B9" w:rsidRPr="00214B3D" w:rsidRDefault="001350B9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Ref.:</w:t>
            </w:r>
          </w:p>
          <w:p w14:paraId="412EE298" w14:textId="77777777" w:rsidR="001350B9" w:rsidRPr="00214B3D" w:rsidRDefault="001350B9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1" w:type="dxa"/>
          </w:tcPr>
          <w:p w14:paraId="3EB7A8C7" w14:textId="11D09EEE" w:rsidR="001350B9" w:rsidRPr="00214B3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214B3D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674B0D" w:rsidRPr="00214B3D">
              <w:rPr>
                <w:rFonts w:cstheme="minorHAnsi"/>
                <w:b/>
                <w:sz w:val="22"/>
                <w:szCs w:val="22"/>
              </w:rPr>
              <w:t>186</w:t>
            </w:r>
          </w:p>
          <w:p w14:paraId="79449154" w14:textId="77777777" w:rsidR="001350B9" w:rsidRPr="00214B3D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2C23AC82" w14:textId="77777777" w:rsidR="00674B0D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  <w:r w:rsidR="00674B0D" w:rsidRPr="00214B3D">
              <w:rPr>
                <w:rFonts w:cstheme="minorHAnsi"/>
                <w:sz w:val="22"/>
                <w:szCs w:val="22"/>
              </w:rPr>
              <w:t xml:space="preserve">; </w:t>
            </w:r>
          </w:p>
          <w:p w14:paraId="450B92EF" w14:textId="77777777" w:rsidR="00674B0D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>A los Miembros del Sector UIT</w:t>
            </w:r>
            <w:r w:rsidRPr="00214B3D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D046E3D" w14:textId="77777777" w:rsidR="00674B0D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Pr="00214B3D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5C27B868" w14:textId="77777777" w:rsidR="00674B0D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>A las Instituciones Académicas del UIT-T;</w:t>
            </w:r>
          </w:p>
          <w:p w14:paraId="264A6A49" w14:textId="57EE6569" w:rsidR="00674B0D" w:rsidRPr="00214B3D" w:rsidRDefault="00674B0D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214B3D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0C60B7D8" w14:textId="77777777" w:rsidR="00674B0D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214B3D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Pr="00214B3D">
              <w:rPr>
                <w:rFonts w:cstheme="minorHAnsi"/>
                <w:sz w:val="22"/>
                <w:szCs w:val="22"/>
              </w:rPr>
              <w:t xml:space="preserve"> y a los Vicepresidentes de la</w:t>
            </w:r>
            <w:r w:rsidRPr="00214B3D">
              <w:rPr>
                <w:rFonts w:cstheme="minorHAnsi"/>
                <w:sz w:val="22"/>
                <w:szCs w:val="22"/>
              </w:rPr>
              <w:br/>
              <w:t>Comisión de Estudio;</w:t>
            </w:r>
          </w:p>
          <w:p w14:paraId="5BFB50C4" w14:textId="77777777" w:rsidR="00674B0D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214B3D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214B3D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69856B7D" w14:textId="7FA0EEEF" w:rsidR="001350B9" w:rsidRPr="00214B3D" w:rsidRDefault="001350B9" w:rsidP="00674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-</w:t>
            </w:r>
            <w:r w:rsidRPr="00214B3D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214B3D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214B3D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214B3D" w14:paraId="03C0E7BC" w14:textId="77777777" w:rsidTr="00214B3D">
        <w:trPr>
          <w:cantSplit/>
        </w:trPr>
        <w:tc>
          <w:tcPr>
            <w:tcW w:w="1276" w:type="dxa"/>
          </w:tcPr>
          <w:p w14:paraId="57674AA6" w14:textId="77777777" w:rsidR="001350B9" w:rsidRPr="00214B3D" w:rsidRDefault="001350B9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751" w:type="dxa"/>
          </w:tcPr>
          <w:p w14:paraId="30A7B027" w14:textId="75D28894" w:rsidR="001350B9" w:rsidRPr="00214B3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+41 22 730</w:t>
            </w:r>
            <w:r w:rsidR="00674B0D" w:rsidRPr="00214B3D">
              <w:rPr>
                <w:rFonts w:cstheme="minorHAnsi"/>
                <w:sz w:val="22"/>
                <w:szCs w:val="22"/>
              </w:rPr>
              <w:t xml:space="preserve"> </w:t>
            </w:r>
            <w:r w:rsidR="00674B0D" w:rsidRPr="00214B3D">
              <w:rPr>
                <w:rFonts w:cstheme="minorHAnsi"/>
                <w:sz w:val="22"/>
                <w:szCs w:val="22"/>
                <w:lang w:val="es-ES"/>
              </w:rPr>
              <w:t>5882</w:t>
            </w:r>
          </w:p>
        </w:tc>
        <w:tc>
          <w:tcPr>
            <w:tcW w:w="5329" w:type="dxa"/>
            <w:vMerge/>
          </w:tcPr>
          <w:p w14:paraId="2C1D8696" w14:textId="77777777" w:rsidR="001350B9" w:rsidRPr="00214B3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214B3D" w14:paraId="14ECC11A" w14:textId="77777777" w:rsidTr="00214B3D">
        <w:trPr>
          <w:cantSplit/>
        </w:trPr>
        <w:tc>
          <w:tcPr>
            <w:tcW w:w="1276" w:type="dxa"/>
          </w:tcPr>
          <w:p w14:paraId="1A86D677" w14:textId="77777777" w:rsidR="001350B9" w:rsidRPr="00214B3D" w:rsidRDefault="001350B9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751" w:type="dxa"/>
          </w:tcPr>
          <w:p w14:paraId="41DE4B6D" w14:textId="77777777" w:rsidR="001350B9" w:rsidRPr="00214B3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8007748" w14:textId="77777777" w:rsidR="001350B9" w:rsidRPr="00214B3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214B3D" w14:paraId="761F49A6" w14:textId="77777777" w:rsidTr="00214B3D">
        <w:trPr>
          <w:cantSplit/>
          <w:trHeight w:val="2039"/>
        </w:trPr>
        <w:tc>
          <w:tcPr>
            <w:tcW w:w="1276" w:type="dxa"/>
          </w:tcPr>
          <w:p w14:paraId="59B8C1E9" w14:textId="77777777" w:rsidR="001350B9" w:rsidRPr="00214B3D" w:rsidRDefault="001350B9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751" w:type="dxa"/>
          </w:tcPr>
          <w:p w14:paraId="1FF3DBB7" w14:textId="214808FA" w:rsidR="00674B0D" w:rsidRPr="00214B3D" w:rsidRDefault="00FE733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hyperlink r:id="rId9" w:history="1">
              <w:bookmarkStart w:id="1" w:name="lt_pId043"/>
              <w:r w:rsidR="00674B0D" w:rsidRPr="00214B3D">
                <w:rPr>
                  <w:rStyle w:val="Hyperlink"/>
                  <w:rFonts w:cstheme="minorHAnsi"/>
                  <w:sz w:val="22"/>
                  <w:szCs w:val="22"/>
                </w:rPr>
                <w:t>alessia.magliarditi@itu.int</w:t>
              </w:r>
              <w:bookmarkEnd w:id="1"/>
            </w:hyperlink>
          </w:p>
        </w:tc>
        <w:tc>
          <w:tcPr>
            <w:tcW w:w="5329" w:type="dxa"/>
            <w:vMerge/>
          </w:tcPr>
          <w:p w14:paraId="6940CDAD" w14:textId="77777777" w:rsidR="001350B9" w:rsidRPr="00214B3D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214B3D" w14:paraId="67780359" w14:textId="77777777" w:rsidTr="00214B3D">
        <w:trPr>
          <w:cantSplit/>
        </w:trPr>
        <w:tc>
          <w:tcPr>
            <w:tcW w:w="1276" w:type="dxa"/>
          </w:tcPr>
          <w:p w14:paraId="504D6B5A" w14:textId="77777777" w:rsidR="007B6316" w:rsidRPr="00214B3D" w:rsidRDefault="007B6316" w:rsidP="00214B3D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214B3D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214B3D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080" w:type="dxa"/>
            <w:gridSpan w:val="2"/>
          </w:tcPr>
          <w:p w14:paraId="451C3DB4" w14:textId="62E3BC20" w:rsidR="007B6316" w:rsidRPr="00214B3D" w:rsidRDefault="00674B0D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bookmarkStart w:id="2" w:name="lt_pId045"/>
            <w:r w:rsidRPr="00214B3D">
              <w:rPr>
                <w:rFonts w:cstheme="minorHAnsi"/>
                <w:b/>
                <w:bCs/>
                <w:sz w:val="22"/>
                <w:szCs w:val="22"/>
                <w:lang w:val="es-ES"/>
              </w:rPr>
              <w:t>Serie de seminarios web de la Gaceta de la UIT</w:t>
            </w:r>
            <w:r w:rsidRPr="00214B3D">
              <w:rPr>
                <w:rFonts w:cstheme="minorHAnsi"/>
                <w:sz w:val="22"/>
                <w:szCs w:val="22"/>
                <w:lang w:val="es-ES"/>
              </w:rPr>
              <w:t xml:space="preserve">. </w:t>
            </w:r>
            <w:r w:rsidRPr="00214B3D">
              <w:rPr>
                <w:rFonts w:cstheme="minorHAnsi"/>
                <w:b/>
                <w:bCs/>
                <w:sz w:val="22"/>
                <w:szCs w:val="22"/>
                <w:lang w:val="es-ES"/>
              </w:rPr>
              <w:t>Plenamente virtual,</w:t>
            </w:r>
            <w:r w:rsidR="00FF0C4A" w:rsidRPr="00214B3D">
              <w:rPr>
                <w:rFonts w:cstheme="minorHAnsi"/>
                <w:b/>
                <w:bCs/>
                <w:sz w:val="22"/>
                <w:szCs w:val="22"/>
                <w:lang w:val="es-ES"/>
              </w:rPr>
              <w:br/>
            </w:r>
            <w:r w:rsidRPr="00214B3D">
              <w:rPr>
                <w:rFonts w:cstheme="minorHAnsi"/>
                <w:b/>
                <w:bCs/>
                <w:sz w:val="22"/>
                <w:szCs w:val="22"/>
                <w:lang w:val="es-ES"/>
              </w:rPr>
              <w:t>de febrero a junio de 2024</w:t>
            </w:r>
            <w:bookmarkEnd w:id="2"/>
          </w:p>
        </w:tc>
      </w:tr>
    </w:tbl>
    <w:p w14:paraId="022548D3" w14:textId="3B745E68" w:rsidR="00C34772" w:rsidRPr="00214B3D" w:rsidRDefault="00C34772" w:rsidP="00214B3D">
      <w:pPr>
        <w:rPr>
          <w:rFonts w:cstheme="minorHAnsi"/>
          <w:sz w:val="22"/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214B3D">
        <w:rPr>
          <w:rFonts w:cstheme="minorHAnsi"/>
          <w:sz w:val="22"/>
          <w:szCs w:val="22"/>
        </w:rPr>
        <w:t>Muy Señora mía/Muy Señor mío</w:t>
      </w:r>
      <w:r w:rsidR="00214B3D">
        <w:rPr>
          <w:rFonts w:cstheme="minorHAnsi"/>
          <w:sz w:val="22"/>
          <w:szCs w:val="22"/>
        </w:rPr>
        <w:t>,</w:t>
      </w:r>
    </w:p>
    <w:p w14:paraId="6B6771CF" w14:textId="008A421D" w:rsidR="007B6316" w:rsidRPr="00214B3D" w:rsidRDefault="00674B0D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1</w:t>
      </w:r>
      <w:r w:rsidRPr="00214B3D">
        <w:rPr>
          <w:rFonts w:cstheme="minorHAnsi"/>
          <w:sz w:val="22"/>
          <w:szCs w:val="22"/>
          <w:lang w:val="es-ES"/>
        </w:rPr>
        <w:tab/>
        <w:t xml:space="preserve">La </w:t>
      </w:r>
      <w:hyperlink r:id="rId10" w:history="1">
        <w:r w:rsidRPr="00214B3D">
          <w:rPr>
            <w:rStyle w:val="Hyperlink"/>
            <w:rFonts w:cstheme="minorHAnsi"/>
            <w:sz w:val="22"/>
            <w:szCs w:val="22"/>
            <w:lang w:val="es-ES"/>
          </w:rPr>
          <w:t>Gaceta de la UIT</w:t>
        </w:r>
      </w:hyperlink>
      <w:r w:rsidRPr="00214B3D">
        <w:rPr>
          <w:rFonts w:cstheme="minorHAnsi"/>
          <w:sz w:val="22"/>
          <w:szCs w:val="22"/>
          <w:lang w:val="es-ES"/>
        </w:rPr>
        <w:t xml:space="preserve"> continúa organizando la </w:t>
      </w:r>
      <w:hyperlink r:id="rId11" w:history="1">
        <w:r w:rsidRPr="00214B3D">
          <w:rPr>
            <w:rStyle w:val="Hyperlink"/>
            <w:rFonts w:cstheme="minorHAnsi"/>
            <w:sz w:val="22"/>
            <w:szCs w:val="22"/>
            <w:lang w:val="es-ES"/>
          </w:rPr>
          <w:t>serie de seminarios web</w:t>
        </w:r>
      </w:hyperlink>
      <w:r w:rsidRPr="00214B3D">
        <w:rPr>
          <w:rFonts w:cstheme="minorHAnsi"/>
          <w:sz w:val="22"/>
          <w:szCs w:val="22"/>
          <w:lang w:val="es-ES"/>
        </w:rPr>
        <w:t xml:space="preserve"> iniciada el 16 de marzo de 2022 para proporcionar conocimientos y estudios prospectivos sobre las tecnologías futuras y en evolución.</w:t>
      </w:r>
    </w:p>
    <w:p w14:paraId="4C3DF08E" w14:textId="6393221F" w:rsidR="00674B0D" w:rsidRPr="00214B3D" w:rsidRDefault="00674B0D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2</w:t>
      </w:r>
      <w:r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Pr="00214B3D">
        <w:rPr>
          <w:rFonts w:cstheme="minorHAnsi"/>
          <w:sz w:val="22"/>
          <w:szCs w:val="22"/>
          <w:lang w:val="es-ES"/>
        </w:rPr>
        <w:t>En</w:t>
      </w:r>
      <w:proofErr w:type="gramEnd"/>
      <w:r w:rsidRPr="00214B3D">
        <w:rPr>
          <w:rFonts w:cstheme="minorHAnsi"/>
          <w:sz w:val="22"/>
          <w:szCs w:val="22"/>
          <w:lang w:val="es-ES"/>
        </w:rPr>
        <w:t xml:space="preserve"> la próxima serie de seminarios web participarán líderes de la industria y profesores de renombre, quienes compartirán sus estudios pioneros y perspectivas, así como las valiosas lecciones extraídas a lo largo de los años.</w:t>
      </w:r>
    </w:p>
    <w:p w14:paraId="2F2089ED" w14:textId="4B1F2749" w:rsidR="00674B0D" w:rsidRPr="00214B3D" w:rsidRDefault="00674B0D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3</w:t>
      </w:r>
      <w:r w:rsidRPr="00214B3D">
        <w:rPr>
          <w:rFonts w:cstheme="minorHAnsi"/>
          <w:sz w:val="22"/>
          <w:szCs w:val="22"/>
          <w:lang w:val="es-ES"/>
        </w:rPr>
        <w:tab/>
        <w:t>El primer seminario web de la serie, «</w:t>
      </w:r>
      <w:hyperlink r:id="rId12" w:anchor="/es" w:history="1">
        <w:r w:rsidRPr="00214B3D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Factor de desperdicio (W): factor de mérito para la ingeniería eficiente desde el punto de vista energético («verde») de cualquier dispositivo o circuito y sistema en cascada</w:t>
        </w:r>
      </w:hyperlink>
      <w:r w:rsidRPr="00214B3D">
        <w:rPr>
          <w:rFonts w:cstheme="minorHAnsi"/>
          <w:sz w:val="22"/>
          <w:szCs w:val="22"/>
          <w:lang w:val="es-ES"/>
        </w:rPr>
        <w:t xml:space="preserve">», fue impartido por el </w:t>
      </w:r>
      <w:r w:rsidRPr="00214B3D">
        <w:rPr>
          <w:rFonts w:cstheme="minorHAnsi"/>
          <w:b/>
          <w:bCs/>
          <w:sz w:val="22"/>
          <w:szCs w:val="22"/>
          <w:lang w:val="es-ES"/>
        </w:rPr>
        <w:t>profesor Theodore Rappaport</w:t>
      </w:r>
      <w:r w:rsidRPr="00214B3D">
        <w:rPr>
          <w:rFonts w:cstheme="minorHAnsi"/>
          <w:sz w:val="22"/>
          <w:szCs w:val="22"/>
          <w:lang w:val="es-ES"/>
        </w:rPr>
        <w:t>, de la Universidad de Nueva York (Estados Unidos), el 20 de febrero de 2024 de las 16.00 a las</w:t>
      </w:r>
      <w:r w:rsidR="00FF0C4A" w:rsidRPr="00214B3D">
        <w:rPr>
          <w:rFonts w:cstheme="minorHAnsi"/>
          <w:sz w:val="22"/>
          <w:szCs w:val="22"/>
          <w:lang w:val="es-ES"/>
        </w:rPr>
        <w:t> </w:t>
      </w:r>
      <w:r w:rsidRPr="00214B3D">
        <w:rPr>
          <w:rFonts w:cstheme="minorHAnsi"/>
          <w:sz w:val="22"/>
          <w:szCs w:val="22"/>
          <w:lang w:val="es-ES"/>
        </w:rPr>
        <w:t xml:space="preserve">17.30 horas CET. En este seminario web se presentó un nuevo factor de mérito para la comparación de la energía desperdiciada a lo largo de cualquier cascada, el Factor de residuo, que puede utilizarse como un IFR </w:t>
      </w:r>
      <w:r w:rsidR="000F11B3" w:rsidRPr="00214B3D">
        <w:rPr>
          <w:rFonts w:cstheme="minorHAnsi"/>
          <w:sz w:val="22"/>
          <w:szCs w:val="22"/>
          <w:lang w:val="es-ES"/>
        </w:rPr>
        <w:t>normalizado</w:t>
      </w:r>
      <w:r w:rsidRPr="00214B3D">
        <w:rPr>
          <w:rFonts w:cstheme="minorHAnsi"/>
          <w:sz w:val="22"/>
          <w:szCs w:val="22"/>
          <w:lang w:val="es-ES"/>
        </w:rPr>
        <w:t xml:space="preserve"> para garantizar la eficiencia energética en el diseño de circuitos y sistemas.</w:t>
      </w:r>
    </w:p>
    <w:p w14:paraId="62CBCAB1" w14:textId="256DE26B" w:rsidR="00674B0D" w:rsidRPr="00214B3D" w:rsidRDefault="00674B0D" w:rsidP="007B6316">
      <w:pPr>
        <w:rPr>
          <w:rFonts w:cstheme="minorHAnsi"/>
          <w:sz w:val="22"/>
          <w:szCs w:val="22"/>
          <w:lang w:val="es-ES"/>
        </w:rPr>
      </w:pPr>
      <w:r w:rsidRPr="00214B3D">
        <w:rPr>
          <w:rFonts w:cstheme="minorHAnsi"/>
          <w:sz w:val="22"/>
          <w:szCs w:val="22"/>
          <w:lang w:val="es-ES"/>
        </w:rPr>
        <w:t>4</w:t>
      </w:r>
      <w:r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Pr="00214B3D">
        <w:rPr>
          <w:rFonts w:cstheme="minorHAnsi"/>
          <w:sz w:val="22"/>
          <w:szCs w:val="22"/>
          <w:lang w:val="es-ES"/>
        </w:rPr>
        <w:t>Los</w:t>
      </w:r>
      <w:proofErr w:type="gramEnd"/>
      <w:r w:rsidRPr="00214B3D">
        <w:rPr>
          <w:rFonts w:cstheme="minorHAnsi"/>
          <w:sz w:val="22"/>
          <w:szCs w:val="22"/>
          <w:lang w:val="es-ES"/>
        </w:rPr>
        <w:t xml:space="preserve"> próximos seminarios web versarán sobre los siguientes temas:</w:t>
      </w:r>
    </w:p>
    <w:p w14:paraId="0393F5F8" w14:textId="4AC8609A" w:rsidR="00674B0D" w:rsidRPr="00214B3D" w:rsidRDefault="00674B0D" w:rsidP="00674B0D">
      <w:pPr>
        <w:pStyle w:val="enumlev1"/>
        <w:rPr>
          <w:rFonts w:cstheme="minorHAnsi"/>
          <w:sz w:val="22"/>
          <w:szCs w:val="22"/>
          <w:lang w:val="es-ES"/>
        </w:rPr>
      </w:pPr>
      <w:r w:rsidRPr="00214B3D">
        <w:rPr>
          <w:rFonts w:cstheme="minorHAnsi"/>
          <w:sz w:val="22"/>
          <w:szCs w:val="22"/>
          <w:lang w:val="es-ES"/>
        </w:rPr>
        <w:t>•</w:t>
      </w:r>
      <w:r w:rsidRPr="00214B3D">
        <w:rPr>
          <w:rFonts w:cstheme="minorHAnsi"/>
          <w:sz w:val="22"/>
          <w:szCs w:val="22"/>
          <w:lang w:val="es-ES"/>
        </w:rPr>
        <w:tab/>
        <w:t>«</w:t>
      </w:r>
      <w:hyperlink r:id="rId13" w:anchor="/es" w:history="1">
        <w:r w:rsidRPr="00214B3D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Descifrar mundos ocultos: detección y conectividad sin precedentes para el clima, la robótica y los entornos inteligentes</w:t>
        </w:r>
      </w:hyperlink>
      <w:r w:rsidRPr="00214B3D">
        <w:rPr>
          <w:rFonts w:cstheme="minorHAnsi"/>
          <w:sz w:val="22"/>
          <w:szCs w:val="22"/>
          <w:lang w:val="es-ES"/>
        </w:rPr>
        <w:t xml:space="preserve">», el 5 de marzo de 2024, de las 16.00 a las 17.30 horas CET, impartido por el profesor </w:t>
      </w:r>
      <w:proofErr w:type="spellStart"/>
      <w:r w:rsidRPr="00214B3D">
        <w:rPr>
          <w:rFonts w:cstheme="minorHAnsi"/>
          <w:sz w:val="22"/>
          <w:szCs w:val="22"/>
          <w:lang w:val="es-ES"/>
        </w:rPr>
        <w:t>Fadel</w:t>
      </w:r>
      <w:proofErr w:type="spellEnd"/>
      <w:r w:rsidRPr="00214B3D">
        <w:rPr>
          <w:rFonts w:cstheme="minorHAnsi"/>
          <w:sz w:val="22"/>
          <w:szCs w:val="22"/>
          <w:lang w:val="es-ES"/>
        </w:rPr>
        <w:t xml:space="preserve"> </w:t>
      </w:r>
      <w:proofErr w:type="spellStart"/>
      <w:r w:rsidRPr="00214B3D">
        <w:rPr>
          <w:rFonts w:cstheme="minorHAnsi"/>
          <w:sz w:val="22"/>
          <w:szCs w:val="22"/>
          <w:lang w:val="es-ES"/>
        </w:rPr>
        <w:t>Adib</w:t>
      </w:r>
      <w:proofErr w:type="spellEnd"/>
      <w:r w:rsidRPr="00214B3D">
        <w:rPr>
          <w:rFonts w:cstheme="minorHAnsi"/>
          <w:sz w:val="22"/>
          <w:szCs w:val="22"/>
          <w:lang w:val="es-ES"/>
        </w:rPr>
        <w:t>, del Instituto Tecnológico de Massachusetts (MIT) (Estados Unidos).</w:t>
      </w:r>
    </w:p>
    <w:p w14:paraId="3BA11B9D" w14:textId="5470374A" w:rsidR="00674B0D" w:rsidRPr="00214B3D" w:rsidRDefault="00674B0D" w:rsidP="00674B0D">
      <w:pPr>
        <w:pStyle w:val="enumlev1"/>
        <w:rPr>
          <w:rFonts w:cstheme="minorHAnsi"/>
          <w:sz w:val="22"/>
          <w:szCs w:val="22"/>
          <w:lang w:val="es-ES"/>
        </w:rPr>
      </w:pPr>
      <w:r w:rsidRPr="00214B3D">
        <w:rPr>
          <w:rFonts w:cstheme="minorHAnsi"/>
          <w:sz w:val="22"/>
          <w:szCs w:val="22"/>
          <w:lang w:val="es-ES"/>
        </w:rPr>
        <w:tab/>
        <w:t xml:space="preserve">En este seminario web se presentará una nueva generación de tecnologías que pueden detectar, conectar y percibir el mundo físico de un modo que no tiene precedentes. Se describirán cuatro tecnologías fundamentales inventadas por el profesor </w:t>
      </w:r>
      <w:proofErr w:type="spellStart"/>
      <w:r w:rsidRPr="00214B3D">
        <w:rPr>
          <w:rFonts w:cstheme="minorHAnsi"/>
          <w:sz w:val="22"/>
          <w:szCs w:val="22"/>
          <w:lang w:val="es-ES"/>
        </w:rPr>
        <w:t>Adib</w:t>
      </w:r>
      <w:proofErr w:type="spellEnd"/>
      <w:r w:rsidRPr="00214B3D">
        <w:rPr>
          <w:rFonts w:cstheme="minorHAnsi"/>
          <w:sz w:val="22"/>
          <w:szCs w:val="22"/>
          <w:lang w:val="es-ES"/>
        </w:rPr>
        <w:t xml:space="preserve"> y su equipo, y se abordará el recorrido de estas tecnologías desde su creación en el MIT hasta las colaboraciones internacionales y empresas emergentes que las están aplicando en el mundo real en ámbitos que abarcan la atención médica, el cambio climático y la cadena de suministro.</w:t>
      </w:r>
    </w:p>
    <w:p w14:paraId="4FDD081E" w14:textId="14491379" w:rsidR="00674B0D" w:rsidRPr="00214B3D" w:rsidRDefault="00674B0D" w:rsidP="00674B0D">
      <w:pPr>
        <w:pStyle w:val="enumlev1"/>
        <w:rPr>
          <w:rFonts w:cstheme="minorHAnsi"/>
          <w:sz w:val="22"/>
          <w:szCs w:val="22"/>
          <w:lang w:val="es-ES"/>
        </w:rPr>
      </w:pPr>
      <w:bookmarkStart w:id="6" w:name="lt_pId060"/>
      <w:r w:rsidRPr="00214B3D">
        <w:rPr>
          <w:rFonts w:cstheme="minorHAnsi"/>
          <w:sz w:val="22"/>
          <w:szCs w:val="22"/>
          <w:lang w:val="es-ES"/>
        </w:rPr>
        <w:t>•</w:t>
      </w:r>
      <w:r w:rsidRPr="00214B3D">
        <w:rPr>
          <w:rFonts w:cstheme="minorHAnsi"/>
          <w:sz w:val="22"/>
          <w:szCs w:val="22"/>
          <w:lang w:val="es-ES"/>
        </w:rPr>
        <w:tab/>
        <w:t>«</w:t>
      </w:r>
      <w:hyperlink r:id="rId14" w:anchor="/es" w:history="1">
        <w:r w:rsidRPr="00214B3D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 xml:space="preserve">Ampliar los límites de la detección móvil: la atención médica inteligente en la era de </w:t>
        </w:r>
        <w:proofErr w:type="spellStart"/>
        <w:r w:rsidRPr="00214B3D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AIoT</w:t>
        </w:r>
        <w:proofErr w:type="spellEnd"/>
      </w:hyperlink>
      <w:r w:rsidRPr="00214B3D">
        <w:rPr>
          <w:rFonts w:cstheme="minorHAnsi"/>
          <w:sz w:val="22"/>
          <w:szCs w:val="22"/>
          <w:lang w:val="es-ES"/>
        </w:rPr>
        <w:t xml:space="preserve">», el 23 de abril de 2024, de las 16.00 a las 17.30 horas CEST, impartido por la profesora </w:t>
      </w:r>
      <w:proofErr w:type="spellStart"/>
      <w:r w:rsidRPr="00214B3D">
        <w:rPr>
          <w:rFonts w:cstheme="minorHAnsi"/>
          <w:sz w:val="22"/>
          <w:szCs w:val="22"/>
          <w:lang w:val="es-ES"/>
        </w:rPr>
        <w:t>Qian</w:t>
      </w:r>
      <w:proofErr w:type="spellEnd"/>
      <w:r w:rsidRPr="00214B3D">
        <w:rPr>
          <w:rFonts w:cstheme="minorHAnsi"/>
          <w:sz w:val="22"/>
          <w:szCs w:val="22"/>
          <w:lang w:val="es-ES"/>
        </w:rPr>
        <w:t xml:space="preserve"> Zhang, de la Universidad de Ciencia y Tecnología de Hong Kong (HKUST) (Hong Kong, China).</w:t>
      </w:r>
      <w:bookmarkEnd w:id="6"/>
    </w:p>
    <w:p w14:paraId="2B3C48CE" w14:textId="30219D21" w:rsidR="00674B0D" w:rsidRPr="00214B3D" w:rsidRDefault="00674B0D" w:rsidP="00674B0D">
      <w:pPr>
        <w:pStyle w:val="enumlev1"/>
        <w:rPr>
          <w:rFonts w:cstheme="minorHAnsi"/>
          <w:sz w:val="22"/>
          <w:szCs w:val="22"/>
          <w:lang w:val="es-ES"/>
        </w:rPr>
      </w:pPr>
      <w:bookmarkStart w:id="7" w:name="lt_pId061"/>
      <w:r w:rsidRPr="00214B3D">
        <w:rPr>
          <w:rFonts w:cstheme="minorHAnsi"/>
          <w:sz w:val="22"/>
          <w:szCs w:val="22"/>
          <w:lang w:val="es-ES"/>
        </w:rPr>
        <w:tab/>
        <w:t xml:space="preserve">En este seminario web se </w:t>
      </w:r>
      <w:r w:rsidR="000F11B3" w:rsidRPr="00214B3D">
        <w:rPr>
          <w:rFonts w:cstheme="minorHAnsi"/>
          <w:sz w:val="22"/>
          <w:szCs w:val="22"/>
          <w:lang w:val="es-ES"/>
        </w:rPr>
        <w:t>presentarán</w:t>
      </w:r>
      <w:r w:rsidRPr="00214B3D">
        <w:rPr>
          <w:rFonts w:cstheme="minorHAnsi"/>
          <w:sz w:val="22"/>
          <w:szCs w:val="22"/>
          <w:lang w:val="es-ES"/>
        </w:rPr>
        <w:t xml:space="preserve"> algunos trabajos de la profesora Zhang relacionados con la manera de aprovechar los dispositivos ponibles y la capacidad de detección del medio de comunicación para habilitar aplicaciones inteligentes de atención médica, especialmente en el contexto de la atención médica a domicilio.</w:t>
      </w:r>
      <w:bookmarkEnd w:id="7"/>
    </w:p>
    <w:p w14:paraId="5BBAD720" w14:textId="4E5EAAA8" w:rsidR="00674B0D" w:rsidRPr="00214B3D" w:rsidRDefault="00674B0D" w:rsidP="00674B0D">
      <w:pPr>
        <w:pStyle w:val="enumlev1"/>
        <w:rPr>
          <w:rFonts w:cstheme="minorHAnsi"/>
          <w:sz w:val="22"/>
          <w:szCs w:val="22"/>
        </w:rPr>
      </w:pPr>
      <w:bookmarkStart w:id="8" w:name="lt_pId062"/>
      <w:r w:rsidRPr="00214B3D">
        <w:rPr>
          <w:rFonts w:cstheme="minorHAnsi"/>
          <w:sz w:val="22"/>
          <w:szCs w:val="22"/>
          <w:lang w:val="es-ES"/>
        </w:rPr>
        <w:lastRenderedPageBreak/>
        <w:t>•</w:t>
      </w:r>
      <w:r w:rsidRPr="00214B3D">
        <w:rPr>
          <w:rFonts w:cstheme="minorHAnsi"/>
          <w:sz w:val="22"/>
          <w:szCs w:val="22"/>
          <w:lang w:val="es-ES"/>
        </w:rPr>
        <w:tab/>
        <w:t>«</w:t>
      </w:r>
      <w:hyperlink r:id="rId15" w:anchor="/es" w:history="1">
        <w:r w:rsidRPr="00214B3D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Transparencia, privacidad y rendimiento: la tríada oscura de la IA de Internet de próxima generación</w:t>
        </w:r>
      </w:hyperlink>
      <w:r w:rsidRPr="00214B3D">
        <w:rPr>
          <w:rFonts w:cstheme="minorHAnsi"/>
          <w:sz w:val="22"/>
          <w:szCs w:val="22"/>
          <w:lang w:val="es-ES"/>
        </w:rPr>
        <w:t xml:space="preserve">», el 30 de abril de 2024, de las 16.00 a las 17.30 horas CEST, impartido por la profesora Silvia Giordano, de la Universidad de Ciencias Aplicadas y Artes de Suiza </w:t>
      </w:r>
      <w:proofErr w:type="spellStart"/>
      <w:r w:rsidRPr="00214B3D">
        <w:rPr>
          <w:rFonts w:cstheme="minorHAnsi"/>
          <w:sz w:val="22"/>
          <w:szCs w:val="22"/>
          <w:lang w:val="es-ES"/>
        </w:rPr>
        <w:t>Meriodional</w:t>
      </w:r>
      <w:proofErr w:type="spellEnd"/>
      <w:r w:rsidRPr="00214B3D">
        <w:rPr>
          <w:rFonts w:cstheme="minorHAnsi"/>
          <w:sz w:val="22"/>
          <w:szCs w:val="22"/>
          <w:lang w:val="es-ES"/>
        </w:rPr>
        <w:t xml:space="preserve"> (SUPSI) (Suiza). En este seminario se abordará la manera de lograr el delicado equilibrio que supone implementar sistemas de IA que puedan integrar de forma armoniosa los requisitos de transparencia, privacidad y rendimiento.</w:t>
      </w:r>
      <w:bookmarkEnd w:id="8"/>
    </w:p>
    <w:p w14:paraId="2C176897" w14:textId="40A0A3B0" w:rsidR="00674B0D" w:rsidRPr="00214B3D" w:rsidRDefault="00674B0D" w:rsidP="00674B0D">
      <w:pPr>
        <w:tabs>
          <w:tab w:val="clear" w:pos="794"/>
          <w:tab w:val="clear" w:pos="1191"/>
          <w:tab w:val="clear" w:pos="1588"/>
          <w:tab w:val="clear" w:pos="1985"/>
          <w:tab w:val="left" w:pos="427"/>
        </w:tabs>
        <w:rPr>
          <w:rFonts w:cstheme="minorHAnsi"/>
          <w:sz w:val="22"/>
          <w:szCs w:val="22"/>
        </w:rPr>
      </w:pPr>
      <w:bookmarkStart w:id="9" w:name="lt_pId064"/>
      <w:r w:rsidRPr="00214B3D">
        <w:rPr>
          <w:rFonts w:cstheme="minorHAnsi"/>
          <w:sz w:val="22"/>
          <w:szCs w:val="22"/>
          <w:lang w:val="es-ES"/>
        </w:rPr>
        <w:t xml:space="preserve">Los seminarios web que se celebren más adelante se anunciarán a su debido tiempo en la página principal de la </w:t>
      </w:r>
      <w:hyperlink r:id="rId16" w:history="1">
        <w:r w:rsidRPr="00214B3D">
          <w:rPr>
            <w:rStyle w:val="Hyperlink"/>
            <w:rFonts w:cstheme="minorHAnsi"/>
            <w:sz w:val="22"/>
            <w:szCs w:val="22"/>
            <w:lang w:val="es-ES"/>
          </w:rPr>
          <w:t>Serie de seminarios web de la Gaceta de la UIT</w:t>
        </w:r>
      </w:hyperlink>
      <w:r w:rsidRPr="00214B3D">
        <w:rPr>
          <w:rFonts w:cstheme="minorHAnsi"/>
          <w:sz w:val="22"/>
          <w:szCs w:val="22"/>
          <w:lang w:val="es-ES"/>
        </w:rPr>
        <w:t>.</w:t>
      </w:r>
      <w:bookmarkEnd w:id="9"/>
    </w:p>
    <w:p w14:paraId="380D86D2" w14:textId="630399B8" w:rsidR="00674B0D" w:rsidRPr="00214B3D" w:rsidRDefault="002F7ED6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</w:rPr>
        <w:t>5</w:t>
      </w:r>
      <w:r w:rsidR="00674B0D"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="00674B0D" w:rsidRPr="00214B3D">
        <w:rPr>
          <w:rFonts w:cstheme="minorHAnsi"/>
          <w:sz w:val="22"/>
          <w:szCs w:val="22"/>
          <w:lang w:val="es-ES"/>
        </w:rPr>
        <w:t>La</w:t>
      </w:r>
      <w:proofErr w:type="gramEnd"/>
      <w:r w:rsidR="00674B0D" w:rsidRPr="00214B3D">
        <w:rPr>
          <w:rFonts w:cstheme="minorHAnsi"/>
          <w:sz w:val="22"/>
          <w:szCs w:val="22"/>
          <w:lang w:val="es-ES"/>
        </w:rPr>
        <w:t xml:space="preserve"> participación en estos seminarios web está abierta a los Estados Miembros, Miembros de Sector, Asociados e Instituciones Académicas de la UIT, así como a cualquier persona de un país que sea Miembro de la UIT. Esto incluye a las personas que también son miembros de organizaciones nacionales, regionales e internacionales. La participación en los seminarios web es gratuita.</w:t>
      </w:r>
    </w:p>
    <w:p w14:paraId="0700825F" w14:textId="08D9A364" w:rsidR="00674B0D" w:rsidRPr="00214B3D" w:rsidRDefault="002F7ED6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6</w:t>
      </w:r>
      <w:r w:rsidR="00674B0D"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="00674B0D" w:rsidRPr="00214B3D">
        <w:rPr>
          <w:rFonts w:cstheme="minorHAnsi"/>
          <w:sz w:val="22"/>
          <w:szCs w:val="22"/>
          <w:lang w:val="es-ES"/>
        </w:rPr>
        <w:t>Toda</w:t>
      </w:r>
      <w:proofErr w:type="gramEnd"/>
      <w:r w:rsidR="00674B0D" w:rsidRPr="00214B3D">
        <w:rPr>
          <w:rFonts w:cstheme="minorHAnsi"/>
          <w:sz w:val="22"/>
          <w:szCs w:val="22"/>
          <w:lang w:val="es-ES"/>
        </w:rPr>
        <w:t xml:space="preserve"> la información pertinente relativa a los seminarios web (oradores, enlaces de inscripción y datos sobre la conexión a distancia) se publicará en las páginas web de los eventos mencionados más arriba y en la página principal de la </w:t>
      </w:r>
      <w:hyperlink r:id="rId17" w:history="1">
        <w:r w:rsidR="00674B0D" w:rsidRPr="00214B3D">
          <w:rPr>
            <w:rStyle w:val="Hyperlink"/>
            <w:rFonts w:cstheme="minorHAnsi"/>
            <w:sz w:val="22"/>
            <w:szCs w:val="22"/>
            <w:lang w:val="es-ES"/>
          </w:rPr>
          <w:t>Serie de seminarios web de la Gaceta de la UIT</w:t>
        </w:r>
      </w:hyperlink>
      <w:r w:rsidR="00674B0D" w:rsidRPr="00214B3D">
        <w:rPr>
          <w:rFonts w:cstheme="minorHAnsi"/>
          <w:sz w:val="22"/>
          <w:szCs w:val="22"/>
          <w:lang w:val="es-ES"/>
        </w:rPr>
        <w:t>.</w:t>
      </w:r>
    </w:p>
    <w:p w14:paraId="198C3279" w14:textId="441EDEE8" w:rsidR="00674B0D" w:rsidRPr="00214B3D" w:rsidRDefault="00674B0D" w:rsidP="007B6316">
      <w:pPr>
        <w:rPr>
          <w:rFonts w:cstheme="minorHAnsi"/>
          <w:sz w:val="22"/>
          <w:szCs w:val="22"/>
        </w:rPr>
      </w:pPr>
      <w:bookmarkStart w:id="10" w:name="lt_pId071"/>
      <w:r w:rsidRPr="00214B3D">
        <w:rPr>
          <w:rFonts w:cstheme="minorHAnsi"/>
          <w:sz w:val="22"/>
          <w:szCs w:val="22"/>
          <w:lang w:val="es-ES"/>
        </w:rPr>
        <w:t>Estos sitios web se actualizarán periódicamente a medida que se disponga de más información. Se recomienda a los participantes que consulten periódicamente la página web de los seminarios web para mantenerse al corriente de las actualizaciones.</w:t>
      </w:r>
      <w:bookmarkEnd w:id="10"/>
    </w:p>
    <w:p w14:paraId="647D05D1" w14:textId="4F9145CE" w:rsidR="00674B0D" w:rsidRPr="00214B3D" w:rsidRDefault="002F7ED6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7</w:t>
      </w:r>
      <w:r w:rsidR="00674B0D"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="00674B0D" w:rsidRPr="00214B3D">
        <w:rPr>
          <w:rFonts w:cstheme="minorHAnsi"/>
          <w:sz w:val="22"/>
          <w:szCs w:val="22"/>
          <w:lang w:val="es-ES"/>
        </w:rPr>
        <w:t>Todos</w:t>
      </w:r>
      <w:proofErr w:type="gramEnd"/>
      <w:r w:rsidR="00674B0D" w:rsidRPr="00214B3D">
        <w:rPr>
          <w:rFonts w:cstheme="minorHAnsi"/>
          <w:sz w:val="22"/>
          <w:szCs w:val="22"/>
          <w:lang w:val="es-ES"/>
        </w:rPr>
        <w:t xml:space="preserve"> los seminarios se impartirán en inglés.</w:t>
      </w:r>
    </w:p>
    <w:p w14:paraId="79D5D5D1" w14:textId="2E0D845A" w:rsidR="00674B0D" w:rsidRPr="00214B3D" w:rsidRDefault="002F7ED6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8</w:t>
      </w:r>
      <w:r w:rsidR="00674B0D"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="00674B0D" w:rsidRPr="00214B3D">
        <w:rPr>
          <w:rFonts w:cstheme="minorHAnsi"/>
          <w:sz w:val="22"/>
          <w:szCs w:val="22"/>
          <w:lang w:val="es-ES"/>
        </w:rPr>
        <w:t>Los</w:t>
      </w:r>
      <w:proofErr w:type="gramEnd"/>
      <w:r w:rsidR="00674B0D" w:rsidRPr="00214B3D">
        <w:rPr>
          <w:rFonts w:cstheme="minorHAnsi"/>
          <w:sz w:val="22"/>
          <w:szCs w:val="22"/>
          <w:lang w:val="es-ES"/>
        </w:rPr>
        <w:t xml:space="preserve"> seminarios web se grabarán. Podrá accederse a las grabaciones desde la lista de reproducción de la serie de seminarios web de la Gaceta de la UIT en </w:t>
      </w:r>
      <w:proofErr w:type="spellStart"/>
      <w:r w:rsidR="00674B0D" w:rsidRPr="00214B3D">
        <w:rPr>
          <w:rFonts w:cstheme="minorHAnsi"/>
          <w:sz w:val="22"/>
          <w:szCs w:val="22"/>
          <w:lang w:val="es-ES"/>
        </w:rPr>
        <w:t>Youtube</w:t>
      </w:r>
      <w:proofErr w:type="spellEnd"/>
      <w:r w:rsidR="00674B0D" w:rsidRPr="00214B3D">
        <w:rPr>
          <w:rFonts w:cstheme="minorHAnsi"/>
          <w:sz w:val="22"/>
          <w:szCs w:val="22"/>
          <w:lang w:val="es-ES"/>
        </w:rPr>
        <w:t xml:space="preserve"> en </w:t>
      </w:r>
      <w:hyperlink r:id="rId18" w:history="1">
        <w:r w:rsidR="00674B0D" w:rsidRPr="00214B3D">
          <w:rPr>
            <w:rStyle w:val="Hyperlink"/>
            <w:rFonts w:cstheme="minorHAnsi"/>
            <w:sz w:val="22"/>
            <w:szCs w:val="22"/>
            <w:lang w:val="es-ES"/>
          </w:rPr>
          <w:t>este enlace</w:t>
        </w:r>
      </w:hyperlink>
      <w:r w:rsidR="00674B0D" w:rsidRPr="00214B3D">
        <w:rPr>
          <w:rFonts w:cstheme="minorHAnsi"/>
          <w:sz w:val="22"/>
          <w:szCs w:val="22"/>
          <w:lang w:val="es-ES"/>
        </w:rPr>
        <w:t>, donde también podrá encontrar las grabaciones de series anteriores.</w:t>
      </w:r>
    </w:p>
    <w:p w14:paraId="50572646" w14:textId="7C19D4D8" w:rsidR="00674B0D" w:rsidRPr="00214B3D" w:rsidRDefault="002F7ED6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  <w:lang w:val="es-ES"/>
        </w:rPr>
        <w:t>9</w:t>
      </w:r>
      <w:r w:rsidR="00674B0D" w:rsidRPr="00214B3D">
        <w:rPr>
          <w:rFonts w:cstheme="minorHAnsi"/>
          <w:sz w:val="22"/>
          <w:szCs w:val="22"/>
          <w:lang w:val="es-ES"/>
        </w:rPr>
        <w:tab/>
      </w:r>
      <w:proofErr w:type="gramStart"/>
      <w:r w:rsidR="00674B0D" w:rsidRPr="00214B3D">
        <w:rPr>
          <w:rFonts w:cstheme="minorHAnsi"/>
          <w:b/>
          <w:bCs/>
          <w:sz w:val="22"/>
          <w:szCs w:val="22"/>
          <w:lang w:val="es-ES"/>
        </w:rPr>
        <w:t>La</w:t>
      </w:r>
      <w:proofErr w:type="gramEnd"/>
      <w:r w:rsidR="00674B0D" w:rsidRPr="00214B3D">
        <w:rPr>
          <w:rFonts w:cstheme="minorHAnsi"/>
          <w:b/>
          <w:bCs/>
          <w:sz w:val="22"/>
          <w:szCs w:val="22"/>
          <w:lang w:val="es-ES"/>
        </w:rPr>
        <w:t xml:space="preserve"> inscripción en línea a cada evento es obligatoria para todos los participantes</w:t>
      </w:r>
      <w:r w:rsidR="00674B0D" w:rsidRPr="00214B3D">
        <w:rPr>
          <w:rFonts w:cstheme="minorHAnsi"/>
          <w:sz w:val="22"/>
          <w:szCs w:val="22"/>
          <w:lang w:val="es-ES"/>
        </w:rPr>
        <w:t>. Se publicará más información sobre la inscripción en la página web de cada evento.</w:t>
      </w:r>
    </w:p>
    <w:p w14:paraId="0254FAED" w14:textId="77777777" w:rsidR="007B6316" w:rsidRPr="00214B3D" w:rsidRDefault="007B6316" w:rsidP="007B6316">
      <w:pPr>
        <w:rPr>
          <w:rFonts w:cstheme="minorHAnsi"/>
          <w:sz w:val="22"/>
          <w:szCs w:val="22"/>
        </w:rPr>
      </w:pPr>
      <w:r w:rsidRPr="00214B3D">
        <w:rPr>
          <w:rFonts w:cstheme="minorHAnsi"/>
          <w:sz w:val="22"/>
          <w:szCs w:val="22"/>
        </w:rPr>
        <w:t>Atentamente,</w:t>
      </w:r>
    </w:p>
    <w:p w14:paraId="2BB9EE16" w14:textId="560956AF" w:rsidR="00401C20" w:rsidRPr="00214B3D" w:rsidRDefault="00FE7336" w:rsidP="00214B3D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3F4F6C63" wp14:editId="3CD484E3">
            <wp:simplePos x="0" y="0"/>
            <wp:positionH relativeFrom="column">
              <wp:posOffset>3810</wp:posOffset>
            </wp:positionH>
            <wp:positionV relativeFrom="paragraph">
              <wp:posOffset>150495</wp:posOffset>
            </wp:positionV>
            <wp:extent cx="803652" cy="361950"/>
            <wp:effectExtent l="0" t="0" r="0" b="0"/>
            <wp:wrapNone/>
            <wp:docPr id="1854303745" name="Picture 2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03745" name="Picture 2" descr="A black and blue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214B3D">
        <w:rPr>
          <w:rFonts w:cstheme="minorHAnsi"/>
          <w:sz w:val="22"/>
          <w:szCs w:val="22"/>
          <w:lang w:val="es-ES"/>
        </w:rPr>
        <w:t>Seizo Onoe</w:t>
      </w:r>
      <w:r w:rsidR="007B6316" w:rsidRPr="00214B3D">
        <w:rPr>
          <w:rFonts w:cstheme="minorHAnsi"/>
          <w:sz w:val="22"/>
          <w:szCs w:val="22"/>
        </w:rPr>
        <w:br/>
      </w:r>
      <w:proofErr w:type="gramStart"/>
      <w:r w:rsidR="007B6316" w:rsidRPr="00214B3D">
        <w:rPr>
          <w:rFonts w:cstheme="minorHAnsi"/>
          <w:sz w:val="22"/>
          <w:szCs w:val="22"/>
        </w:rPr>
        <w:t>Director</w:t>
      </w:r>
      <w:proofErr w:type="gramEnd"/>
      <w:r w:rsidR="007B6316" w:rsidRPr="00214B3D">
        <w:rPr>
          <w:rFonts w:cstheme="minorHAnsi"/>
          <w:sz w:val="22"/>
          <w:szCs w:val="22"/>
        </w:rPr>
        <w:t xml:space="preserve"> de la Oficina de </w:t>
      </w:r>
      <w:r w:rsidR="007B6316" w:rsidRPr="00214B3D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214B3D" w:rsidSect="009D729F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8073" w14:textId="77777777" w:rsidR="009D729F" w:rsidRDefault="009D729F">
      <w:r>
        <w:separator/>
      </w:r>
    </w:p>
  </w:endnote>
  <w:endnote w:type="continuationSeparator" w:id="0">
    <w:p w14:paraId="7B811E99" w14:textId="77777777" w:rsidR="009D729F" w:rsidRDefault="009D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201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9E72" w14:textId="77777777" w:rsidR="009D729F" w:rsidRDefault="009D729F">
      <w:r>
        <w:t>____________________</w:t>
      </w:r>
    </w:p>
  </w:footnote>
  <w:footnote w:type="continuationSeparator" w:id="0">
    <w:p w14:paraId="2B268D41" w14:textId="77777777" w:rsidR="009D729F" w:rsidRDefault="009D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7901" w14:textId="77777777" w:rsidR="002877E5" w:rsidRDefault="00B87E9E">
    <w:pPr>
      <w:pStyle w:val="Header"/>
      <w:rPr>
        <w:rStyle w:val="PageNumber"/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</w:p>
  <w:p w14:paraId="26751F57" w14:textId="14632EBE" w:rsidR="006969B4" w:rsidRPr="00303D62" w:rsidRDefault="002877E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186</w:t>
    </w:r>
    <w:r w:rsidR="006969B4" w:rsidRPr="00303D62">
      <w:rPr>
        <w:rStyle w:val="PageNumber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915"/>
    <w:multiLevelType w:val="hybridMultilevel"/>
    <w:tmpl w:val="9C085504"/>
    <w:lvl w:ilvl="0" w:tplc="1FC4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82F92">
      <w:start w:val="1"/>
      <w:numFmt w:val="lowerLetter"/>
      <w:lvlText w:val="%2."/>
      <w:lvlJc w:val="left"/>
      <w:pPr>
        <w:ind w:left="1440" w:hanging="360"/>
      </w:pPr>
    </w:lvl>
    <w:lvl w:ilvl="2" w:tplc="39B8C928" w:tentative="1">
      <w:start w:val="1"/>
      <w:numFmt w:val="lowerRoman"/>
      <w:lvlText w:val="%3."/>
      <w:lvlJc w:val="right"/>
      <w:pPr>
        <w:ind w:left="2160" w:hanging="180"/>
      </w:pPr>
    </w:lvl>
    <w:lvl w:ilvl="3" w:tplc="9C4ED480" w:tentative="1">
      <w:start w:val="1"/>
      <w:numFmt w:val="decimal"/>
      <w:lvlText w:val="%4."/>
      <w:lvlJc w:val="left"/>
      <w:pPr>
        <w:ind w:left="2880" w:hanging="360"/>
      </w:pPr>
    </w:lvl>
    <w:lvl w:ilvl="4" w:tplc="DFF42C70" w:tentative="1">
      <w:start w:val="1"/>
      <w:numFmt w:val="lowerLetter"/>
      <w:lvlText w:val="%5."/>
      <w:lvlJc w:val="left"/>
      <w:pPr>
        <w:ind w:left="3600" w:hanging="360"/>
      </w:pPr>
    </w:lvl>
    <w:lvl w:ilvl="5" w:tplc="3CEEE63A" w:tentative="1">
      <w:start w:val="1"/>
      <w:numFmt w:val="lowerRoman"/>
      <w:lvlText w:val="%6."/>
      <w:lvlJc w:val="right"/>
      <w:pPr>
        <w:ind w:left="4320" w:hanging="180"/>
      </w:pPr>
    </w:lvl>
    <w:lvl w:ilvl="6" w:tplc="C4E6249E" w:tentative="1">
      <w:start w:val="1"/>
      <w:numFmt w:val="decimal"/>
      <w:lvlText w:val="%7."/>
      <w:lvlJc w:val="left"/>
      <w:pPr>
        <w:ind w:left="5040" w:hanging="360"/>
      </w:pPr>
    </w:lvl>
    <w:lvl w:ilvl="7" w:tplc="49F0D8D6" w:tentative="1">
      <w:start w:val="1"/>
      <w:numFmt w:val="lowerLetter"/>
      <w:lvlText w:val="%8."/>
      <w:lvlJc w:val="left"/>
      <w:pPr>
        <w:ind w:left="5760" w:hanging="360"/>
      </w:pPr>
    </w:lvl>
    <w:lvl w:ilvl="8" w:tplc="06462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21103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0D"/>
    <w:rsid w:val="00002529"/>
    <w:rsid w:val="00085662"/>
    <w:rsid w:val="000C382F"/>
    <w:rsid w:val="000F11B3"/>
    <w:rsid w:val="001173CC"/>
    <w:rsid w:val="001350B9"/>
    <w:rsid w:val="0014464D"/>
    <w:rsid w:val="001A54CC"/>
    <w:rsid w:val="00214B3D"/>
    <w:rsid w:val="00257FB4"/>
    <w:rsid w:val="00271055"/>
    <w:rsid w:val="002877E5"/>
    <w:rsid w:val="002E496E"/>
    <w:rsid w:val="002F7ED6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74B0D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D729F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36159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  <w:rsid w:val="00FE7336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459ED"/>
  <w15:docId w15:val="{A3464E12-F04B-42B3-A068-5DCF84FE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qFormat/>
    <w:rsid w:val="00674B0D"/>
    <w:pPr>
      <w:ind w:left="720"/>
      <w:contextualSpacing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40305/Pages/default.aspx" TargetMode="External"/><Relationship Id="rId18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40220/Pages/default.aspx" TargetMode="External"/><Relationship Id="rId17" Type="http://schemas.openxmlformats.org/officeDocument/2006/relationships/hyperlink" Target="https://www.itu.int/en/journal/j-fet/webinars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20240430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40423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6</TotalTime>
  <Pages>2</Pages>
  <Words>880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6379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7</cp:revision>
  <cp:lastPrinted>2024-03-19T13:20:00Z</cp:lastPrinted>
  <dcterms:created xsi:type="dcterms:W3CDTF">2024-03-14T13:22:00Z</dcterms:created>
  <dcterms:modified xsi:type="dcterms:W3CDTF">2024-03-19T13:20:00Z</dcterms:modified>
</cp:coreProperties>
</file>