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34"/>
        <w:gridCol w:w="10"/>
        <w:gridCol w:w="3434"/>
        <w:gridCol w:w="3148"/>
        <w:gridCol w:w="2003"/>
      </w:tblGrid>
      <w:tr w:rsidR="00FA46A0" w:rsidRPr="0088519B" w14:paraId="2F3AEBE3" w14:textId="77777777" w:rsidTr="00872354">
        <w:trPr>
          <w:trHeight w:val="1282"/>
        </w:trPr>
        <w:tc>
          <w:tcPr>
            <w:tcW w:w="114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BF41D" w14:textId="77777777" w:rsidR="00FA46A0" w:rsidRPr="0088519B" w:rsidRDefault="009747C5" w:rsidP="00872354">
            <w:pPr>
              <w:pStyle w:val="Tabletext"/>
              <w:jc w:val="center"/>
            </w:pPr>
            <w:r w:rsidRPr="0088519B">
              <w:rPr>
                <w:noProof/>
                <w:lang w:val="fr-CH" w:eastAsia="fr-CH"/>
              </w:rPr>
              <w:drawing>
                <wp:inline distT="0" distB="0" distL="0" distR="0" wp14:anchorId="3BA9F842" wp14:editId="02A5BE9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0EC0ECC8" w14:textId="77777777" w:rsidR="00FA46A0" w:rsidRPr="0088519B" w:rsidRDefault="00B61012" w:rsidP="0087235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88519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1A486C08" w14:textId="77777777" w:rsidR="00FA46A0" w:rsidRPr="0088519B" w:rsidRDefault="00B61012" w:rsidP="0087235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88519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7652B4C" w14:textId="77777777" w:rsidR="00FA46A0" w:rsidRPr="0088519B" w:rsidRDefault="00FA46A0" w:rsidP="0087235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88519B" w14:paraId="7CBEEB9D" w14:textId="77777777" w:rsidTr="00A73A72">
        <w:trPr>
          <w:cantSplit/>
          <w:trHeight w:val="919"/>
        </w:trPr>
        <w:tc>
          <w:tcPr>
            <w:tcW w:w="4578" w:type="dxa"/>
            <w:gridSpan w:val="3"/>
            <w:vAlign w:val="center"/>
          </w:tcPr>
          <w:p w14:paraId="02781ED0" w14:textId="77777777" w:rsidR="00FA46A0" w:rsidRPr="0088519B" w:rsidRDefault="00FA46A0" w:rsidP="00872354">
            <w:pPr>
              <w:pStyle w:val="Tabletext"/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5151" w:type="dxa"/>
            <w:gridSpan w:val="2"/>
            <w:vAlign w:val="center"/>
          </w:tcPr>
          <w:p w14:paraId="5542BFA4" w14:textId="5935847C" w:rsidR="00FA46A0" w:rsidRPr="0088519B" w:rsidRDefault="00B61012" w:rsidP="00FE00A1">
            <w:pPr>
              <w:pStyle w:val="Tabletext"/>
              <w:spacing w:before="0" w:after="120"/>
              <w:ind w:left="-108"/>
              <w:rPr>
                <w:rFonts w:cs="Calibri"/>
                <w:sz w:val="22"/>
                <w:szCs w:val="22"/>
              </w:rPr>
            </w:pPr>
            <w:r w:rsidRPr="0088519B">
              <w:rPr>
                <w:rFonts w:cs="Calibri"/>
                <w:sz w:val="22"/>
                <w:szCs w:val="22"/>
              </w:rPr>
              <w:t xml:space="preserve">Geneva, </w:t>
            </w:r>
            <w:r w:rsidR="0028743A">
              <w:rPr>
                <w:rFonts w:cs="Calibri"/>
                <w:sz w:val="22"/>
                <w:szCs w:val="22"/>
              </w:rPr>
              <w:t>7</w:t>
            </w:r>
            <w:r w:rsidR="003A3A0E" w:rsidRPr="0088519B">
              <w:rPr>
                <w:rFonts w:cs="Calibri"/>
                <w:sz w:val="22"/>
                <w:szCs w:val="22"/>
              </w:rPr>
              <w:t xml:space="preserve"> March</w:t>
            </w:r>
            <w:r w:rsidR="008561CB" w:rsidRPr="0088519B">
              <w:rPr>
                <w:rFonts w:cs="Calibri"/>
                <w:sz w:val="22"/>
                <w:szCs w:val="22"/>
              </w:rPr>
              <w:t xml:space="preserve"> 202</w:t>
            </w:r>
            <w:r w:rsidR="003A3A0E" w:rsidRPr="0088519B">
              <w:rPr>
                <w:rFonts w:cs="Calibri"/>
                <w:sz w:val="22"/>
                <w:szCs w:val="22"/>
              </w:rPr>
              <w:t>4</w:t>
            </w:r>
          </w:p>
        </w:tc>
      </w:tr>
      <w:tr w:rsidR="00A73A72" w:rsidRPr="001F3432" w14:paraId="5B9F57B8" w14:textId="77777777" w:rsidTr="00A73A72">
        <w:trPr>
          <w:cantSplit/>
          <w:trHeight w:val="562"/>
        </w:trPr>
        <w:tc>
          <w:tcPr>
            <w:tcW w:w="1134" w:type="dxa"/>
          </w:tcPr>
          <w:p w14:paraId="4361F29A" w14:textId="77777777" w:rsidR="00A73A72" w:rsidRPr="001F3432" w:rsidRDefault="00A73A72" w:rsidP="00FE00A1">
            <w:pPr>
              <w:pStyle w:val="Tabletext"/>
              <w:spacing w:before="0" w:after="0"/>
              <w:ind w:lef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b/>
                <w:sz w:val="22"/>
                <w:szCs w:val="22"/>
              </w:rPr>
              <w:t>Ref:</w:t>
            </w:r>
          </w:p>
        </w:tc>
        <w:tc>
          <w:tcPr>
            <w:tcW w:w="3444" w:type="dxa"/>
            <w:gridSpan w:val="2"/>
          </w:tcPr>
          <w:p w14:paraId="101ED353" w14:textId="4AC51844" w:rsidR="00A73A72" w:rsidRPr="001F3432" w:rsidRDefault="00A73A72" w:rsidP="00FE00A1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TSB Circular 187</w:t>
            </w:r>
          </w:p>
          <w:p w14:paraId="1FA4CE7F" w14:textId="06F4DC1B" w:rsidR="00A73A72" w:rsidRPr="001F3432" w:rsidRDefault="00A73A72" w:rsidP="00FE00A1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FG-</w:t>
            </w:r>
            <w:r w:rsidRPr="001F343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/>
              </w:rPr>
              <w:t>MV</w:t>
            </w:r>
            <w:r w:rsidRPr="001F34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/CB</w:t>
            </w:r>
          </w:p>
        </w:tc>
        <w:tc>
          <w:tcPr>
            <w:tcW w:w="5151" w:type="dxa"/>
            <w:gridSpan w:val="2"/>
            <w:vMerge w:val="restart"/>
          </w:tcPr>
          <w:p w14:paraId="10929BBB" w14:textId="77777777" w:rsidR="00A73A72" w:rsidRPr="001F3432" w:rsidRDefault="00A73A72" w:rsidP="00FE00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 w:after="4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b/>
                <w:sz w:val="22"/>
                <w:szCs w:val="22"/>
              </w:rPr>
              <w:t>To:</w:t>
            </w:r>
          </w:p>
          <w:p w14:paraId="636D143F" w14:textId="4E77671B" w:rsidR="00A73A72" w:rsidRPr="001F3432" w:rsidRDefault="00A73A72" w:rsidP="00FE00A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4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ab/>
              <w:t>Administrations of Member States of the Union</w:t>
            </w:r>
          </w:p>
          <w:p w14:paraId="6AAEA161" w14:textId="55BB5C7C" w:rsidR="00A73A72" w:rsidRPr="001F3432" w:rsidRDefault="00A73A72" w:rsidP="00FE00A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40"/>
              <w:ind w:left="283" w:hanging="391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1F3432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-</w:t>
            </w:r>
            <w:r w:rsidRPr="001F3432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ab/>
              <w:t xml:space="preserve">ITU-T </w:t>
            </w:r>
            <w:proofErr w:type="spellStart"/>
            <w:r w:rsidRPr="001F3432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Sector</w:t>
            </w:r>
            <w:proofErr w:type="spellEnd"/>
            <w:r w:rsidRPr="001F3432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Members</w:t>
            </w:r>
          </w:p>
          <w:p w14:paraId="4872070A" w14:textId="0FD7ED8C" w:rsidR="00A73A72" w:rsidRPr="001F3432" w:rsidRDefault="00A73A72" w:rsidP="00FE00A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40"/>
              <w:ind w:left="283" w:hanging="391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1F3432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-</w:t>
            </w:r>
            <w:r w:rsidRPr="001F3432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ab/>
              <w:t>ITU-T Associates</w:t>
            </w:r>
          </w:p>
          <w:p w14:paraId="7DE0EDF0" w14:textId="77777777" w:rsidR="00A73A72" w:rsidRPr="001F3432" w:rsidRDefault="00A73A72" w:rsidP="00FE00A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ab/>
              <w:t>ITU Academia</w:t>
            </w:r>
          </w:p>
          <w:p w14:paraId="39151795" w14:textId="77777777" w:rsidR="00A73A72" w:rsidRPr="001F3432" w:rsidRDefault="00A73A72" w:rsidP="00FE00A1">
            <w:pPr>
              <w:pStyle w:val="Tabletext"/>
              <w:spacing w:before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b/>
                <w:sz w:val="22"/>
                <w:szCs w:val="22"/>
              </w:rPr>
              <w:t>Copy to:</w:t>
            </w:r>
          </w:p>
          <w:p w14:paraId="793691A8" w14:textId="6794D2A4" w:rsidR="00A73A72" w:rsidRPr="001F3432" w:rsidRDefault="00A73A72" w:rsidP="00FE00A1">
            <w:pPr>
              <w:pStyle w:val="Tabletext"/>
              <w:tabs>
                <w:tab w:val="clear" w:pos="284"/>
              </w:tabs>
              <w:spacing w:before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ab/>
              <w:t>The Chairs and Vice-Chairs of</w:t>
            </w:r>
            <w:r w:rsidRPr="001F3432">
              <w:rPr>
                <w:rFonts w:asciiTheme="minorHAnsi" w:hAnsiTheme="minorHAnsi" w:cstheme="minorHAnsi"/>
                <w:sz w:val="22"/>
                <w:szCs w:val="22"/>
                <w:rtl/>
              </w:rPr>
              <w:br/>
            </w:r>
            <w:r w:rsidRPr="001F34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ITU-T 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Study Groups</w:t>
            </w:r>
          </w:p>
          <w:p w14:paraId="3D7ED4C4" w14:textId="5361C966" w:rsidR="00A73A72" w:rsidRPr="001F3432" w:rsidRDefault="00A73A72" w:rsidP="00FE00A1">
            <w:pPr>
              <w:pStyle w:val="Tabletext"/>
              <w:tabs>
                <w:tab w:val="clear" w:pos="284"/>
              </w:tabs>
              <w:spacing w:before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ab/>
              <w:t>The Director of the Telecommunication Development Bureau</w:t>
            </w:r>
          </w:p>
          <w:p w14:paraId="6CF0A91E" w14:textId="77777777" w:rsidR="00A73A72" w:rsidRPr="001F3432" w:rsidRDefault="00A73A72" w:rsidP="00FE00A1">
            <w:pPr>
              <w:pStyle w:val="Tabletext"/>
              <w:spacing w:before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ab/>
              <w:t>The Director of the Radiocommunication Bureau</w:t>
            </w:r>
          </w:p>
          <w:p w14:paraId="5984EDB0" w14:textId="3F6453C0" w:rsidR="00A73A72" w:rsidRPr="001F3432" w:rsidRDefault="00A73A72" w:rsidP="00FE00A1">
            <w:pPr>
              <w:pStyle w:val="Tabletext"/>
              <w:spacing w:before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A72" w:rsidRPr="001F3432" w14:paraId="218C7AAB" w14:textId="77777777" w:rsidTr="00872354">
        <w:trPr>
          <w:cantSplit/>
          <w:trHeight w:val="221"/>
        </w:trPr>
        <w:tc>
          <w:tcPr>
            <w:tcW w:w="1134" w:type="dxa"/>
          </w:tcPr>
          <w:p w14:paraId="0AF5256F" w14:textId="77777777" w:rsidR="00A73A72" w:rsidRPr="001F3432" w:rsidRDefault="00A73A72" w:rsidP="00FE00A1">
            <w:pPr>
              <w:pStyle w:val="Tabletext"/>
              <w:spacing w:before="0" w:after="0"/>
              <w:ind w:lef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b/>
                <w:sz w:val="22"/>
                <w:szCs w:val="22"/>
              </w:rPr>
              <w:t>Tel:</w:t>
            </w:r>
          </w:p>
        </w:tc>
        <w:tc>
          <w:tcPr>
            <w:tcW w:w="3444" w:type="dxa"/>
            <w:gridSpan w:val="2"/>
          </w:tcPr>
          <w:p w14:paraId="79A9C2E7" w14:textId="69E2C47D" w:rsidR="00A73A72" w:rsidRPr="001F3432" w:rsidRDefault="00A73A72" w:rsidP="00FE00A1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+41 22 730 6301</w:t>
            </w:r>
          </w:p>
        </w:tc>
        <w:tc>
          <w:tcPr>
            <w:tcW w:w="5151" w:type="dxa"/>
            <w:gridSpan w:val="2"/>
            <w:vMerge/>
          </w:tcPr>
          <w:p w14:paraId="00A6FEE0" w14:textId="6BC19E40" w:rsidR="00A73A72" w:rsidRPr="001F3432" w:rsidRDefault="00A73A72" w:rsidP="00FE00A1">
            <w:pPr>
              <w:pStyle w:val="Tabletext"/>
              <w:spacing w:before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A72" w:rsidRPr="001F3432" w14:paraId="4FB22726" w14:textId="77777777" w:rsidTr="00872354">
        <w:trPr>
          <w:cantSplit/>
          <w:trHeight w:val="282"/>
        </w:trPr>
        <w:tc>
          <w:tcPr>
            <w:tcW w:w="1134" w:type="dxa"/>
          </w:tcPr>
          <w:p w14:paraId="254ABACE" w14:textId="77777777" w:rsidR="00A73A72" w:rsidRPr="001F3432" w:rsidRDefault="00A73A72" w:rsidP="00FE00A1">
            <w:pPr>
              <w:pStyle w:val="Tabletext"/>
              <w:spacing w:before="0" w:after="0"/>
              <w:ind w:lef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</w:p>
        </w:tc>
        <w:tc>
          <w:tcPr>
            <w:tcW w:w="3444" w:type="dxa"/>
            <w:gridSpan w:val="2"/>
          </w:tcPr>
          <w:p w14:paraId="3EED3728" w14:textId="2628A552" w:rsidR="00A73A72" w:rsidRPr="001F3432" w:rsidRDefault="00A73A72" w:rsidP="00FE00A1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+41 22 730 5853</w:t>
            </w:r>
          </w:p>
        </w:tc>
        <w:tc>
          <w:tcPr>
            <w:tcW w:w="5151" w:type="dxa"/>
            <w:gridSpan w:val="2"/>
            <w:vMerge/>
          </w:tcPr>
          <w:p w14:paraId="2D69D236" w14:textId="637B6B30" w:rsidR="00A73A72" w:rsidRPr="001F3432" w:rsidRDefault="00A73A72" w:rsidP="00FE00A1">
            <w:pPr>
              <w:pStyle w:val="Tabletext"/>
              <w:spacing w:before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A72" w:rsidRPr="001F3432" w14:paraId="5E6C09DD" w14:textId="77777777" w:rsidTr="00FE00A1">
        <w:trPr>
          <w:cantSplit/>
          <w:trHeight w:val="1952"/>
        </w:trPr>
        <w:tc>
          <w:tcPr>
            <w:tcW w:w="1134" w:type="dxa"/>
          </w:tcPr>
          <w:p w14:paraId="0094CC3A" w14:textId="77777777" w:rsidR="00A73A72" w:rsidRPr="001F3432" w:rsidRDefault="00A73A72" w:rsidP="00FE00A1">
            <w:pPr>
              <w:pStyle w:val="Tabletext"/>
              <w:spacing w:before="0" w:after="0"/>
              <w:ind w:lef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3444" w:type="dxa"/>
            <w:gridSpan w:val="2"/>
          </w:tcPr>
          <w:p w14:paraId="676B845E" w14:textId="7A07E3C0" w:rsidR="00A73A72" w:rsidRPr="001F3432" w:rsidRDefault="00A73A72" w:rsidP="00FE00A1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9" w:history="1">
              <w:r w:rsidRPr="001F3432">
                <w:rPr>
                  <w:rStyle w:val="Hyperlink"/>
                  <w:sz w:val="22"/>
                  <w:szCs w:val="22"/>
                </w:rPr>
                <w:t>virtualworlds@itu.int</w:t>
              </w:r>
            </w:hyperlink>
            <w:r w:rsidRPr="001F34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51" w:type="dxa"/>
            <w:gridSpan w:val="2"/>
            <w:vMerge/>
          </w:tcPr>
          <w:p w14:paraId="0170C617" w14:textId="709FF381" w:rsidR="00A73A72" w:rsidRPr="001F3432" w:rsidRDefault="00A73A72" w:rsidP="00FE00A1">
            <w:pPr>
              <w:pStyle w:val="Tabletext"/>
              <w:tabs>
                <w:tab w:val="clear" w:pos="284"/>
              </w:tabs>
              <w:spacing w:before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6A0" w:rsidRPr="001F3432" w14:paraId="3D692815" w14:textId="77777777" w:rsidTr="00A73A72">
        <w:trPr>
          <w:cantSplit/>
        </w:trPr>
        <w:tc>
          <w:tcPr>
            <w:tcW w:w="1134" w:type="dxa"/>
          </w:tcPr>
          <w:p w14:paraId="71C35540" w14:textId="3A5EEB69" w:rsidR="00FA46A0" w:rsidRPr="001F3432" w:rsidRDefault="00B61012" w:rsidP="00872354">
            <w:pPr>
              <w:pStyle w:val="Tabletext"/>
              <w:ind w:lef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b/>
                <w:sz w:val="22"/>
                <w:szCs w:val="22"/>
              </w:rPr>
              <w:t>Subject:</w:t>
            </w:r>
          </w:p>
        </w:tc>
        <w:tc>
          <w:tcPr>
            <w:tcW w:w="8595" w:type="dxa"/>
            <w:gridSpan w:val="4"/>
          </w:tcPr>
          <w:p w14:paraId="43CFD4A5" w14:textId="77777777" w:rsidR="00FA46A0" w:rsidRPr="001F3432" w:rsidRDefault="00BF3C63" w:rsidP="007F45B7">
            <w:pPr>
              <w:pStyle w:val="Tabletext"/>
              <w:ind w:right="-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Metaverse Think-a-Thon 2024</w:t>
            </w:r>
          </w:p>
          <w:p w14:paraId="6DAA681E" w14:textId="05A2117F" w:rsidR="00A73A72" w:rsidRPr="001F3432" w:rsidRDefault="00A73A72" w:rsidP="007F45B7">
            <w:pPr>
              <w:pStyle w:val="Tabletext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A72" w:rsidRPr="001F3432" w14:paraId="12D5307A" w14:textId="77777777" w:rsidTr="00A73A72">
        <w:trPr>
          <w:trHeight w:val="711"/>
        </w:trPr>
        <w:tc>
          <w:tcPr>
            <w:tcW w:w="9729" w:type="dxa"/>
            <w:gridSpan w:val="5"/>
          </w:tcPr>
          <w:p w14:paraId="1A6C466B" w14:textId="77777777" w:rsidR="00A73A72" w:rsidRPr="001F3432" w:rsidRDefault="00A73A72" w:rsidP="00A73A72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Dear Sir/Madam,</w:t>
            </w:r>
          </w:p>
          <w:p w14:paraId="46D647CB" w14:textId="77777777" w:rsidR="00A73A72" w:rsidRPr="001F3432" w:rsidRDefault="00A73A72" w:rsidP="00A73A72">
            <w:pPr>
              <w:tabs>
                <w:tab w:val="clear" w:pos="794"/>
                <w:tab w:val="clear" w:pos="1191"/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ab/>
              <w:t>It is my pleasure to invite you to participate in the 2024 edition of the Metaverse Think-a-Thon, with the theme of “Virtual Worlds Revolutionizing Smart Sustainable Cities &amp; Communities”, co-organized by the International Telecommunication Union (ITU), the United Nations International Computing Centre (UNICC), and the Food and Agriculture Organization of the United Nations (FAO).</w:t>
            </w:r>
          </w:p>
          <w:p w14:paraId="258D172E" w14:textId="77777777" w:rsidR="00A73A72" w:rsidRPr="001F3432" w:rsidRDefault="00A73A72" w:rsidP="00A73A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ab/>
              <w:t>The Metaverse Think-a-Thon 2024 aims to harness the potential of virtual technologies and innovative approaches to generate actionable insights, propose practical solutions, and foster a collective vision for creating smarter, more sustainable cities and communities.</w:t>
            </w:r>
          </w:p>
          <w:p w14:paraId="30BF10C9" w14:textId="0FC05BBB" w:rsidR="00A73A72" w:rsidRPr="001F3432" w:rsidRDefault="00A73A72" w:rsidP="00A73A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ab/>
              <w:t>Proposed sub-topics to work on include:</w:t>
            </w:r>
          </w:p>
          <w:p w14:paraId="2CF3B707" w14:textId="77777777" w:rsidR="00A73A72" w:rsidRPr="001F3432" w:rsidRDefault="00A73A72" w:rsidP="00A73A7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b/>
                <w:sz w:val="22"/>
                <w:szCs w:val="22"/>
              </w:rPr>
              <w:t>Virtual Education Platforms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: Creating immersive virtual learning environments to improve access to education for underserved communities, promoting lifelong learning opportunities (SDG 4: Quality Education)</w:t>
            </w:r>
          </w:p>
          <w:p w14:paraId="1CC15060" w14:textId="77777777" w:rsidR="00A73A72" w:rsidRPr="001F3432" w:rsidRDefault="00A73A72" w:rsidP="00A73A7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b/>
                <w:sz w:val="22"/>
                <w:szCs w:val="22"/>
              </w:rPr>
              <w:t>Disaster Preparedness and Response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: Propose virtual simulations and training environments to train emergency responders and communities for natural and man-made disaster preparedness and response (SDG 11: Sustainable Cities and Communities, SDG 13: Climate Action).</w:t>
            </w:r>
          </w:p>
          <w:p w14:paraId="3F353BA1" w14:textId="1CDAC2B9" w:rsidR="00A73A72" w:rsidRPr="001F3432" w:rsidRDefault="00A73A72" w:rsidP="00A73A7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Urban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0"/>
                <w:id w:val="-1254736310"/>
              </w:sdtPr>
              <w:sdtContent/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1"/>
                <w:id w:val="-42441903"/>
              </w:sdtPr>
              <w:sdtContent/>
            </w:sdt>
            <w:r w:rsidRPr="001F3432">
              <w:rPr>
                <w:rFonts w:asciiTheme="minorHAnsi" w:hAnsiTheme="minorHAnsi" w:cstheme="minorHAnsi"/>
                <w:b/>
                <w:sz w:val="22"/>
                <w:szCs w:val="22"/>
              </w:rPr>
              <w:t>Conflict Resolution Simulations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 xml:space="preserve">: Conduct virtual simulations tailored for urban and city management to facilitate diplomatic negotiations, and resolve conflicts between cities, communities, </w:t>
            </w:r>
            <w:proofErr w:type="gramStart"/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stakeholders</w:t>
            </w:r>
            <w:proofErr w:type="gramEnd"/>
            <w:r w:rsidRPr="001F3432">
              <w:rPr>
                <w:rFonts w:asciiTheme="minorHAnsi" w:hAnsiTheme="minorHAnsi" w:cstheme="minorHAnsi"/>
                <w:sz w:val="22"/>
                <w:szCs w:val="22"/>
              </w:rPr>
              <w:t xml:space="preserve"> and urban planners. These simulations aim to enhance conflict analysis, and peacebuilding strategies for urban areas. (SDG 16: Peace, Justice, and Strong Institutions).</w:t>
            </w:r>
          </w:p>
          <w:p w14:paraId="783D77A3" w14:textId="77777777" w:rsidR="00A73A72" w:rsidRPr="001F3432" w:rsidRDefault="00A73A72" w:rsidP="00A73A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Among the prizes are 10'000 CHF for 1st prize, 5'000 CHF for 2nd prize and 3'000 CHF for 3rd prize. The announcement of winners will take place on 3 May 2024 and the award ceremony will take place during the </w:t>
            </w:r>
            <w:hyperlink r:id="rId10" w:history="1">
              <w:r w:rsidRPr="001F343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 Virtual Worlds Day: Harnessing the metaverse to advance the SDGs</w:t>
              </w:r>
            </w:hyperlink>
            <w:r w:rsidRPr="001F3432">
              <w:rPr>
                <w:rFonts w:asciiTheme="minorHAnsi" w:hAnsiTheme="minorHAnsi" w:cstheme="minorHAnsi"/>
                <w:sz w:val="22"/>
                <w:szCs w:val="22"/>
              </w:rPr>
              <w:t xml:space="preserve"> that will take place on 14 June 2024 in Geneva, Switzerland.</w:t>
            </w:r>
          </w:p>
          <w:p w14:paraId="6923947C" w14:textId="0F6CFD2A" w:rsidR="00A73A72" w:rsidRPr="001F3432" w:rsidRDefault="00A73A72" w:rsidP="00A73A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Participation in the Think-a-Thon is free of charge and open to all. Interested individuals can register and participate in the Think-a-Thon at </w:t>
            </w:r>
            <w:hyperlink r:id="rId11" w:history="1">
              <w:r w:rsidRPr="001F343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https://www.itu.int/metaverse/un-virtual-worlds-day/thinkathon/</w:t>
              </w:r>
            </w:hyperlink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. Registration is open until 29 March 2024. Think-a-Thon proposals need to be submitted by the same date.</w:t>
            </w:r>
          </w:p>
          <w:p w14:paraId="15044506" w14:textId="1AB9F67A" w:rsidR="00A73A72" w:rsidRPr="001F3432" w:rsidRDefault="00A73A72" w:rsidP="00A73A7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6"/>
                <w:tab w:val="left" w:pos="851"/>
              </w:tabs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F3432"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ab/>
              <w:t xml:space="preserve">Information relating to the 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Think-a-Thon, including the timeline, format and proposed sub-topics</w:t>
            </w:r>
            <w:r w:rsidRPr="001F3432"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, 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 xml:space="preserve">is available at </w:t>
            </w:r>
            <w:hyperlink r:id="rId12" w:history="1">
              <w:r w:rsidRPr="001F343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https://www.itu.int/metaverse/un-virtual-worlds-day/thinkathon/</w:t>
              </w:r>
            </w:hyperlink>
            <w:r w:rsidRPr="001F3432">
              <w:rPr>
                <w:rFonts w:asciiTheme="minorHAnsi" w:hAnsiTheme="minorHAnsi" w:cstheme="minorHAnsi"/>
                <w:sz w:val="22"/>
                <w:szCs w:val="22"/>
              </w:rPr>
              <w:t xml:space="preserve">. Please check the </w:t>
            </w:r>
            <w:r w:rsidRPr="001F3432" w:rsidDel="00A73A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 xml:space="preserve"> homepage periodically for new </w:t>
            </w:r>
            <w:r w:rsidRPr="001F3432"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updates.</w:t>
            </w:r>
          </w:p>
          <w:p w14:paraId="4C772BB9" w14:textId="5FD8A0D7" w:rsidR="00A73A72" w:rsidRPr="001F3432" w:rsidRDefault="00A73A72" w:rsidP="00A73A72">
            <w:pPr>
              <w:pStyle w:val="Tabletext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7</w:t>
            </w:r>
            <w:r w:rsidRPr="001F3432"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ab/>
              <w:t xml:space="preserve">For additional information and questions relating to the 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Think-a-Thon</w:t>
            </w:r>
            <w:r w:rsidRPr="001F3432"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, please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 xml:space="preserve"> contact: </w:t>
            </w:r>
            <w:hyperlink r:id="rId13" w:history="1">
              <w:r w:rsidRPr="001F343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virtualworlds@itu.int</w:t>
              </w:r>
            </w:hyperlink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348"/>
      </w:tblGrid>
      <w:tr w:rsidR="007F45B7" w:rsidRPr="001F3432" w14:paraId="379DCA91" w14:textId="77777777" w:rsidTr="004A10E3">
        <w:trPr>
          <w:cantSplit/>
          <w:trHeight w:val="1134"/>
        </w:trPr>
        <w:tc>
          <w:tcPr>
            <w:tcW w:w="7371" w:type="dxa"/>
          </w:tcPr>
          <w:p w14:paraId="36E9925F" w14:textId="11B8F916" w:rsidR="00956F15" w:rsidRPr="001F3432" w:rsidRDefault="00601FEE" w:rsidP="00A73A72">
            <w:pPr>
              <w:spacing w:after="120"/>
              <w:ind w:left="-108"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Yours faithfully,</w:t>
            </w:r>
          </w:p>
          <w:p w14:paraId="09583708" w14:textId="003874B2" w:rsidR="002B4F3B" w:rsidRPr="001F3432" w:rsidRDefault="00C1034C" w:rsidP="00A73A72">
            <w:pPr>
              <w:spacing w:after="120"/>
              <w:ind w:left="-108" w:firstLine="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EF3FE2B" wp14:editId="387FD4C4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53340</wp:posOffset>
                  </wp:positionV>
                  <wp:extent cx="833755" cy="351790"/>
                  <wp:effectExtent l="0" t="0" r="4445" b="0"/>
                  <wp:wrapNone/>
                  <wp:docPr id="41654839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548395" name="Picture 41654839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15F3AC" w14:textId="3829F740" w:rsidR="002B4F3B" w:rsidRPr="001F3432" w:rsidRDefault="002B4F3B" w:rsidP="00A73A72">
            <w:pPr>
              <w:spacing w:after="120"/>
              <w:ind w:left="-108"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5ACB9" w14:textId="0E8B57D1" w:rsidR="007F45B7" w:rsidRPr="001F3432" w:rsidRDefault="00956F15" w:rsidP="002B4F3B">
            <w:pPr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>Seizo Onoe</w:t>
            </w:r>
            <w:r w:rsidRPr="001F343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F45B7" w:rsidRPr="001F3432">
              <w:rPr>
                <w:rFonts w:asciiTheme="minorHAnsi" w:hAnsiTheme="minorHAnsi" w:cstheme="minorHAnsi"/>
                <w:sz w:val="22"/>
                <w:szCs w:val="22"/>
              </w:rPr>
              <w:t>Director of the Telecommunication</w:t>
            </w:r>
            <w:r w:rsidR="007F45B7" w:rsidRPr="001F3432">
              <w:rPr>
                <w:rFonts w:asciiTheme="minorHAnsi" w:hAnsiTheme="minorHAnsi" w:cstheme="minorHAnsi"/>
                <w:sz w:val="22"/>
                <w:szCs w:val="22"/>
              </w:rPr>
              <w:br/>
              <w:t>Standardization Bureau</w:t>
            </w:r>
          </w:p>
        </w:tc>
        <w:tc>
          <w:tcPr>
            <w:tcW w:w="2348" w:type="dxa"/>
            <w:textDirection w:val="btLr"/>
          </w:tcPr>
          <w:p w14:paraId="135D34EF" w14:textId="69B3B8CA" w:rsidR="007F45B7" w:rsidRPr="001F3432" w:rsidRDefault="00751A9C" w:rsidP="004A10E3">
            <w:pPr>
              <w:spacing w:before="0" w:after="12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EC51A97" wp14:editId="4D8C0C9D">
                  <wp:extent cx="984299" cy="984299"/>
                  <wp:effectExtent l="0" t="0" r="6350" b="6350"/>
                  <wp:docPr id="752273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201" cy="98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45B7" w:rsidRPr="001F3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C012CA" w14:textId="06E65717" w:rsidR="007F45B7" w:rsidRPr="001F3432" w:rsidRDefault="00C462EF" w:rsidP="004A10E3">
            <w:pPr>
              <w:spacing w:before="0" w:after="12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432">
              <w:rPr>
                <w:rFonts w:asciiTheme="minorHAnsi" w:hAnsiTheme="minorHAnsi" w:cstheme="minorHAnsi"/>
                <w:sz w:val="22"/>
                <w:szCs w:val="22"/>
              </w:rPr>
              <w:t xml:space="preserve">Think-a-Thon </w:t>
            </w:r>
            <w:r w:rsidR="007F45B7" w:rsidRPr="001F3432"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</w:p>
        </w:tc>
      </w:tr>
    </w:tbl>
    <w:p w14:paraId="4BB6174C" w14:textId="77777777" w:rsidR="007F45B7" w:rsidRPr="000B4DF3" w:rsidRDefault="007F45B7" w:rsidP="00FE00A1">
      <w:pPr>
        <w:spacing w:before="0" w:after="120"/>
        <w:rPr>
          <w:rFonts w:asciiTheme="minorHAnsi" w:hAnsiTheme="minorHAnsi" w:cstheme="minorHAnsi"/>
          <w:sz w:val="22"/>
          <w:szCs w:val="22"/>
        </w:rPr>
      </w:pPr>
    </w:p>
    <w:sectPr w:rsidR="007F45B7" w:rsidRPr="000B4DF3" w:rsidSect="00C24502">
      <w:headerReference w:type="default" r:id="rId16"/>
      <w:footerReference w:type="first" r:id="rId17"/>
      <w:type w:val="oddPage"/>
      <w:pgSz w:w="11907" w:h="16834" w:code="9"/>
      <w:pgMar w:top="567" w:right="1089" w:bottom="851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3D89" w14:textId="77777777" w:rsidR="00C672A1" w:rsidRDefault="00C672A1">
      <w:r>
        <w:separator/>
      </w:r>
    </w:p>
  </w:endnote>
  <w:endnote w:type="continuationSeparator" w:id="0">
    <w:p w14:paraId="60EFD6DF" w14:textId="77777777" w:rsidR="00C672A1" w:rsidRDefault="00C6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D308" w14:textId="77777777" w:rsidR="00114254" w:rsidRPr="00C24502" w:rsidRDefault="00114254">
    <w:pPr>
      <w:pStyle w:val="FirstFooter"/>
      <w:ind w:left="-397" w:right="-397"/>
      <w:jc w:val="center"/>
      <w:rPr>
        <w:color w:val="0070C0"/>
      </w:rPr>
    </w:pPr>
    <w:r w:rsidRPr="00C24502">
      <w:rPr>
        <w:color w:val="0070C0"/>
        <w:sz w:val="18"/>
        <w:szCs w:val="18"/>
      </w:rPr>
      <w:t>International Telecommunication Union • Place des Nations • CH-1211 Geneva 20 • Switzerland</w:t>
    </w:r>
    <w:r w:rsidRPr="00C24502">
      <w:rPr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C24502">
        <w:rPr>
          <w:rStyle w:val="Hyperlink"/>
          <w:color w:val="0070C0"/>
          <w:sz w:val="18"/>
          <w:szCs w:val="18"/>
        </w:rPr>
        <w:t>itumail@itu.int</w:t>
      </w:r>
    </w:hyperlink>
    <w:r w:rsidRPr="00C24502">
      <w:rPr>
        <w:color w:val="0070C0"/>
        <w:sz w:val="18"/>
        <w:szCs w:val="18"/>
      </w:rPr>
      <w:t xml:space="preserve"> • </w:t>
    </w:r>
    <w:hyperlink r:id="rId2" w:history="1">
      <w:r w:rsidRPr="00C24502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C412" w14:textId="77777777" w:rsidR="00C672A1" w:rsidRDefault="00C672A1">
      <w:r>
        <w:t>____________________</w:t>
      </w:r>
    </w:p>
  </w:footnote>
  <w:footnote w:type="continuationSeparator" w:id="0">
    <w:p w14:paraId="7E407736" w14:textId="77777777" w:rsidR="00C672A1" w:rsidRDefault="00C6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C20C" w14:textId="20860AC5" w:rsidR="00114254" w:rsidRDefault="00114254" w:rsidP="00C24502">
    <w:pPr>
      <w:pStyle w:val="Header"/>
      <w:spacing w:after="240"/>
    </w:pPr>
    <w:r w:rsidRPr="000B4DF3">
      <w:t xml:space="preserve">- </w:t>
    </w:r>
    <w:r w:rsidRPr="000B4DF3">
      <w:fldChar w:fldCharType="begin"/>
    </w:r>
    <w:r w:rsidRPr="000B4DF3">
      <w:instrText xml:space="preserve"> PAGE   \* MERGEFORMAT </w:instrText>
    </w:r>
    <w:r w:rsidRPr="000B4DF3">
      <w:fldChar w:fldCharType="separate"/>
    </w:r>
    <w:r w:rsidR="00FC5C1C" w:rsidRPr="000B4DF3">
      <w:rPr>
        <w:noProof/>
      </w:rPr>
      <w:t>2</w:t>
    </w:r>
    <w:r w:rsidRPr="000B4DF3">
      <w:rPr>
        <w:noProof/>
      </w:rPr>
      <w:fldChar w:fldCharType="end"/>
    </w:r>
    <w:r w:rsidRPr="000B4DF3">
      <w:rPr>
        <w:noProof/>
      </w:rPr>
      <w:t xml:space="preserve"> -</w:t>
    </w:r>
    <w:r w:rsidRPr="000B4DF3">
      <w:rPr>
        <w:noProof/>
      </w:rPr>
      <w:br/>
    </w:r>
    <w:r w:rsidR="00220528" w:rsidRPr="00220528">
      <w:rPr>
        <w:noProof/>
      </w:rPr>
      <w:t xml:space="preserve">TSB Circular </w:t>
    </w:r>
    <w:r w:rsidR="00CE26D2">
      <w:rPr>
        <w:noProof/>
      </w:rPr>
      <w:t>187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8699D"/>
    <w:multiLevelType w:val="hybridMultilevel"/>
    <w:tmpl w:val="FF20F686"/>
    <w:lvl w:ilvl="0" w:tplc="EBAE24A4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67EAE"/>
    <w:multiLevelType w:val="multilevel"/>
    <w:tmpl w:val="12267E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20D77"/>
    <w:multiLevelType w:val="multilevel"/>
    <w:tmpl w:val="658661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D494204"/>
    <w:multiLevelType w:val="hybridMultilevel"/>
    <w:tmpl w:val="05365D78"/>
    <w:lvl w:ilvl="0" w:tplc="08090005">
      <w:start w:val="1"/>
      <w:numFmt w:val="bullet"/>
      <w:lvlText w:val=""/>
      <w:lvlJc w:val="left"/>
      <w:pPr>
        <w:ind w:left="1155" w:hanging="79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D61C5"/>
    <w:multiLevelType w:val="multilevel"/>
    <w:tmpl w:val="213D61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0F3E"/>
    <w:multiLevelType w:val="hybridMultilevel"/>
    <w:tmpl w:val="7BBAF588"/>
    <w:lvl w:ilvl="0" w:tplc="31EC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F6CC1"/>
    <w:multiLevelType w:val="multilevel"/>
    <w:tmpl w:val="36BF6C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F3C69"/>
    <w:multiLevelType w:val="hybridMultilevel"/>
    <w:tmpl w:val="6CAC87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95F13"/>
    <w:multiLevelType w:val="hybridMultilevel"/>
    <w:tmpl w:val="28E89BF8"/>
    <w:lvl w:ilvl="0" w:tplc="0F826492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02869"/>
    <w:multiLevelType w:val="multilevel"/>
    <w:tmpl w:val="EDE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1E4D7B"/>
    <w:multiLevelType w:val="hybridMultilevel"/>
    <w:tmpl w:val="6B4CCE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C72B9"/>
    <w:multiLevelType w:val="hybridMultilevel"/>
    <w:tmpl w:val="1B82AC1C"/>
    <w:lvl w:ilvl="0" w:tplc="2AA8B89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2232F"/>
    <w:multiLevelType w:val="hybridMultilevel"/>
    <w:tmpl w:val="FFF864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8452A7"/>
    <w:multiLevelType w:val="hybridMultilevel"/>
    <w:tmpl w:val="2EDAC584"/>
    <w:lvl w:ilvl="0" w:tplc="116A654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35F14"/>
    <w:multiLevelType w:val="hybridMultilevel"/>
    <w:tmpl w:val="C4B4E4D0"/>
    <w:lvl w:ilvl="0" w:tplc="C3088982">
      <w:numFmt w:val="bullet"/>
      <w:lvlText w:val="–"/>
      <w:lvlJc w:val="left"/>
      <w:pPr>
        <w:ind w:left="1155" w:hanging="795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B0ECA"/>
    <w:multiLevelType w:val="hybridMultilevel"/>
    <w:tmpl w:val="B1D263D8"/>
    <w:lvl w:ilvl="0" w:tplc="FE8002E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B5B1C"/>
    <w:multiLevelType w:val="hybridMultilevel"/>
    <w:tmpl w:val="0CF2ED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B6898"/>
    <w:multiLevelType w:val="hybridMultilevel"/>
    <w:tmpl w:val="AC363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41561"/>
    <w:multiLevelType w:val="hybridMultilevel"/>
    <w:tmpl w:val="D2409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200A3"/>
    <w:multiLevelType w:val="hybridMultilevel"/>
    <w:tmpl w:val="CCE286F0"/>
    <w:lvl w:ilvl="0" w:tplc="DFD0AD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967DF"/>
    <w:multiLevelType w:val="hybridMultilevel"/>
    <w:tmpl w:val="4782C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A6F36"/>
    <w:multiLevelType w:val="hybridMultilevel"/>
    <w:tmpl w:val="3C96AC4C"/>
    <w:lvl w:ilvl="0" w:tplc="7C2C30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723590"/>
    <w:multiLevelType w:val="multilevel"/>
    <w:tmpl w:val="31B8CA02"/>
    <w:lvl w:ilvl="0">
      <w:start w:val="1"/>
      <w:numFmt w:val="bullet"/>
      <w:lvlText w:val="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6B7254F"/>
    <w:multiLevelType w:val="hybridMultilevel"/>
    <w:tmpl w:val="7A42D270"/>
    <w:lvl w:ilvl="0" w:tplc="E17E4B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D66A9"/>
    <w:multiLevelType w:val="hybridMultilevel"/>
    <w:tmpl w:val="4B0A3FA6"/>
    <w:lvl w:ilvl="0" w:tplc="0F826492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F1764"/>
    <w:multiLevelType w:val="hybridMultilevel"/>
    <w:tmpl w:val="F3BE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090224">
    <w:abstractNumId w:val="9"/>
  </w:num>
  <w:num w:numId="2" w16cid:durableId="1583416746">
    <w:abstractNumId w:val="7"/>
  </w:num>
  <w:num w:numId="3" w16cid:durableId="2021155601">
    <w:abstractNumId w:val="6"/>
  </w:num>
  <w:num w:numId="4" w16cid:durableId="73170365">
    <w:abstractNumId w:val="5"/>
  </w:num>
  <w:num w:numId="5" w16cid:durableId="764152136">
    <w:abstractNumId w:val="4"/>
  </w:num>
  <w:num w:numId="6" w16cid:durableId="897284385">
    <w:abstractNumId w:val="8"/>
  </w:num>
  <w:num w:numId="7" w16cid:durableId="716899370">
    <w:abstractNumId w:val="3"/>
  </w:num>
  <w:num w:numId="8" w16cid:durableId="373045669">
    <w:abstractNumId w:val="2"/>
  </w:num>
  <w:num w:numId="9" w16cid:durableId="2016107181">
    <w:abstractNumId w:val="1"/>
  </w:num>
  <w:num w:numId="10" w16cid:durableId="1615821364">
    <w:abstractNumId w:val="0"/>
  </w:num>
  <w:num w:numId="11" w16cid:durableId="24792855">
    <w:abstractNumId w:val="15"/>
  </w:num>
  <w:num w:numId="12" w16cid:durableId="1229920914">
    <w:abstractNumId w:val="35"/>
  </w:num>
  <w:num w:numId="13" w16cid:durableId="911164175">
    <w:abstractNumId w:val="30"/>
  </w:num>
  <w:num w:numId="14" w16cid:durableId="938639230">
    <w:abstractNumId w:val="16"/>
  </w:num>
  <w:num w:numId="15" w16cid:durableId="1320305922">
    <w:abstractNumId w:val="11"/>
  </w:num>
  <w:num w:numId="16" w16cid:durableId="557477774">
    <w:abstractNumId w:val="14"/>
  </w:num>
  <w:num w:numId="17" w16cid:durableId="1647322298">
    <w:abstractNumId w:val="22"/>
  </w:num>
  <w:num w:numId="18" w16cid:durableId="1769229339">
    <w:abstractNumId w:val="33"/>
  </w:num>
  <w:num w:numId="19" w16cid:durableId="364453697">
    <w:abstractNumId w:val="31"/>
  </w:num>
  <w:num w:numId="20" w16cid:durableId="201094465">
    <w:abstractNumId w:val="21"/>
  </w:num>
  <w:num w:numId="21" w16cid:durableId="1660573812">
    <w:abstractNumId w:val="29"/>
  </w:num>
  <w:num w:numId="22" w16cid:durableId="105663965">
    <w:abstractNumId w:val="23"/>
  </w:num>
  <w:num w:numId="23" w16cid:durableId="251479151">
    <w:abstractNumId w:val="25"/>
  </w:num>
  <w:num w:numId="24" w16cid:durableId="1621915932">
    <w:abstractNumId w:val="17"/>
  </w:num>
  <w:num w:numId="25" w16cid:durableId="923610459">
    <w:abstractNumId w:val="27"/>
  </w:num>
  <w:num w:numId="26" w16cid:durableId="98255084">
    <w:abstractNumId w:val="10"/>
  </w:num>
  <w:num w:numId="27" w16cid:durableId="1728841027">
    <w:abstractNumId w:val="18"/>
  </w:num>
  <w:num w:numId="28" w16cid:durableId="2057243541">
    <w:abstractNumId w:val="34"/>
  </w:num>
  <w:num w:numId="29" w16cid:durableId="2073887254">
    <w:abstractNumId w:val="28"/>
  </w:num>
  <w:num w:numId="30" w16cid:durableId="845897454">
    <w:abstractNumId w:val="24"/>
  </w:num>
  <w:num w:numId="31" w16cid:durableId="251938965">
    <w:abstractNumId w:val="13"/>
  </w:num>
  <w:num w:numId="32" w16cid:durableId="167982007">
    <w:abstractNumId w:val="20"/>
  </w:num>
  <w:num w:numId="33" w16cid:durableId="837381672">
    <w:abstractNumId w:val="26"/>
  </w:num>
  <w:num w:numId="34" w16cid:durableId="2007895550">
    <w:abstractNumId w:val="32"/>
  </w:num>
  <w:num w:numId="35" w16cid:durableId="938486811">
    <w:abstractNumId w:val="12"/>
  </w:num>
  <w:num w:numId="36" w16cid:durableId="9446574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2NDYyNDU3NzQ0tLRQ0lEKTi0uzszPAykwNKkFAMf3iactAAAA"/>
  </w:docVars>
  <w:rsids>
    <w:rsidRoot w:val="00C24502"/>
    <w:rsid w:val="00006F35"/>
    <w:rsid w:val="000119CA"/>
    <w:rsid w:val="00011D65"/>
    <w:rsid w:val="00016F53"/>
    <w:rsid w:val="00022E6B"/>
    <w:rsid w:val="00033AB7"/>
    <w:rsid w:val="00042695"/>
    <w:rsid w:val="00042F29"/>
    <w:rsid w:val="00043834"/>
    <w:rsid w:val="00060DA5"/>
    <w:rsid w:val="00074B3E"/>
    <w:rsid w:val="000939D4"/>
    <w:rsid w:val="0009680B"/>
    <w:rsid w:val="000A04D9"/>
    <w:rsid w:val="000A067F"/>
    <w:rsid w:val="000A0F2B"/>
    <w:rsid w:val="000A2136"/>
    <w:rsid w:val="000B15C8"/>
    <w:rsid w:val="000B2E87"/>
    <w:rsid w:val="000B4DF3"/>
    <w:rsid w:val="000D14FF"/>
    <w:rsid w:val="000D3797"/>
    <w:rsid w:val="000D7910"/>
    <w:rsid w:val="000F0641"/>
    <w:rsid w:val="001018B0"/>
    <w:rsid w:val="001018E1"/>
    <w:rsid w:val="00104D26"/>
    <w:rsid w:val="00110B55"/>
    <w:rsid w:val="00112F37"/>
    <w:rsid w:val="00114254"/>
    <w:rsid w:val="0012746A"/>
    <w:rsid w:val="00132509"/>
    <w:rsid w:val="00143255"/>
    <w:rsid w:val="00160D56"/>
    <w:rsid w:val="00163A28"/>
    <w:rsid w:val="001650FB"/>
    <w:rsid w:val="00176B2C"/>
    <w:rsid w:val="0018348D"/>
    <w:rsid w:val="00184435"/>
    <w:rsid w:val="001876FF"/>
    <w:rsid w:val="00191B62"/>
    <w:rsid w:val="001A34EC"/>
    <w:rsid w:val="001A695F"/>
    <w:rsid w:val="001B4871"/>
    <w:rsid w:val="001B568B"/>
    <w:rsid w:val="001B6FD8"/>
    <w:rsid w:val="001C2831"/>
    <w:rsid w:val="001C2BCF"/>
    <w:rsid w:val="001C7C93"/>
    <w:rsid w:val="001D101A"/>
    <w:rsid w:val="001D212C"/>
    <w:rsid w:val="001D516F"/>
    <w:rsid w:val="001E224F"/>
    <w:rsid w:val="001E22BC"/>
    <w:rsid w:val="001E692B"/>
    <w:rsid w:val="001F3432"/>
    <w:rsid w:val="001F6BF6"/>
    <w:rsid w:val="002021CA"/>
    <w:rsid w:val="00205749"/>
    <w:rsid w:val="00212790"/>
    <w:rsid w:val="00212B83"/>
    <w:rsid w:val="00215C27"/>
    <w:rsid w:val="002164A6"/>
    <w:rsid w:val="00220528"/>
    <w:rsid w:val="00227C33"/>
    <w:rsid w:val="00230030"/>
    <w:rsid w:val="00241932"/>
    <w:rsid w:val="00247CD7"/>
    <w:rsid w:val="00252B86"/>
    <w:rsid w:val="00254274"/>
    <w:rsid w:val="00254923"/>
    <w:rsid w:val="00256361"/>
    <w:rsid w:val="002838D7"/>
    <w:rsid w:val="00287163"/>
    <w:rsid w:val="0028743A"/>
    <w:rsid w:val="002931E2"/>
    <w:rsid w:val="002A5D44"/>
    <w:rsid w:val="002B4F3B"/>
    <w:rsid w:val="002B52D9"/>
    <w:rsid w:val="002C3404"/>
    <w:rsid w:val="002C4CD5"/>
    <w:rsid w:val="002E6544"/>
    <w:rsid w:val="002F07BB"/>
    <w:rsid w:val="002F7968"/>
    <w:rsid w:val="003041C0"/>
    <w:rsid w:val="00314FEE"/>
    <w:rsid w:val="00315BC8"/>
    <w:rsid w:val="00316EFA"/>
    <w:rsid w:val="00327E67"/>
    <w:rsid w:val="00343697"/>
    <w:rsid w:val="003437E1"/>
    <w:rsid w:val="00345F16"/>
    <w:rsid w:val="00350C1F"/>
    <w:rsid w:val="00350FE0"/>
    <w:rsid w:val="003554E3"/>
    <w:rsid w:val="00356B73"/>
    <w:rsid w:val="00367771"/>
    <w:rsid w:val="00373A98"/>
    <w:rsid w:val="003746A5"/>
    <w:rsid w:val="003852AF"/>
    <w:rsid w:val="00385DEF"/>
    <w:rsid w:val="00395F32"/>
    <w:rsid w:val="003A3A0E"/>
    <w:rsid w:val="003A4E2A"/>
    <w:rsid w:val="003B0EDF"/>
    <w:rsid w:val="003B3AC7"/>
    <w:rsid w:val="003C79F3"/>
    <w:rsid w:val="003D4690"/>
    <w:rsid w:val="003D589A"/>
    <w:rsid w:val="003D72D5"/>
    <w:rsid w:val="003E0708"/>
    <w:rsid w:val="0040270C"/>
    <w:rsid w:val="00403B9F"/>
    <w:rsid w:val="0043177D"/>
    <w:rsid w:val="00432A54"/>
    <w:rsid w:val="004330D3"/>
    <w:rsid w:val="00433A8E"/>
    <w:rsid w:val="004424D8"/>
    <w:rsid w:val="004426C0"/>
    <w:rsid w:val="00453621"/>
    <w:rsid w:val="00453CEA"/>
    <w:rsid w:val="00455B93"/>
    <w:rsid w:val="0046334C"/>
    <w:rsid w:val="00474721"/>
    <w:rsid w:val="004778EE"/>
    <w:rsid w:val="00482C4F"/>
    <w:rsid w:val="004834BB"/>
    <w:rsid w:val="00483568"/>
    <w:rsid w:val="00487330"/>
    <w:rsid w:val="0049143C"/>
    <w:rsid w:val="004A10E3"/>
    <w:rsid w:val="004A52A9"/>
    <w:rsid w:val="004B377E"/>
    <w:rsid w:val="004C6429"/>
    <w:rsid w:val="004D0791"/>
    <w:rsid w:val="004D1B7D"/>
    <w:rsid w:val="004D20F7"/>
    <w:rsid w:val="004D22D2"/>
    <w:rsid w:val="004D60F3"/>
    <w:rsid w:val="004E5C76"/>
    <w:rsid w:val="004E7530"/>
    <w:rsid w:val="004F349F"/>
    <w:rsid w:val="004F5ECE"/>
    <w:rsid w:val="0050096F"/>
    <w:rsid w:val="005013F3"/>
    <w:rsid w:val="00503ADB"/>
    <w:rsid w:val="005120BB"/>
    <w:rsid w:val="00512765"/>
    <w:rsid w:val="00514B65"/>
    <w:rsid w:val="00525996"/>
    <w:rsid w:val="00532365"/>
    <w:rsid w:val="00547D6A"/>
    <w:rsid w:val="00560C97"/>
    <w:rsid w:val="00561EFB"/>
    <w:rsid w:val="0056750D"/>
    <w:rsid w:val="00584D52"/>
    <w:rsid w:val="005936AB"/>
    <w:rsid w:val="005B0A85"/>
    <w:rsid w:val="005C05C7"/>
    <w:rsid w:val="005C3596"/>
    <w:rsid w:val="005C35E2"/>
    <w:rsid w:val="005D2311"/>
    <w:rsid w:val="005D3B65"/>
    <w:rsid w:val="005D7C28"/>
    <w:rsid w:val="005E003C"/>
    <w:rsid w:val="005E7145"/>
    <w:rsid w:val="005F3818"/>
    <w:rsid w:val="00601FEE"/>
    <w:rsid w:val="00602FBB"/>
    <w:rsid w:val="0060352E"/>
    <w:rsid w:val="00604605"/>
    <w:rsid w:val="00620E07"/>
    <w:rsid w:val="006250F8"/>
    <w:rsid w:val="006335A4"/>
    <w:rsid w:val="006456EA"/>
    <w:rsid w:val="0065423B"/>
    <w:rsid w:val="0068014A"/>
    <w:rsid w:val="00680BAD"/>
    <w:rsid w:val="006933D3"/>
    <w:rsid w:val="00696239"/>
    <w:rsid w:val="006B56EE"/>
    <w:rsid w:val="006B6387"/>
    <w:rsid w:val="006B74DE"/>
    <w:rsid w:val="006C09B9"/>
    <w:rsid w:val="006C7458"/>
    <w:rsid w:val="006D0234"/>
    <w:rsid w:val="006D353B"/>
    <w:rsid w:val="006E04C0"/>
    <w:rsid w:val="006E4B4C"/>
    <w:rsid w:val="006F1D8E"/>
    <w:rsid w:val="006F717F"/>
    <w:rsid w:val="0071000B"/>
    <w:rsid w:val="00712E5C"/>
    <w:rsid w:val="007231B6"/>
    <w:rsid w:val="00724148"/>
    <w:rsid w:val="00726301"/>
    <w:rsid w:val="00730A58"/>
    <w:rsid w:val="00744E3A"/>
    <w:rsid w:val="00751A9C"/>
    <w:rsid w:val="0075708A"/>
    <w:rsid w:val="00761F1D"/>
    <w:rsid w:val="00764B6B"/>
    <w:rsid w:val="00765859"/>
    <w:rsid w:val="00765C34"/>
    <w:rsid w:val="0078477D"/>
    <w:rsid w:val="0078517F"/>
    <w:rsid w:val="00787B26"/>
    <w:rsid w:val="00797425"/>
    <w:rsid w:val="0079763E"/>
    <w:rsid w:val="007A148E"/>
    <w:rsid w:val="007A42DD"/>
    <w:rsid w:val="007A5A28"/>
    <w:rsid w:val="007A65E8"/>
    <w:rsid w:val="007C4AFD"/>
    <w:rsid w:val="007D2694"/>
    <w:rsid w:val="007D39A4"/>
    <w:rsid w:val="007D3F9A"/>
    <w:rsid w:val="007F45B7"/>
    <w:rsid w:val="007F648C"/>
    <w:rsid w:val="00801E76"/>
    <w:rsid w:val="00811B5A"/>
    <w:rsid w:val="008326E9"/>
    <w:rsid w:val="00832F8E"/>
    <w:rsid w:val="0083545D"/>
    <w:rsid w:val="008413AB"/>
    <w:rsid w:val="00843033"/>
    <w:rsid w:val="0084321D"/>
    <w:rsid w:val="00846FA3"/>
    <w:rsid w:val="008545C9"/>
    <w:rsid w:val="008561CB"/>
    <w:rsid w:val="008570EC"/>
    <w:rsid w:val="00863F6D"/>
    <w:rsid w:val="00870627"/>
    <w:rsid w:val="00872258"/>
    <w:rsid w:val="00872354"/>
    <w:rsid w:val="00880F4A"/>
    <w:rsid w:val="0088519B"/>
    <w:rsid w:val="00885266"/>
    <w:rsid w:val="00897C26"/>
    <w:rsid w:val="00897C5C"/>
    <w:rsid w:val="008A52F0"/>
    <w:rsid w:val="008A585A"/>
    <w:rsid w:val="008B1D19"/>
    <w:rsid w:val="008B6792"/>
    <w:rsid w:val="008C026D"/>
    <w:rsid w:val="008C03F5"/>
    <w:rsid w:val="008C4331"/>
    <w:rsid w:val="008C6280"/>
    <w:rsid w:val="008D1B7A"/>
    <w:rsid w:val="008E70CB"/>
    <w:rsid w:val="009146F7"/>
    <w:rsid w:val="009229C5"/>
    <w:rsid w:val="00927E01"/>
    <w:rsid w:val="00935B10"/>
    <w:rsid w:val="0094351A"/>
    <w:rsid w:val="0094780C"/>
    <w:rsid w:val="00956F15"/>
    <w:rsid w:val="00963900"/>
    <w:rsid w:val="009662F9"/>
    <w:rsid w:val="009747C5"/>
    <w:rsid w:val="009749CC"/>
    <w:rsid w:val="00991FE8"/>
    <w:rsid w:val="009A1C5C"/>
    <w:rsid w:val="009A6073"/>
    <w:rsid w:val="009B1923"/>
    <w:rsid w:val="009B2EB5"/>
    <w:rsid w:val="009B58FE"/>
    <w:rsid w:val="009B7639"/>
    <w:rsid w:val="009C039A"/>
    <w:rsid w:val="009F42C6"/>
    <w:rsid w:val="009F5EA6"/>
    <w:rsid w:val="00A007AC"/>
    <w:rsid w:val="00A02C14"/>
    <w:rsid w:val="00A04541"/>
    <w:rsid w:val="00A0519C"/>
    <w:rsid w:val="00A07BF4"/>
    <w:rsid w:val="00A12220"/>
    <w:rsid w:val="00A17367"/>
    <w:rsid w:val="00A21BD6"/>
    <w:rsid w:val="00A2632E"/>
    <w:rsid w:val="00A334D8"/>
    <w:rsid w:val="00A40483"/>
    <w:rsid w:val="00A420A9"/>
    <w:rsid w:val="00A61F58"/>
    <w:rsid w:val="00A67087"/>
    <w:rsid w:val="00A71D46"/>
    <w:rsid w:val="00A72C30"/>
    <w:rsid w:val="00A73A72"/>
    <w:rsid w:val="00A76820"/>
    <w:rsid w:val="00A863FB"/>
    <w:rsid w:val="00AC33EB"/>
    <w:rsid w:val="00AC37FC"/>
    <w:rsid w:val="00AC418F"/>
    <w:rsid w:val="00AC5B63"/>
    <w:rsid w:val="00AD080D"/>
    <w:rsid w:val="00AD413B"/>
    <w:rsid w:val="00AD7724"/>
    <w:rsid w:val="00AE13DA"/>
    <w:rsid w:val="00AE60AC"/>
    <w:rsid w:val="00AF1DE9"/>
    <w:rsid w:val="00AF4EBB"/>
    <w:rsid w:val="00AF5F88"/>
    <w:rsid w:val="00B01E48"/>
    <w:rsid w:val="00B04B33"/>
    <w:rsid w:val="00B128D3"/>
    <w:rsid w:val="00B2488F"/>
    <w:rsid w:val="00B27C58"/>
    <w:rsid w:val="00B376F5"/>
    <w:rsid w:val="00B3794A"/>
    <w:rsid w:val="00B44D24"/>
    <w:rsid w:val="00B4669D"/>
    <w:rsid w:val="00B57FE0"/>
    <w:rsid w:val="00B61012"/>
    <w:rsid w:val="00B73030"/>
    <w:rsid w:val="00B73C85"/>
    <w:rsid w:val="00B7496B"/>
    <w:rsid w:val="00B77587"/>
    <w:rsid w:val="00BA1798"/>
    <w:rsid w:val="00BA37D3"/>
    <w:rsid w:val="00BA79DA"/>
    <w:rsid w:val="00BC7342"/>
    <w:rsid w:val="00BD0C4A"/>
    <w:rsid w:val="00BD7344"/>
    <w:rsid w:val="00BE45DD"/>
    <w:rsid w:val="00BF30CA"/>
    <w:rsid w:val="00BF3C63"/>
    <w:rsid w:val="00C03E72"/>
    <w:rsid w:val="00C04FC4"/>
    <w:rsid w:val="00C06AC4"/>
    <w:rsid w:val="00C1034C"/>
    <w:rsid w:val="00C13A74"/>
    <w:rsid w:val="00C1429C"/>
    <w:rsid w:val="00C224B3"/>
    <w:rsid w:val="00C24502"/>
    <w:rsid w:val="00C247CC"/>
    <w:rsid w:val="00C277F1"/>
    <w:rsid w:val="00C3120F"/>
    <w:rsid w:val="00C32C5E"/>
    <w:rsid w:val="00C36438"/>
    <w:rsid w:val="00C41DB7"/>
    <w:rsid w:val="00C456AC"/>
    <w:rsid w:val="00C462EF"/>
    <w:rsid w:val="00C54615"/>
    <w:rsid w:val="00C558F1"/>
    <w:rsid w:val="00C64069"/>
    <w:rsid w:val="00C640E1"/>
    <w:rsid w:val="00C672A1"/>
    <w:rsid w:val="00C70C6A"/>
    <w:rsid w:val="00C73EC6"/>
    <w:rsid w:val="00C95BF6"/>
    <w:rsid w:val="00CA45C9"/>
    <w:rsid w:val="00CA5862"/>
    <w:rsid w:val="00CA7813"/>
    <w:rsid w:val="00CB024A"/>
    <w:rsid w:val="00CB697A"/>
    <w:rsid w:val="00CE26D2"/>
    <w:rsid w:val="00CE5631"/>
    <w:rsid w:val="00CF0C00"/>
    <w:rsid w:val="00CF3AF8"/>
    <w:rsid w:val="00D02486"/>
    <w:rsid w:val="00D12C27"/>
    <w:rsid w:val="00D13D7C"/>
    <w:rsid w:val="00D1681C"/>
    <w:rsid w:val="00D1744D"/>
    <w:rsid w:val="00D178C5"/>
    <w:rsid w:val="00D250AA"/>
    <w:rsid w:val="00D27934"/>
    <w:rsid w:val="00D42E8A"/>
    <w:rsid w:val="00D52252"/>
    <w:rsid w:val="00D62702"/>
    <w:rsid w:val="00D638F6"/>
    <w:rsid w:val="00D63E62"/>
    <w:rsid w:val="00D65EA5"/>
    <w:rsid w:val="00D75C0D"/>
    <w:rsid w:val="00D81D16"/>
    <w:rsid w:val="00D82AE5"/>
    <w:rsid w:val="00D837CE"/>
    <w:rsid w:val="00D91D91"/>
    <w:rsid w:val="00D92E73"/>
    <w:rsid w:val="00D9366C"/>
    <w:rsid w:val="00D95921"/>
    <w:rsid w:val="00D9747F"/>
    <w:rsid w:val="00DA1B34"/>
    <w:rsid w:val="00DA2FC7"/>
    <w:rsid w:val="00DA6CC1"/>
    <w:rsid w:val="00DB686B"/>
    <w:rsid w:val="00DC3EC9"/>
    <w:rsid w:val="00DC7E54"/>
    <w:rsid w:val="00DD5252"/>
    <w:rsid w:val="00E01F0F"/>
    <w:rsid w:val="00E06052"/>
    <w:rsid w:val="00E071A8"/>
    <w:rsid w:val="00E2112A"/>
    <w:rsid w:val="00E22B7D"/>
    <w:rsid w:val="00E265FA"/>
    <w:rsid w:val="00E2756D"/>
    <w:rsid w:val="00E37FD1"/>
    <w:rsid w:val="00E47CB4"/>
    <w:rsid w:val="00E500BB"/>
    <w:rsid w:val="00E623F2"/>
    <w:rsid w:val="00E6542F"/>
    <w:rsid w:val="00E72571"/>
    <w:rsid w:val="00E72F9B"/>
    <w:rsid w:val="00E7713C"/>
    <w:rsid w:val="00E80496"/>
    <w:rsid w:val="00E847C0"/>
    <w:rsid w:val="00E870E2"/>
    <w:rsid w:val="00E93985"/>
    <w:rsid w:val="00EA017C"/>
    <w:rsid w:val="00EA2114"/>
    <w:rsid w:val="00EA76D5"/>
    <w:rsid w:val="00EA79B7"/>
    <w:rsid w:val="00EB0866"/>
    <w:rsid w:val="00EC05E9"/>
    <w:rsid w:val="00EC15F4"/>
    <w:rsid w:val="00EC74F6"/>
    <w:rsid w:val="00EC7FA8"/>
    <w:rsid w:val="00ED1476"/>
    <w:rsid w:val="00EE07E9"/>
    <w:rsid w:val="00EE61C5"/>
    <w:rsid w:val="00EF0363"/>
    <w:rsid w:val="00EF661A"/>
    <w:rsid w:val="00F0302E"/>
    <w:rsid w:val="00F03CC9"/>
    <w:rsid w:val="00F05C4F"/>
    <w:rsid w:val="00F10DAA"/>
    <w:rsid w:val="00F116FE"/>
    <w:rsid w:val="00F1762C"/>
    <w:rsid w:val="00F2168F"/>
    <w:rsid w:val="00F22314"/>
    <w:rsid w:val="00F26216"/>
    <w:rsid w:val="00F278D1"/>
    <w:rsid w:val="00F308F6"/>
    <w:rsid w:val="00F505E7"/>
    <w:rsid w:val="00F56BA0"/>
    <w:rsid w:val="00F66E70"/>
    <w:rsid w:val="00F74CD4"/>
    <w:rsid w:val="00F85DAD"/>
    <w:rsid w:val="00F90F2C"/>
    <w:rsid w:val="00F94884"/>
    <w:rsid w:val="00F9702A"/>
    <w:rsid w:val="00F97FC7"/>
    <w:rsid w:val="00FA46A0"/>
    <w:rsid w:val="00FC1C19"/>
    <w:rsid w:val="00FC1D0F"/>
    <w:rsid w:val="00FC5363"/>
    <w:rsid w:val="00FC5C1C"/>
    <w:rsid w:val="00FC6D54"/>
    <w:rsid w:val="00FE00A1"/>
    <w:rsid w:val="00FE711E"/>
    <w:rsid w:val="00FF0C1E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679E0E"/>
  <w15:docId w15:val="{D793B4CD-6E0E-437A-A8D2-8E7FDD6D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uiPriority w:val="99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uiPriority w:val="59"/>
    <w:rsid w:val="00C2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245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4502"/>
    <w:rPr>
      <w:rFonts w:ascii="Times New Roman" w:eastAsiaTheme="minorEastAsia" w:hAnsi="Times New Roman"/>
      <w:sz w:val="24"/>
      <w:szCs w:val="24"/>
      <w:lang w:val="en-GB" w:eastAsia="ja-JP"/>
    </w:rPr>
  </w:style>
  <w:style w:type="character" w:customStyle="1" w:styleId="enumlev1Char">
    <w:name w:val="enumlev1 Char"/>
    <w:link w:val="enumlev1"/>
    <w:locked/>
    <w:rsid w:val="00C24502"/>
    <w:rPr>
      <w:rFonts w:ascii="Calibri" w:hAnsi="Calibr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2C4F"/>
    <w:rPr>
      <w:color w:val="605E5C"/>
      <w:shd w:val="clear" w:color="auto" w:fill="E1DFDD"/>
    </w:rPr>
  </w:style>
  <w:style w:type="paragraph" w:styleId="Revision">
    <w:name w:val="Revision"/>
    <w:hidden/>
    <w:semiHidden/>
    <w:rsid w:val="0094780C"/>
    <w:rPr>
      <w:rFonts w:ascii="Calibri" w:hAnsi="Calibr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4615"/>
    <w:rPr>
      <w:color w:val="605E5C"/>
      <w:shd w:val="clear" w:color="auto" w:fill="E1DFDD"/>
    </w:rPr>
  </w:style>
  <w:style w:type="paragraph" w:customStyle="1" w:styleId="AnnexNotitle">
    <w:name w:val="Annex_No &amp; title"/>
    <w:basedOn w:val="Normal"/>
    <w:next w:val="Normal"/>
    <w:rsid w:val="001E224F"/>
    <w:pPr>
      <w:keepNext/>
      <w:keepLines/>
      <w:spacing w:before="480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224F"/>
    <w:rPr>
      <w:rFonts w:ascii="Calibri" w:hAnsi="Calibri"/>
      <w:sz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1E22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Theme="minorEastAsia" w:hAnsi="Times New Roman"/>
      <w:szCs w:val="24"/>
      <w:lang w:eastAsia="ja-JP"/>
    </w:rPr>
  </w:style>
  <w:style w:type="paragraph" w:customStyle="1" w:styleId="wp-block-itu-cards-timeline-item">
    <w:name w:val="wp-block-itu-cards-timeline-item"/>
    <w:basedOn w:val="Normal"/>
    <w:rsid w:val="00C41D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rtualworlds@itu.i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etaverse/un-virtual-worlds-day/thinkatho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etaverse/un-virtual-worlds-day/thinkatho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itu.int/metaverse/un-virtual-worlds-da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irtualworlds@itu.int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ani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FFC76-663C-4A0E-9E23-EC6F3014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Co, Chiara Kirsten</dc:creator>
  <dc:description>TSB-circular-6th-meeting.docx  For: _x000d_Document date: _x000d_Saved by ITU51017730 at 18:23:29 on 02/03/2024</dc:description>
  <cp:lastModifiedBy>Maguire, Mairéad</cp:lastModifiedBy>
  <cp:revision>3</cp:revision>
  <cp:lastPrinted>2023-10-09T14:28:00Z</cp:lastPrinted>
  <dcterms:created xsi:type="dcterms:W3CDTF">2024-03-07T10:15:00Z</dcterms:created>
  <dcterms:modified xsi:type="dcterms:W3CDTF">2024-03-07T10:15:00Z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TSB-circular-6th-meeting.docx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GrammarlyDocumentId">
    <vt:lpwstr>23d123811a74a3bfb5e32dd249ccace47d6d781744039da058ba5052ee27b7f5</vt:lpwstr>
  </property>
</Properties>
</file>