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1267"/>
        <w:gridCol w:w="425"/>
        <w:gridCol w:w="3734"/>
        <w:gridCol w:w="4439"/>
      </w:tblGrid>
      <w:tr w:rsidR="00720F32" w14:paraId="7061A1B0" w14:textId="77777777" w:rsidTr="00783B9F">
        <w:trPr>
          <w:cantSplit/>
        </w:trPr>
        <w:tc>
          <w:tcPr>
            <w:tcW w:w="1692" w:type="dxa"/>
            <w:gridSpan w:val="2"/>
          </w:tcPr>
          <w:p w14:paraId="568E8038"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999AEF2" wp14:editId="27D94F2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4" w:type="dxa"/>
            <w:vAlign w:val="center"/>
          </w:tcPr>
          <w:p w14:paraId="33D9D87C"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4752D55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9" w:type="dxa"/>
          </w:tcPr>
          <w:p w14:paraId="4FCFC266" w14:textId="77777777" w:rsidR="00720F32" w:rsidRDefault="00720F32" w:rsidP="00720F32">
            <w:pPr>
              <w:tabs>
                <w:tab w:val="clear" w:pos="794"/>
                <w:tab w:val="left" w:pos="559"/>
                <w:tab w:val="left" w:pos="4111"/>
              </w:tabs>
              <w:ind w:left="559" w:hanging="559"/>
              <w:rPr>
                <w:lang w:eastAsia="zh-CN"/>
              </w:rPr>
            </w:pPr>
          </w:p>
        </w:tc>
      </w:tr>
      <w:tr w:rsidR="00720F32" w14:paraId="2A8100DE" w14:textId="77777777" w:rsidTr="00783B9F">
        <w:trPr>
          <w:cantSplit/>
          <w:trHeight w:val="399"/>
        </w:trPr>
        <w:tc>
          <w:tcPr>
            <w:tcW w:w="5426" w:type="dxa"/>
            <w:gridSpan w:val="3"/>
          </w:tcPr>
          <w:p w14:paraId="6C84C696" w14:textId="77777777" w:rsidR="00720F32" w:rsidRPr="00841612" w:rsidRDefault="00720F32" w:rsidP="00956D38">
            <w:pPr>
              <w:tabs>
                <w:tab w:val="left" w:pos="4111"/>
              </w:tabs>
              <w:spacing w:before="0"/>
              <w:rPr>
                <w:b/>
                <w:szCs w:val="24"/>
                <w:lang w:eastAsia="zh-CN"/>
              </w:rPr>
            </w:pPr>
          </w:p>
        </w:tc>
        <w:tc>
          <w:tcPr>
            <w:tcW w:w="4439" w:type="dxa"/>
            <w:vAlign w:val="center"/>
          </w:tcPr>
          <w:p w14:paraId="3CC346D4" w14:textId="1CF6FF7D" w:rsidR="00720F32" w:rsidRPr="0055099D" w:rsidRDefault="000B31BF" w:rsidP="00FB35F9">
            <w:pPr>
              <w:tabs>
                <w:tab w:val="clear" w:pos="794"/>
                <w:tab w:val="left" w:pos="559"/>
                <w:tab w:val="left" w:pos="4111"/>
              </w:tabs>
              <w:spacing w:after="120"/>
              <w:ind w:left="561" w:hanging="561"/>
              <w:rPr>
                <w:b/>
                <w:bCs/>
                <w:szCs w:val="24"/>
                <w:lang w:eastAsia="zh-CN"/>
              </w:rPr>
            </w:pPr>
            <w:r>
              <w:rPr>
                <w:lang w:val="zh-CN"/>
              </w:rPr>
              <w:t>2024</w:t>
            </w:r>
            <w:r>
              <w:rPr>
                <w:lang w:val="zh-CN"/>
              </w:rPr>
              <w:t>年</w:t>
            </w:r>
            <w:r>
              <w:rPr>
                <w:lang w:val="zh-CN"/>
              </w:rPr>
              <w:t>4</w:t>
            </w:r>
            <w:r>
              <w:rPr>
                <w:lang w:val="zh-CN"/>
              </w:rPr>
              <w:t>月</w:t>
            </w:r>
            <w:r>
              <w:rPr>
                <w:lang w:val="zh-CN"/>
              </w:rPr>
              <w:t>9</w:t>
            </w:r>
            <w:r>
              <w:rPr>
                <w:lang w:val="zh-CN"/>
              </w:rPr>
              <w:t>日</w:t>
            </w:r>
            <w:r w:rsidR="00720F32">
              <w:rPr>
                <w:rFonts w:hint="eastAsia"/>
                <w:lang w:eastAsia="zh-CN"/>
              </w:rPr>
              <w:t>，日内瓦</w:t>
            </w:r>
          </w:p>
        </w:tc>
      </w:tr>
      <w:tr w:rsidR="006E14B5" w14:paraId="1111BA13" w14:textId="77777777" w:rsidTr="000C479B">
        <w:trPr>
          <w:cantSplit/>
        </w:trPr>
        <w:tc>
          <w:tcPr>
            <w:tcW w:w="1267" w:type="dxa"/>
          </w:tcPr>
          <w:p w14:paraId="320B13EC" w14:textId="77777777" w:rsidR="006E14B5" w:rsidRPr="005C4F05" w:rsidRDefault="006E14B5" w:rsidP="005C4F05">
            <w:pPr>
              <w:tabs>
                <w:tab w:val="left" w:pos="4111"/>
              </w:tabs>
              <w:spacing w:before="40"/>
              <w:rPr>
                <w:b/>
                <w:bCs/>
                <w:sz w:val="22"/>
                <w:szCs w:val="22"/>
                <w:lang w:eastAsia="zh-CN"/>
              </w:rPr>
            </w:pPr>
            <w:r w:rsidRPr="005C4F05">
              <w:rPr>
                <w:rFonts w:hint="eastAsia"/>
                <w:b/>
                <w:bCs/>
                <w:sz w:val="22"/>
                <w:szCs w:val="22"/>
                <w:lang w:eastAsia="zh-CN"/>
              </w:rPr>
              <w:t>文号：</w:t>
            </w:r>
          </w:p>
          <w:p w14:paraId="6E082551" w14:textId="58ECE1C6" w:rsidR="006E14B5" w:rsidRPr="005C4F05" w:rsidRDefault="000B31BF" w:rsidP="005C4F05">
            <w:pPr>
              <w:tabs>
                <w:tab w:val="left" w:pos="4111"/>
              </w:tabs>
              <w:spacing w:before="40"/>
              <w:rPr>
                <w:rFonts w:ascii="Futura Lt BT" w:hAnsi="Futura Lt BT"/>
                <w:sz w:val="22"/>
                <w:szCs w:val="22"/>
                <w:lang w:eastAsia="zh-CN"/>
              </w:rPr>
            </w:pPr>
            <w:proofErr w:type="spellStart"/>
            <w:r w:rsidRPr="005C4F05">
              <w:rPr>
                <w:b/>
                <w:bCs/>
                <w:sz w:val="22"/>
                <w:szCs w:val="22"/>
                <w:lang w:val="zh-CN"/>
              </w:rPr>
              <w:t>联系人</w:t>
            </w:r>
            <w:proofErr w:type="spellEnd"/>
            <w:r w:rsidRPr="005C4F05">
              <w:rPr>
                <w:b/>
                <w:bCs/>
                <w:sz w:val="22"/>
                <w:szCs w:val="22"/>
                <w:lang w:val="zh-CN"/>
              </w:rPr>
              <w:t>：</w:t>
            </w:r>
          </w:p>
        </w:tc>
        <w:tc>
          <w:tcPr>
            <w:tcW w:w="4159" w:type="dxa"/>
            <w:gridSpan w:val="2"/>
          </w:tcPr>
          <w:p w14:paraId="498C736F" w14:textId="7A574181" w:rsidR="006E14B5" w:rsidRPr="005C4F05" w:rsidRDefault="006E14B5" w:rsidP="000C479B">
            <w:pPr>
              <w:tabs>
                <w:tab w:val="left" w:pos="4111"/>
              </w:tabs>
              <w:spacing w:before="40"/>
              <w:ind w:left="81" w:hanging="42"/>
              <w:rPr>
                <w:b/>
                <w:sz w:val="22"/>
                <w:szCs w:val="22"/>
                <w:lang w:eastAsia="zh-CN"/>
              </w:rPr>
            </w:pPr>
            <w:r w:rsidRPr="005C4F05">
              <w:rPr>
                <w:rFonts w:hint="eastAsia"/>
                <w:b/>
                <w:sz w:val="22"/>
                <w:szCs w:val="22"/>
                <w:lang w:eastAsia="zh-CN"/>
              </w:rPr>
              <w:t>电信标准化局第</w:t>
            </w:r>
            <w:r w:rsidR="000B31BF" w:rsidRPr="005C4F05">
              <w:rPr>
                <w:b/>
                <w:sz w:val="22"/>
                <w:szCs w:val="22"/>
                <w:lang w:eastAsia="zh-CN"/>
              </w:rPr>
              <w:t>198</w:t>
            </w:r>
            <w:r w:rsidRPr="005C4F05">
              <w:rPr>
                <w:rFonts w:hint="eastAsia"/>
                <w:b/>
                <w:sz w:val="22"/>
                <w:szCs w:val="22"/>
                <w:lang w:eastAsia="zh-CN"/>
              </w:rPr>
              <w:t>号通函</w:t>
            </w:r>
          </w:p>
          <w:p w14:paraId="2C354F74" w14:textId="78392322" w:rsidR="006E14B5" w:rsidRPr="005C4F05" w:rsidRDefault="000B31BF" w:rsidP="000C479B">
            <w:pPr>
              <w:tabs>
                <w:tab w:val="left" w:pos="4111"/>
              </w:tabs>
              <w:spacing w:before="40"/>
              <w:ind w:left="81" w:hanging="42"/>
              <w:rPr>
                <w:b/>
                <w:sz w:val="22"/>
                <w:szCs w:val="22"/>
                <w:lang w:eastAsia="zh-CN"/>
              </w:rPr>
            </w:pPr>
            <w:r w:rsidRPr="005C4F05">
              <w:rPr>
                <w:rFonts w:cs="Calibri"/>
                <w:b/>
                <w:bCs/>
                <w:sz w:val="22"/>
                <w:szCs w:val="22"/>
              </w:rPr>
              <w:t>Reyna Ubeda</w:t>
            </w:r>
          </w:p>
        </w:tc>
        <w:tc>
          <w:tcPr>
            <w:tcW w:w="4439" w:type="dxa"/>
            <w:vMerge w:val="restart"/>
          </w:tcPr>
          <w:p w14:paraId="5B56B34D" w14:textId="77777777" w:rsidR="000B31BF" w:rsidRPr="005C4F05" w:rsidRDefault="000B31BF" w:rsidP="000B31BF">
            <w:pPr>
              <w:tabs>
                <w:tab w:val="clear" w:pos="794"/>
                <w:tab w:val="clear" w:pos="1191"/>
                <w:tab w:val="clear" w:pos="1588"/>
                <w:tab w:val="clear" w:pos="1985"/>
                <w:tab w:val="left" w:pos="241"/>
              </w:tabs>
              <w:spacing w:before="0"/>
              <w:ind w:left="283" w:hanging="257"/>
              <w:rPr>
                <w:b/>
                <w:bCs/>
                <w:sz w:val="22"/>
                <w:szCs w:val="22"/>
                <w:lang w:val="zh-CN" w:eastAsia="zh-CN"/>
              </w:rPr>
            </w:pPr>
            <w:bookmarkStart w:id="0" w:name="Addressee_E"/>
            <w:bookmarkEnd w:id="0"/>
            <w:r w:rsidRPr="005C4F05">
              <w:rPr>
                <w:rFonts w:hint="eastAsia"/>
                <w:b/>
                <w:bCs/>
                <w:sz w:val="22"/>
                <w:szCs w:val="22"/>
                <w:lang w:val="zh-CN" w:eastAsia="zh-CN"/>
              </w:rPr>
              <w:t>收件人：</w:t>
            </w:r>
          </w:p>
          <w:p w14:paraId="28298171" w14:textId="0078F3A5" w:rsidR="000B31BF" w:rsidRPr="005C4F05" w:rsidRDefault="000B31BF" w:rsidP="000B31BF">
            <w:pPr>
              <w:tabs>
                <w:tab w:val="clear" w:pos="794"/>
                <w:tab w:val="clear" w:pos="1191"/>
                <w:tab w:val="clear" w:pos="1588"/>
                <w:tab w:val="clear" w:pos="1985"/>
                <w:tab w:val="left" w:pos="241"/>
              </w:tabs>
              <w:spacing w:before="0"/>
              <w:ind w:left="283" w:hanging="257"/>
              <w:rPr>
                <w:sz w:val="22"/>
                <w:szCs w:val="22"/>
                <w:lang w:val="zh-CN" w:eastAsia="zh-CN"/>
              </w:rPr>
            </w:pPr>
            <w:r w:rsidRPr="005C4F05">
              <w:rPr>
                <w:rFonts w:hint="eastAsia"/>
                <w:sz w:val="22"/>
                <w:szCs w:val="22"/>
                <w:lang w:val="zh-CN" w:eastAsia="zh-CN"/>
              </w:rPr>
              <w:t>-</w:t>
            </w:r>
            <w:r w:rsidRPr="005C4F05">
              <w:rPr>
                <w:sz w:val="22"/>
                <w:szCs w:val="22"/>
                <w:lang w:val="zh-CN" w:eastAsia="zh-CN"/>
              </w:rPr>
              <w:tab/>
            </w:r>
            <w:r w:rsidRPr="005C4F05">
              <w:rPr>
                <w:sz w:val="22"/>
                <w:szCs w:val="22"/>
                <w:lang w:val="zh-CN" w:eastAsia="zh-CN"/>
              </w:rPr>
              <w:t>国际电联成员国主管部门</w:t>
            </w:r>
          </w:p>
          <w:p w14:paraId="5B57982D" w14:textId="3B27A522" w:rsidR="000B31BF" w:rsidRPr="005C4F05" w:rsidRDefault="000B31BF" w:rsidP="000B31BF">
            <w:pPr>
              <w:tabs>
                <w:tab w:val="clear" w:pos="794"/>
                <w:tab w:val="clear" w:pos="1191"/>
                <w:tab w:val="clear" w:pos="1588"/>
                <w:tab w:val="clear" w:pos="1985"/>
                <w:tab w:val="left" w:pos="241"/>
              </w:tabs>
              <w:spacing w:before="0"/>
              <w:ind w:left="283" w:hanging="257"/>
              <w:rPr>
                <w:sz w:val="22"/>
                <w:szCs w:val="22"/>
                <w:lang w:val="zh-CN" w:eastAsia="zh-CN"/>
              </w:rPr>
            </w:pPr>
            <w:r w:rsidRPr="005C4F05">
              <w:rPr>
                <w:sz w:val="22"/>
                <w:szCs w:val="22"/>
                <w:lang w:val="zh-CN" w:eastAsia="zh-CN"/>
              </w:rPr>
              <w:t>-</w:t>
            </w:r>
            <w:r w:rsidRPr="005C4F05">
              <w:rPr>
                <w:sz w:val="22"/>
                <w:szCs w:val="22"/>
                <w:lang w:val="zh-CN" w:eastAsia="zh-CN"/>
              </w:rPr>
              <w:tab/>
              <w:t>ITU-T</w:t>
            </w:r>
            <w:r w:rsidRPr="005C4F05">
              <w:rPr>
                <w:rFonts w:hint="eastAsia"/>
                <w:sz w:val="22"/>
                <w:szCs w:val="22"/>
                <w:lang w:val="zh-CN" w:eastAsia="zh-CN"/>
              </w:rPr>
              <w:t>部门成员</w:t>
            </w:r>
          </w:p>
          <w:p w14:paraId="4A75E52B" w14:textId="7AF6D8EC" w:rsidR="000B31BF" w:rsidRPr="005C4F05" w:rsidRDefault="000B31BF" w:rsidP="000B31BF">
            <w:pPr>
              <w:tabs>
                <w:tab w:val="clear" w:pos="794"/>
                <w:tab w:val="clear" w:pos="1191"/>
                <w:tab w:val="clear" w:pos="1588"/>
                <w:tab w:val="clear" w:pos="1985"/>
                <w:tab w:val="left" w:pos="241"/>
              </w:tabs>
              <w:spacing w:before="0"/>
              <w:ind w:left="283" w:hanging="257"/>
              <w:rPr>
                <w:rFonts w:cs="Calibri"/>
                <w:sz w:val="22"/>
                <w:szCs w:val="22"/>
                <w:lang w:eastAsia="zh-CN"/>
              </w:rPr>
            </w:pPr>
            <w:r w:rsidRPr="005C4F05">
              <w:rPr>
                <w:sz w:val="22"/>
                <w:szCs w:val="22"/>
                <w:lang w:val="zh-CN" w:eastAsia="zh-CN"/>
              </w:rPr>
              <w:t>-</w:t>
            </w:r>
            <w:r w:rsidRPr="005C4F05">
              <w:rPr>
                <w:sz w:val="22"/>
                <w:szCs w:val="22"/>
                <w:lang w:val="zh-CN" w:eastAsia="zh-CN"/>
              </w:rPr>
              <w:tab/>
              <w:t>ITU-T</w:t>
            </w:r>
            <w:r w:rsidRPr="005C4F05">
              <w:rPr>
                <w:sz w:val="22"/>
                <w:szCs w:val="22"/>
                <w:lang w:val="zh-CN" w:eastAsia="zh-CN"/>
              </w:rPr>
              <w:t>部门准成员</w:t>
            </w:r>
          </w:p>
          <w:p w14:paraId="791E0E26" w14:textId="6AECDDA7" w:rsidR="000B31BF" w:rsidRPr="005C4F05" w:rsidRDefault="000B31BF" w:rsidP="000B31BF">
            <w:pPr>
              <w:tabs>
                <w:tab w:val="left" w:pos="284"/>
              </w:tabs>
              <w:spacing w:before="0"/>
              <w:ind w:left="284" w:hanging="257"/>
              <w:rPr>
                <w:sz w:val="22"/>
                <w:szCs w:val="22"/>
                <w:lang w:val="zh-CN"/>
              </w:rPr>
            </w:pPr>
            <w:r w:rsidRPr="005C4F05">
              <w:rPr>
                <w:sz w:val="22"/>
                <w:szCs w:val="22"/>
                <w:lang w:val="zh-CN"/>
              </w:rPr>
              <w:t>-</w:t>
            </w:r>
            <w:r w:rsidRPr="005C4F05">
              <w:rPr>
                <w:sz w:val="22"/>
                <w:szCs w:val="22"/>
                <w:lang w:val="zh-CN"/>
              </w:rPr>
              <w:tab/>
            </w:r>
            <w:r w:rsidRPr="005C4F05">
              <w:rPr>
                <w:sz w:val="22"/>
                <w:szCs w:val="22"/>
                <w:lang w:val="zh-CN"/>
              </w:rPr>
              <w:t>国际电联学术成员</w:t>
            </w:r>
          </w:p>
        </w:tc>
      </w:tr>
      <w:tr w:rsidR="006E14B5" w14:paraId="1B013BE8" w14:textId="77777777" w:rsidTr="00783B9F">
        <w:trPr>
          <w:cantSplit/>
        </w:trPr>
        <w:tc>
          <w:tcPr>
            <w:tcW w:w="1267" w:type="dxa"/>
          </w:tcPr>
          <w:p w14:paraId="701C1E86" w14:textId="77777777" w:rsidR="006E14B5" w:rsidRPr="005C4F05" w:rsidRDefault="006E14B5" w:rsidP="00191798">
            <w:pPr>
              <w:spacing w:before="40" w:after="40"/>
              <w:rPr>
                <w:b/>
                <w:bCs/>
                <w:sz w:val="22"/>
                <w:szCs w:val="22"/>
                <w:lang w:eastAsia="zh-CN"/>
              </w:rPr>
            </w:pPr>
            <w:r w:rsidRPr="005C4F05">
              <w:rPr>
                <w:rFonts w:hint="eastAsia"/>
                <w:b/>
                <w:bCs/>
                <w:sz w:val="22"/>
                <w:szCs w:val="22"/>
                <w:lang w:eastAsia="zh-CN"/>
              </w:rPr>
              <w:t>电话：</w:t>
            </w:r>
          </w:p>
        </w:tc>
        <w:tc>
          <w:tcPr>
            <w:tcW w:w="4159" w:type="dxa"/>
            <w:gridSpan w:val="2"/>
          </w:tcPr>
          <w:p w14:paraId="01CC00A8" w14:textId="6A1E5BC8" w:rsidR="006E14B5" w:rsidRPr="005C4F05" w:rsidRDefault="006E14B5" w:rsidP="000C479B">
            <w:pPr>
              <w:tabs>
                <w:tab w:val="left" w:pos="4111"/>
              </w:tabs>
              <w:spacing w:before="40" w:after="40"/>
              <w:ind w:left="81" w:hanging="42"/>
              <w:rPr>
                <w:sz w:val="22"/>
                <w:szCs w:val="22"/>
                <w:lang w:eastAsia="zh-CN"/>
              </w:rPr>
            </w:pPr>
            <w:r w:rsidRPr="005C4F05">
              <w:rPr>
                <w:sz w:val="22"/>
                <w:szCs w:val="22"/>
                <w:lang w:eastAsia="zh-CN"/>
              </w:rPr>
              <w:t xml:space="preserve">+41 22 730 </w:t>
            </w:r>
            <w:r w:rsidR="000B31BF" w:rsidRPr="005C4F05">
              <w:rPr>
                <w:sz w:val="22"/>
                <w:szCs w:val="22"/>
                <w:lang w:eastAsia="zh-CN"/>
              </w:rPr>
              <w:t>5356</w:t>
            </w:r>
          </w:p>
        </w:tc>
        <w:tc>
          <w:tcPr>
            <w:tcW w:w="4439" w:type="dxa"/>
            <w:vMerge/>
          </w:tcPr>
          <w:p w14:paraId="0A41D7D2" w14:textId="77777777" w:rsidR="006E14B5" w:rsidRPr="005C4F05" w:rsidRDefault="006E14B5" w:rsidP="00956D38">
            <w:pPr>
              <w:tabs>
                <w:tab w:val="left" w:pos="284"/>
              </w:tabs>
              <w:spacing w:before="0"/>
              <w:ind w:left="284" w:hanging="284"/>
              <w:rPr>
                <w:b/>
                <w:sz w:val="22"/>
                <w:szCs w:val="22"/>
                <w:lang w:eastAsia="zh-CN"/>
              </w:rPr>
            </w:pPr>
          </w:p>
        </w:tc>
      </w:tr>
      <w:tr w:rsidR="006E14B5" w14:paraId="3B2165AC" w14:textId="77777777" w:rsidTr="00783B9F">
        <w:trPr>
          <w:cantSplit/>
        </w:trPr>
        <w:tc>
          <w:tcPr>
            <w:tcW w:w="1267" w:type="dxa"/>
          </w:tcPr>
          <w:p w14:paraId="1963E8A0" w14:textId="77777777" w:rsidR="006E14B5" w:rsidRPr="005C4F05" w:rsidRDefault="006E14B5" w:rsidP="00191798">
            <w:pPr>
              <w:spacing w:before="40" w:after="40"/>
              <w:rPr>
                <w:b/>
                <w:bCs/>
                <w:sz w:val="22"/>
                <w:szCs w:val="22"/>
                <w:lang w:eastAsia="zh-CN"/>
              </w:rPr>
            </w:pPr>
            <w:r w:rsidRPr="005C4F05">
              <w:rPr>
                <w:rFonts w:hint="eastAsia"/>
                <w:b/>
                <w:bCs/>
                <w:sz w:val="22"/>
                <w:szCs w:val="22"/>
                <w:lang w:eastAsia="zh-CN"/>
              </w:rPr>
              <w:t>传真：</w:t>
            </w:r>
          </w:p>
        </w:tc>
        <w:tc>
          <w:tcPr>
            <w:tcW w:w="4159" w:type="dxa"/>
            <w:gridSpan w:val="2"/>
          </w:tcPr>
          <w:p w14:paraId="28DFF2F1" w14:textId="77777777" w:rsidR="006E14B5" w:rsidRPr="005C4F05" w:rsidRDefault="006E14B5" w:rsidP="000C479B">
            <w:pPr>
              <w:tabs>
                <w:tab w:val="left" w:pos="4111"/>
              </w:tabs>
              <w:spacing w:before="40" w:after="40"/>
              <w:ind w:left="81" w:hanging="42"/>
              <w:rPr>
                <w:rStyle w:val="Hyperlink"/>
                <w:sz w:val="22"/>
                <w:szCs w:val="22"/>
                <w:lang w:eastAsia="zh-CN"/>
              </w:rPr>
            </w:pPr>
            <w:r w:rsidRPr="005C4F05">
              <w:rPr>
                <w:sz w:val="22"/>
                <w:szCs w:val="22"/>
                <w:lang w:eastAsia="zh-CN"/>
              </w:rPr>
              <w:t>+41 22 730 5853</w:t>
            </w:r>
          </w:p>
        </w:tc>
        <w:tc>
          <w:tcPr>
            <w:tcW w:w="4439" w:type="dxa"/>
            <w:vMerge/>
          </w:tcPr>
          <w:p w14:paraId="3277DB36" w14:textId="77777777" w:rsidR="006E14B5" w:rsidRPr="005C4F05" w:rsidRDefault="006E14B5" w:rsidP="00956D38">
            <w:pPr>
              <w:tabs>
                <w:tab w:val="left" w:pos="284"/>
              </w:tabs>
              <w:spacing w:before="0"/>
              <w:ind w:left="284" w:hanging="284"/>
              <w:rPr>
                <w:b/>
                <w:sz w:val="22"/>
                <w:szCs w:val="22"/>
                <w:lang w:eastAsia="zh-CN"/>
              </w:rPr>
            </w:pPr>
          </w:p>
        </w:tc>
      </w:tr>
      <w:tr w:rsidR="000B31BF" w14:paraId="6113865E" w14:textId="77777777" w:rsidTr="000C479B">
        <w:trPr>
          <w:cantSplit/>
          <w:trHeight w:val="309"/>
        </w:trPr>
        <w:tc>
          <w:tcPr>
            <w:tcW w:w="1267" w:type="dxa"/>
            <w:vMerge w:val="restart"/>
          </w:tcPr>
          <w:p w14:paraId="0B46386A" w14:textId="77777777" w:rsidR="000B31BF" w:rsidRPr="005C4F05" w:rsidRDefault="000B31BF" w:rsidP="005C4F05">
            <w:pPr>
              <w:spacing w:before="40" w:after="40"/>
              <w:rPr>
                <w:b/>
                <w:bCs/>
                <w:sz w:val="22"/>
                <w:szCs w:val="22"/>
                <w:lang w:eastAsia="zh-CN"/>
              </w:rPr>
            </w:pPr>
            <w:r w:rsidRPr="005C4F05">
              <w:rPr>
                <w:rFonts w:ascii="Calibri" w:hAnsi="Calibri" w:hint="eastAsia"/>
                <w:b/>
                <w:bCs/>
                <w:sz w:val="22"/>
                <w:szCs w:val="22"/>
                <w:lang w:eastAsia="zh-CN"/>
              </w:rPr>
              <w:t>电子邮件</w:t>
            </w:r>
            <w:r w:rsidRPr="005C4F05">
              <w:rPr>
                <w:rFonts w:hint="eastAsia"/>
                <w:b/>
                <w:bCs/>
                <w:sz w:val="22"/>
                <w:szCs w:val="22"/>
                <w:lang w:eastAsia="zh-CN"/>
              </w:rPr>
              <w:t>：</w:t>
            </w:r>
          </w:p>
        </w:tc>
        <w:tc>
          <w:tcPr>
            <w:tcW w:w="4159" w:type="dxa"/>
            <w:gridSpan w:val="2"/>
            <w:vMerge w:val="restart"/>
          </w:tcPr>
          <w:p w14:paraId="2B8E9555" w14:textId="460FDAEC" w:rsidR="000B31BF" w:rsidRPr="005C4F05" w:rsidRDefault="00930619" w:rsidP="000C479B">
            <w:pPr>
              <w:tabs>
                <w:tab w:val="left" w:pos="4111"/>
              </w:tabs>
              <w:spacing w:before="40"/>
              <w:ind w:left="81" w:hanging="42"/>
              <w:rPr>
                <w:sz w:val="22"/>
                <w:szCs w:val="22"/>
                <w:lang w:eastAsia="zh-CN"/>
              </w:rPr>
            </w:pPr>
            <w:hyperlink r:id="rId7" w:history="1">
              <w:r w:rsidR="0045472F" w:rsidRPr="00D642FB">
                <w:rPr>
                  <w:rStyle w:val="Hyperlink"/>
                  <w:rFonts w:cs="Calibri"/>
                  <w:sz w:val="22"/>
                  <w:szCs w:val="22"/>
                </w:rPr>
                <w:t>tsbevents@itu.int</w:t>
              </w:r>
            </w:hyperlink>
          </w:p>
        </w:tc>
        <w:tc>
          <w:tcPr>
            <w:tcW w:w="4439" w:type="dxa"/>
            <w:vMerge/>
          </w:tcPr>
          <w:p w14:paraId="1803B3C0" w14:textId="77777777" w:rsidR="000B31BF" w:rsidRPr="005C4F05" w:rsidRDefault="000B31BF" w:rsidP="00956D38">
            <w:pPr>
              <w:tabs>
                <w:tab w:val="clear" w:pos="794"/>
                <w:tab w:val="clear" w:pos="1191"/>
                <w:tab w:val="clear" w:pos="1588"/>
                <w:tab w:val="clear" w:pos="1985"/>
                <w:tab w:val="left" w:pos="284"/>
              </w:tabs>
              <w:spacing w:before="0"/>
              <w:ind w:left="284" w:hanging="284"/>
              <w:rPr>
                <w:sz w:val="22"/>
                <w:szCs w:val="22"/>
                <w:lang w:eastAsia="zh-CN"/>
              </w:rPr>
            </w:pPr>
          </w:p>
        </w:tc>
      </w:tr>
      <w:tr w:rsidR="000B31BF" w14:paraId="6DFBBD5B" w14:textId="77777777" w:rsidTr="00783B9F">
        <w:trPr>
          <w:cantSplit/>
        </w:trPr>
        <w:tc>
          <w:tcPr>
            <w:tcW w:w="1267" w:type="dxa"/>
            <w:vMerge/>
          </w:tcPr>
          <w:p w14:paraId="4516B823" w14:textId="203E05C4" w:rsidR="000B31BF" w:rsidRPr="005C4F05" w:rsidRDefault="000B31BF" w:rsidP="00191798">
            <w:pPr>
              <w:spacing w:before="40" w:after="40"/>
              <w:rPr>
                <w:sz w:val="22"/>
                <w:szCs w:val="22"/>
                <w:lang w:eastAsia="zh-CN"/>
              </w:rPr>
            </w:pPr>
          </w:p>
        </w:tc>
        <w:tc>
          <w:tcPr>
            <w:tcW w:w="4159" w:type="dxa"/>
            <w:gridSpan w:val="2"/>
            <w:vMerge/>
          </w:tcPr>
          <w:p w14:paraId="58AC119D" w14:textId="77777777" w:rsidR="000B31BF" w:rsidRPr="005C4F05" w:rsidRDefault="000B31BF" w:rsidP="00956D38">
            <w:pPr>
              <w:tabs>
                <w:tab w:val="left" w:pos="4111"/>
              </w:tabs>
              <w:spacing w:before="0"/>
              <w:rPr>
                <w:b/>
                <w:sz w:val="22"/>
                <w:szCs w:val="22"/>
                <w:lang w:eastAsia="zh-CN"/>
              </w:rPr>
            </w:pPr>
          </w:p>
        </w:tc>
        <w:tc>
          <w:tcPr>
            <w:tcW w:w="4439" w:type="dxa"/>
          </w:tcPr>
          <w:p w14:paraId="1E94A8AF" w14:textId="77777777" w:rsidR="000B31BF" w:rsidRPr="005C4F05" w:rsidRDefault="000B31BF" w:rsidP="000B31BF">
            <w:pPr>
              <w:pStyle w:val="Tabletext"/>
              <w:spacing w:before="0" w:after="0"/>
              <w:ind w:left="283" w:hanging="229"/>
              <w:rPr>
                <w:rFonts w:cs="Calibri"/>
                <w:b/>
                <w:bCs/>
                <w:sz w:val="22"/>
                <w:szCs w:val="22"/>
              </w:rPr>
            </w:pPr>
            <w:r w:rsidRPr="005C4F05">
              <w:rPr>
                <w:b/>
                <w:bCs/>
                <w:sz w:val="22"/>
                <w:szCs w:val="22"/>
                <w:lang w:val="zh-CN"/>
              </w:rPr>
              <w:t>抄送</w:t>
            </w:r>
            <w:r w:rsidRPr="005C4F05">
              <w:rPr>
                <w:b/>
                <w:bCs/>
                <w:sz w:val="22"/>
                <w:szCs w:val="22"/>
              </w:rPr>
              <w:t>：</w:t>
            </w:r>
          </w:p>
          <w:p w14:paraId="48180589" w14:textId="1C003CB1" w:rsidR="000B31BF" w:rsidRPr="005C4F05" w:rsidRDefault="000B31BF" w:rsidP="000B31BF">
            <w:pPr>
              <w:pStyle w:val="Tabletext"/>
              <w:tabs>
                <w:tab w:val="clear" w:pos="284"/>
              </w:tabs>
              <w:spacing w:before="0" w:after="0"/>
              <w:ind w:left="283" w:hanging="229"/>
              <w:rPr>
                <w:rFonts w:cs="Calibri"/>
                <w:sz w:val="22"/>
                <w:szCs w:val="22"/>
              </w:rPr>
            </w:pPr>
            <w:r w:rsidRPr="005C4F05">
              <w:rPr>
                <w:sz w:val="22"/>
                <w:szCs w:val="22"/>
                <w:lang w:val="zh-CN"/>
              </w:rPr>
              <w:t>-</w:t>
            </w:r>
            <w:r w:rsidRPr="005C4F05">
              <w:rPr>
                <w:sz w:val="22"/>
                <w:szCs w:val="22"/>
                <w:lang w:val="zh-CN"/>
              </w:rPr>
              <w:tab/>
            </w:r>
            <w:r w:rsidRPr="005C4F05">
              <w:rPr>
                <w:sz w:val="22"/>
                <w:szCs w:val="22"/>
                <w:lang w:val="zh-CN"/>
              </w:rPr>
              <w:t>各研究组的正副主席</w:t>
            </w:r>
          </w:p>
          <w:p w14:paraId="5C9928F1" w14:textId="502510DE" w:rsidR="000B31BF" w:rsidRPr="005C4F05" w:rsidRDefault="000B31BF" w:rsidP="000B31BF">
            <w:pPr>
              <w:pStyle w:val="Tabletext"/>
              <w:tabs>
                <w:tab w:val="clear" w:pos="284"/>
              </w:tabs>
              <w:spacing w:before="0" w:after="0"/>
              <w:ind w:left="283" w:hanging="229"/>
              <w:rPr>
                <w:rFonts w:cs="Calibri"/>
                <w:sz w:val="22"/>
                <w:szCs w:val="22"/>
              </w:rPr>
            </w:pPr>
            <w:r w:rsidRPr="005C4F05">
              <w:rPr>
                <w:sz w:val="22"/>
                <w:szCs w:val="22"/>
                <w:lang w:val="zh-CN"/>
              </w:rPr>
              <w:t>-</w:t>
            </w:r>
            <w:r w:rsidRPr="005C4F05">
              <w:rPr>
                <w:sz w:val="22"/>
                <w:szCs w:val="22"/>
                <w:lang w:val="zh-CN"/>
              </w:rPr>
              <w:tab/>
            </w:r>
            <w:r w:rsidRPr="005C4F05">
              <w:rPr>
                <w:sz w:val="22"/>
                <w:szCs w:val="22"/>
                <w:lang w:val="zh-CN"/>
              </w:rPr>
              <w:t>国际电</w:t>
            </w:r>
            <w:proofErr w:type="gramStart"/>
            <w:r w:rsidRPr="005C4F05">
              <w:rPr>
                <w:sz w:val="22"/>
                <w:szCs w:val="22"/>
                <w:lang w:val="zh-CN"/>
              </w:rPr>
              <w:t>联电信</w:t>
            </w:r>
            <w:proofErr w:type="gramEnd"/>
            <w:r w:rsidRPr="005C4F05">
              <w:rPr>
                <w:sz w:val="22"/>
                <w:szCs w:val="22"/>
                <w:lang w:val="zh-CN"/>
              </w:rPr>
              <w:t>发展局主任</w:t>
            </w:r>
          </w:p>
          <w:p w14:paraId="7AC48D06" w14:textId="3904E1D3" w:rsidR="000B31BF" w:rsidRPr="005C4F05" w:rsidRDefault="000B31BF" w:rsidP="000B31BF">
            <w:pPr>
              <w:pStyle w:val="Tabletext"/>
              <w:tabs>
                <w:tab w:val="clear" w:pos="284"/>
              </w:tabs>
              <w:spacing w:before="0" w:after="0"/>
              <w:ind w:left="283" w:hanging="229"/>
              <w:rPr>
                <w:rFonts w:cs="Calibri"/>
                <w:sz w:val="22"/>
                <w:szCs w:val="22"/>
              </w:rPr>
            </w:pPr>
            <w:r w:rsidRPr="005C4F05">
              <w:rPr>
                <w:sz w:val="22"/>
                <w:szCs w:val="22"/>
                <w:lang w:val="zh-CN"/>
              </w:rPr>
              <w:t>-</w:t>
            </w:r>
            <w:r w:rsidRPr="005C4F05">
              <w:rPr>
                <w:sz w:val="22"/>
                <w:szCs w:val="22"/>
                <w:lang w:val="zh-CN"/>
              </w:rPr>
              <w:tab/>
            </w:r>
            <w:r w:rsidRPr="005C4F05">
              <w:rPr>
                <w:sz w:val="22"/>
                <w:szCs w:val="22"/>
                <w:lang w:val="zh-CN"/>
              </w:rPr>
              <w:t>无线电通信局主任</w:t>
            </w:r>
          </w:p>
          <w:p w14:paraId="61631976" w14:textId="0B5838F1" w:rsidR="000B31BF" w:rsidRPr="005C4F05" w:rsidRDefault="000B31BF" w:rsidP="000B31BF">
            <w:pPr>
              <w:pStyle w:val="Tabletext"/>
              <w:tabs>
                <w:tab w:val="clear" w:pos="284"/>
              </w:tabs>
              <w:spacing w:before="0" w:after="0"/>
              <w:ind w:left="283" w:hanging="229"/>
              <w:rPr>
                <w:rFonts w:cs="Calibri"/>
                <w:sz w:val="22"/>
                <w:szCs w:val="22"/>
              </w:rPr>
            </w:pPr>
            <w:r w:rsidRPr="005C4F05">
              <w:rPr>
                <w:sz w:val="22"/>
                <w:szCs w:val="22"/>
                <w:lang w:val="zh-CN"/>
              </w:rPr>
              <w:t>-</w:t>
            </w:r>
            <w:r w:rsidRPr="005C4F05">
              <w:rPr>
                <w:sz w:val="22"/>
                <w:szCs w:val="22"/>
                <w:lang w:val="zh-CN"/>
              </w:rPr>
              <w:tab/>
            </w:r>
            <w:r w:rsidRPr="005C4F05">
              <w:rPr>
                <w:sz w:val="22"/>
                <w:szCs w:val="22"/>
                <w:lang w:val="zh-CN"/>
              </w:rPr>
              <w:t>国际电联非洲</w:t>
            </w:r>
            <w:r w:rsidRPr="005C4F05">
              <w:rPr>
                <w:rFonts w:hint="eastAsia"/>
                <w:sz w:val="22"/>
                <w:szCs w:val="22"/>
                <w:lang w:val="zh-CN"/>
              </w:rPr>
              <w:t>区域代表</w:t>
            </w:r>
            <w:r w:rsidRPr="005C4F05">
              <w:rPr>
                <w:sz w:val="22"/>
                <w:szCs w:val="22"/>
                <w:lang w:val="zh-CN"/>
              </w:rPr>
              <w:t>处</w:t>
            </w:r>
          </w:p>
          <w:p w14:paraId="13A2F773" w14:textId="528D2E7F" w:rsidR="000B31BF" w:rsidRPr="005C4F05" w:rsidRDefault="000B31BF" w:rsidP="000B31BF">
            <w:pPr>
              <w:pStyle w:val="Tabletext"/>
              <w:tabs>
                <w:tab w:val="clear" w:pos="284"/>
              </w:tabs>
              <w:spacing w:before="0" w:after="0"/>
              <w:ind w:left="283" w:hanging="229"/>
              <w:rPr>
                <w:b/>
                <w:sz w:val="22"/>
                <w:szCs w:val="22"/>
              </w:rPr>
            </w:pPr>
            <w:r w:rsidRPr="005C4F05">
              <w:rPr>
                <w:rFonts w:hint="eastAsia"/>
                <w:sz w:val="22"/>
                <w:szCs w:val="22"/>
                <w:lang w:val="zh-CN"/>
              </w:rPr>
              <w:t>-</w:t>
            </w:r>
            <w:r w:rsidRPr="005C4F05">
              <w:rPr>
                <w:sz w:val="22"/>
                <w:szCs w:val="22"/>
                <w:lang w:val="zh-CN"/>
              </w:rPr>
              <w:tab/>
            </w:r>
            <w:r w:rsidRPr="005C4F05">
              <w:rPr>
                <w:sz w:val="22"/>
                <w:szCs w:val="22"/>
                <w:lang w:val="zh-CN"/>
              </w:rPr>
              <w:t>国际电联非洲地区办事处</w:t>
            </w:r>
          </w:p>
        </w:tc>
      </w:tr>
      <w:tr w:rsidR="00720F32" w14:paraId="41B41A85" w14:textId="77777777" w:rsidTr="00783B9F">
        <w:trPr>
          <w:cantSplit/>
        </w:trPr>
        <w:tc>
          <w:tcPr>
            <w:tcW w:w="1267" w:type="dxa"/>
          </w:tcPr>
          <w:p w14:paraId="6D9C504E" w14:textId="15E6FF7C" w:rsidR="00720F32" w:rsidRPr="00720F32" w:rsidRDefault="00720F32" w:rsidP="005C4F05">
            <w:pPr>
              <w:spacing w:after="40"/>
              <w:rPr>
                <w:b/>
                <w:bCs/>
                <w:szCs w:val="24"/>
                <w:lang w:eastAsia="zh-CN"/>
              </w:rPr>
            </w:pPr>
            <w:r w:rsidRPr="00720F32">
              <w:rPr>
                <w:rFonts w:hint="eastAsia"/>
                <w:b/>
                <w:bCs/>
                <w:sz w:val="22"/>
                <w:lang w:eastAsia="zh-CN"/>
              </w:rPr>
              <w:t>事由</w:t>
            </w:r>
            <w:r w:rsidR="005C4F05" w:rsidRPr="000B31BF">
              <w:rPr>
                <w:rFonts w:hint="eastAsia"/>
                <w:b/>
                <w:bCs/>
                <w:szCs w:val="24"/>
                <w:lang w:eastAsia="zh-CN"/>
              </w:rPr>
              <w:t>：</w:t>
            </w:r>
          </w:p>
        </w:tc>
        <w:tc>
          <w:tcPr>
            <w:tcW w:w="8598" w:type="dxa"/>
            <w:gridSpan w:val="3"/>
          </w:tcPr>
          <w:p w14:paraId="20C1B11B" w14:textId="0A47AAFB" w:rsidR="00720F32" w:rsidRDefault="000B31BF" w:rsidP="005C4F05">
            <w:pPr>
              <w:tabs>
                <w:tab w:val="left" w:pos="4111"/>
              </w:tabs>
              <w:spacing w:after="120"/>
              <w:rPr>
                <w:b/>
                <w:lang w:eastAsia="zh-CN"/>
              </w:rPr>
            </w:pPr>
            <w:r w:rsidRPr="00126007">
              <w:rPr>
                <w:b/>
                <w:bCs/>
                <w:lang w:val="zh-CN" w:eastAsia="zh-CN"/>
              </w:rPr>
              <w:t>第</w:t>
            </w:r>
            <w:r w:rsidRPr="00126007">
              <w:rPr>
                <w:rFonts w:hint="eastAsia"/>
                <w:b/>
                <w:bCs/>
                <w:lang w:val="zh-CN" w:eastAsia="zh-CN"/>
              </w:rPr>
              <w:t>1</w:t>
            </w:r>
            <w:r w:rsidRPr="00126007">
              <w:rPr>
                <w:b/>
                <w:bCs/>
                <w:lang w:val="zh-CN" w:eastAsia="zh-CN"/>
              </w:rPr>
              <w:t>5</w:t>
            </w:r>
            <w:r w:rsidRPr="00126007">
              <w:rPr>
                <w:rFonts w:hint="eastAsia"/>
                <w:b/>
                <w:bCs/>
                <w:lang w:val="zh-CN" w:eastAsia="zh-CN"/>
              </w:rPr>
              <w:t>次</w:t>
            </w:r>
            <w:r w:rsidRPr="00126007">
              <w:rPr>
                <w:b/>
                <w:bCs/>
                <w:lang w:val="zh-CN" w:eastAsia="zh-CN"/>
              </w:rPr>
              <w:t>ICT</w:t>
            </w:r>
            <w:r w:rsidRPr="00126007">
              <w:rPr>
                <w:b/>
                <w:bCs/>
                <w:lang w:val="zh-CN" w:eastAsia="zh-CN"/>
              </w:rPr>
              <w:t>、环境、气候变化与循环经济专题研讨会</w:t>
            </w:r>
            <w:r w:rsidR="0045472F">
              <w:rPr>
                <w:b/>
                <w:bCs/>
                <w:lang w:val="zh-CN" w:eastAsia="zh-CN"/>
              </w:rPr>
              <w:br/>
            </w:r>
            <w:r w:rsidRPr="00126007">
              <w:rPr>
                <w:b/>
                <w:bCs/>
                <w:lang w:val="zh-CN" w:eastAsia="zh-CN"/>
              </w:rPr>
              <w:t>（</w:t>
            </w:r>
            <w:r w:rsidRPr="00126007">
              <w:rPr>
                <w:b/>
                <w:bCs/>
                <w:lang w:val="zh-CN" w:eastAsia="zh-CN"/>
              </w:rPr>
              <w:t>2024</w:t>
            </w:r>
            <w:r w:rsidRPr="00126007">
              <w:rPr>
                <w:b/>
                <w:bCs/>
                <w:lang w:val="zh-CN" w:eastAsia="zh-CN"/>
              </w:rPr>
              <w:t>年</w:t>
            </w:r>
            <w:r w:rsidRPr="00126007">
              <w:rPr>
                <w:b/>
                <w:bCs/>
                <w:lang w:val="zh-CN" w:eastAsia="zh-CN"/>
              </w:rPr>
              <w:t>5</w:t>
            </w:r>
            <w:r w:rsidRPr="00126007">
              <w:rPr>
                <w:b/>
                <w:bCs/>
                <w:lang w:val="zh-CN" w:eastAsia="zh-CN"/>
              </w:rPr>
              <w:t>月</w:t>
            </w:r>
            <w:r w:rsidRPr="00126007">
              <w:rPr>
                <w:b/>
                <w:bCs/>
                <w:lang w:val="zh-CN" w:eastAsia="zh-CN"/>
              </w:rPr>
              <w:t>7-9</w:t>
            </w:r>
            <w:r w:rsidRPr="00126007">
              <w:rPr>
                <w:b/>
                <w:bCs/>
                <w:lang w:val="zh-CN" w:eastAsia="zh-CN"/>
              </w:rPr>
              <w:t>日，布基纳法索</w:t>
            </w:r>
            <w:r w:rsidRPr="00126007">
              <w:rPr>
                <w:rFonts w:hint="eastAsia"/>
                <w:b/>
                <w:bCs/>
                <w:lang w:val="zh-CN" w:eastAsia="zh-CN"/>
              </w:rPr>
              <w:t>，</w:t>
            </w:r>
            <w:r w:rsidRPr="00D642FB">
              <w:rPr>
                <w:rFonts w:cs="Calibri"/>
                <w:b/>
                <w:bCs/>
                <w:sz w:val="22"/>
                <w:szCs w:val="22"/>
                <w:lang w:eastAsia="zh-CN"/>
              </w:rPr>
              <w:t>Ouagadougou</w:t>
            </w:r>
            <w:r w:rsidRPr="00126007">
              <w:rPr>
                <w:b/>
                <w:bCs/>
                <w:lang w:val="zh-CN" w:eastAsia="zh-CN"/>
              </w:rPr>
              <w:t>）</w:t>
            </w:r>
          </w:p>
        </w:tc>
      </w:tr>
    </w:tbl>
    <w:p w14:paraId="48FDAE6A" w14:textId="77777777" w:rsidR="0063445E" w:rsidRDefault="0063445E" w:rsidP="0063445E">
      <w:pPr>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4908F427" w14:textId="4F2C884F" w:rsidR="000B31BF" w:rsidRDefault="000B31BF" w:rsidP="000B31BF">
      <w:pPr>
        <w:rPr>
          <w:rFonts w:cs="Calibri"/>
          <w:sz w:val="22"/>
          <w:szCs w:val="22"/>
          <w:lang w:eastAsia="zh-CN"/>
        </w:rPr>
      </w:pPr>
      <w:r>
        <w:rPr>
          <w:lang w:val="zh-CN" w:eastAsia="zh-CN"/>
        </w:rPr>
        <w:t>1</w:t>
      </w:r>
      <w:r>
        <w:rPr>
          <w:lang w:val="zh-CN" w:eastAsia="zh-CN"/>
        </w:rPr>
        <w:tab/>
      </w:r>
      <w:r>
        <w:rPr>
          <w:lang w:val="zh-CN" w:eastAsia="zh-CN"/>
        </w:rPr>
        <w:t>我高兴地通知您，国际电信联盟（</w:t>
      </w:r>
      <w:r>
        <w:rPr>
          <w:lang w:val="zh-CN" w:eastAsia="zh-CN"/>
        </w:rPr>
        <w:t>ITU</w:t>
      </w:r>
      <w:r>
        <w:rPr>
          <w:lang w:val="zh-CN" w:eastAsia="zh-CN"/>
        </w:rPr>
        <w:t>）将于</w:t>
      </w:r>
      <w:r w:rsidRPr="008E4666">
        <w:rPr>
          <w:b/>
          <w:bCs/>
          <w:lang w:val="zh-CN" w:eastAsia="zh-CN"/>
        </w:rPr>
        <w:t>2024</w:t>
      </w:r>
      <w:r w:rsidRPr="008E4666">
        <w:rPr>
          <w:b/>
          <w:bCs/>
          <w:lang w:val="zh-CN" w:eastAsia="zh-CN"/>
        </w:rPr>
        <w:t>年</w:t>
      </w:r>
      <w:r w:rsidRPr="008E4666">
        <w:rPr>
          <w:b/>
          <w:bCs/>
          <w:lang w:val="zh-CN" w:eastAsia="zh-CN"/>
        </w:rPr>
        <w:t>5</w:t>
      </w:r>
      <w:r w:rsidRPr="008E4666">
        <w:rPr>
          <w:b/>
          <w:bCs/>
          <w:lang w:val="zh-CN" w:eastAsia="zh-CN"/>
        </w:rPr>
        <w:t>月</w:t>
      </w:r>
      <w:r w:rsidRPr="008E4666">
        <w:rPr>
          <w:b/>
          <w:bCs/>
          <w:lang w:val="zh-CN" w:eastAsia="zh-CN"/>
        </w:rPr>
        <w:t>7-9</w:t>
      </w:r>
      <w:r w:rsidRPr="008E4666">
        <w:rPr>
          <w:b/>
          <w:bCs/>
          <w:lang w:val="zh-CN" w:eastAsia="zh-CN"/>
        </w:rPr>
        <w:t>日</w:t>
      </w:r>
      <w:r>
        <w:rPr>
          <w:lang w:val="zh-CN" w:eastAsia="zh-CN"/>
        </w:rPr>
        <w:t>在</w:t>
      </w:r>
      <w:r w:rsidRPr="008E4666">
        <w:rPr>
          <w:b/>
          <w:bCs/>
          <w:lang w:val="zh-CN" w:eastAsia="zh-CN"/>
        </w:rPr>
        <w:t>布基纳法索</w:t>
      </w:r>
      <w:r>
        <w:rPr>
          <w:rFonts w:hint="eastAsia"/>
          <w:b/>
          <w:bCs/>
          <w:lang w:val="zh-CN" w:eastAsia="zh-CN"/>
        </w:rPr>
        <w:t>的</w:t>
      </w:r>
      <w:r w:rsidRPr="008E4666">
        <w:rPr>
          <w:b/>
          <w:bCs/>
          <w:lang w:val="zh-CN" w:eastAsia="zh-CN"/>
        </w:rPr>
        <w:t>Ouagadougou</w:t>
      </w:r>
      <w:r>
        <w:rPr>
          <w:rFonts w:hint="eastAsia"/>
          <w:lang w:val="zh-CN" w:eastAsia="zh-CN"/>
        </w:rPr>
        <w:t>，</w:t>
      </w:r>
      <w:r>
        <w:rPr>
          <w:lang w:val="zh-CN" w:eastAsia="zh-CN"/>
        </w:rPr>
        <w:t>与</w:t>
      </w:r>
      <w:r>
        <w:rPr>
          <w:rFonts w:hint="eastAsia"/>
          <w:lang w:val="zh-CN" w:eastAsia="zh-CN"/>
        </w:rPr>
        <w:t>“</w:t>
      </w:r>
      <w:r>
        <w:rPr>
          <w:lang w:val="zh-CN" w:eastAsia="zh-CN"/>
        </w:rPr>
        <w:t>同一星球网络</w:t>
      </w:r>
      <w:r>
        <w:rPr>
          <w:rFonts w:hint="eastAsia"/>
          <w:lang w:val="zh-CN" w:eastAsia="zh-CN"/>
        </w:rPr>
        <w:t>”</w:t>
      </w:r>
      <w:r>
        <w:rPr>
          <w:lang w:val="zh-CN" w:eastAsia="zh-CN"/>
        </w:rPr>
        <w:t>、</w:t>
      </w:r>
      <w:r w:rsidRPr="008E4666">
        <w:rPr>
          <w:rFonts w:hint="eastAsia"/>
          <w:lang w:val="zh-CN" w:eastAsia="zh-CN"/>
        </w:rPr>
        <w:t>环境标准联盟（</w:t>
      </w:r>
      <w:r w:rsidRPr="008E4666">
        <w:rPr>
          <w:rFonts w:hint="eastAsia"/>
          <w:lang w:val="zh-CN" w:eastAsia="zh-CN"/>
        </w:rPr>
        <w:t>ECOS</w:t>
      </w:r>
      <w:r w:rsidRPr="008E4666">
        <w:rPr>
          <w:rFonts w:hint="eastAsia"/>
          <w:lang w:val="zh-CN" w:eastAsia="zh-CN"/>
        </w:rPr>
        <w:t>）</w:t>
      </w:r>
      <w:r>
        <w:rPr>
          <w:lang w:val="zh-CN" w:eastAsia="zh-CN"/>
        </w:rPr>
        <w:t>和《巴塞尔公约》秘书处共同组织</w:t>
      </w:r>
      <w:r w:rsidRPr="000B31BF">
        <w:rPr>
          <w:rFonts w:hint="eastAsia"/>
          <w:lang w:val="zh-CN" w:eastAsia="zh-CN"/>
        </w:rPr>
        <w:t>“</w:t>
      </w:r>
      <w:r w:rsidRPr="008E4666">
        <w:rPr>
          <w:b/>
          <w:bCs/>
          <w:lang w:val="zh-CN" w:eastAsia="zh-CN"/>
        </w:rPr>
        <w:t>第十五</w:t>
      </w:r>
      <w:r>
        <w:rPr>
          <w:rFonts w:hint="eastAsia"/>
          <w:b/>
          <w:bCs/>
          <w:lang w:val="zh-CN" w:eastAsia="zh-CN"/>
        </w:rPr>
        <w:t>次</w:t>
      </w:r>
      <w:r w:rsidRPr="008E4666">
        <w:rPr>
          <w:b/>
          <w:bCs/>
          <w:lang w:val="zh-CN" w:eastAsia="zh-CN"/>
        </w:rPr>
        <w:t>ICT</w:t>
      </w:r>
      <w:r w:rsidRPr="008E4666">
        <w:rPr>
          <w:b/>
          <w:bCs/>
          <w:lang w:val="zh-CN" w:eastAsia="zh-CN"/>
        </w:rPr>
        <w:t>、环境、气候变化与循环经济专题研讨会</w:t>
      </w:r>
      <w:r w:rsidRPr="000B31BF">
        <w:rPr>
          <w:rFonts w:hint="eastAsia"/>
          <w:lang w:val="zh-CN" w:eastAsia="zh-CN"/>
        </w:rPr>
        <w:t>”</w:t>
      </w:r>
      <w:r>
        <w:rPr>
          <w:lang w:val="zh-CN" w:eastAsia="zh-CN"/>
        </w:rPr>
        <w:t>。今年研讨会的主题是</w:t>
      </w:r>
      <w:r w:rsidRPr="000B31BF">
        <w:rPr>
          <w:rFonts w:asciiTheme="minorEastAsia" w:eastAsiaTheme="minorEastAsia" w:hAnsiTheme="minorEastAsia" w:hint="eastAsia"/>
          <w:lang w:val="zh-CN" w:eastAsia="zh-CN"/>
        </w:rPr>
        <w:t>“</w:t>
      </w:r>
      <w:r w:rsidRPr="008E4666">
        <w:rPr>
          <w:rFonts w:ascii="STKaiti" w:eastAsia="STKaiti" w:hAnsi="STKaiti"/>
          <w:lang w:val="zh-CN" w:eastAsia="zh-CN"/>
        </w:rPr>
        <w:t>可持续发展未来的数字</w:t>
      </w:r>
      <w:r>
        <w:rPr>
          <w:rFonts w:ascii="STKaiti" w:eastAsia="STKaiti" w:hAnsi="STKaiti" w:hint="eastAsia"/>
          <w:lang w:val="zh-CN" w:eastAsia="zh-CN"/>
        </w:rPr>
        <w:t>化</w:t>
      </w:r>
      <w:r w:rsidRPr="008E4666">
        <w:rPr>
          <w:rFonts w:ascii="STKaiti" w:eastAsia="STKaiti" w:hAnsi="STKaiti"/>
          <w:lang w:val="zh-CN" w:eastAsia="zh-CN"/>
        </w:rPr>
        <w:t>解决方案：整合气候行动、循环经济、数据</w:t>
      </w:r>
      <w:r>
        <w:rPr>
          <w:rFonts w:ascii="STKaiti" w:eastAsia="STKaiti" w:hAnsi="STKaiti" w:hint="eastAsia"/>
          <w:lang w:val="zh-CN" w:eastAsia="zh-CN"/>
        </w:rPr>
        <w:t>与</w:t>
      </w:r>
      <w:r w:rsidRPr="008E4666">
        <w:rPr>
          <w:rFonts w:ascii="STKaiti" w:eastAsia="STKaiti" w:hAnsi="STKaiti"/>
          <w:lang w:val="zh-CN" w:eastAsia="zh-CN"/>
        </w:rPr>
        <w:t>国际标准</w:t>
      </w:r>
      <w:r w:rsidRPr="000B31BF">
        <w:rPr>
          <w:rFonts w:asciiTheme="minorEastAsia" w:eastAsiaTheme="minorEastAsia" w:hAnsiTheme="minorEastAsia"/>
          <w:lang w:val="zh-CN" w:eastAsia="zh-CN"/>
        </w:rPr>
        <w:t>”</w:t>
      </w:r>
      <w:r>
        <w:rPr>
          <w:lang w:val="zh-CN" w:eastAsia="zh-CN"/>
        </w:rPr>
        <w:t>。研讨会将由数字化邮政和电子通信部</w:t>
      </w:r>
      <w:r>
        <w:rPr>
          <w:rFonts w:hint="eastAsia"/>
          <w:lang w:val="zh-CN" w:eastAsia="zh-CN"/>
        </w:rPr>
        <w:t>在</w:t>
      </w:r>
      <w:r w:rsidRPr="00D642FB">
        <w:rPr>
          <w:rFonts w:cs="Calibri"/>
          <w:sz w:val="22"/>
          <w:szCs w:val="22"/>
          <w:lang w:val="fr-CH" w:eastAsia="zh-CN"/>
        </w:rPr>
        <w:t>Ouagadougou</w:t>
      </w:r>
      <w:r>
        <w:rPr>
          <w:rFonts w:cs="Calibri" w:hint="eastAsia"/>
          <w:sz w:val="22"/>
          <w:szCs w:val="22"/>
          <w:lang w:val="fr-CH" w:eastAsia="zh-CN"/>
        </w:rPr>
        <w:t>的</w:t>
      </w:r>
      <w:proofErr w:type="spellStart"/>
      <w:r w:rsidRPr="00D642FB">
        <w:rPr>
          <w:rFonts w:cs="Calibri"/>
          <w:sz w:val="22"/>
          <w:szCs w:val="22"/>
          <w:lang w:val="fr-CH" w:eastAsia="zh-CN"/>
        </w:rPr>
        <w:t>Silmandé</w:t>
      </w:r>
      <w:proofErr w:type="spellEnd"/>
      <w:r>
        <w:rPr>
          <w:lang w:val="zh-CN" w:eastAsia="zh-CN"/>
        </w:rPr>
        <w:t>酒店盛情承办。</w:t>
      </w:r>
    </w:p>
    <w:p w14:paraId="778B522F" w14:textId="77777777" w:rsidR="000B31BF" w:rsidRDefault="000B31BF" w:rsidP="000B31BF">
      <w:pPr>
        <w:rPr>
          <w:rFonts w:cs="Calibri"/>
          <w:sz w:val="22"/>
          <w:szCs w:val="22"/>
          <w:lang w:eastAsia="zh-CN"/>
        </w:rPr>
      </w:pPr>
      <w:r>
        <w:rPr>
          <w:lang w:val="zh-CN" w:eastAsia="zh-CN"/>
        </w:rPr>
        <w:t>2</w:t>
      </w:r>
      <w:r>
        <w:rPr>
          <w:lang w:val="zh-CN" w:eastAsia="zh-CN"/>
        </w:rPr>
        <w:tab/>
      </w:r>
      <w:r>
        <w:rPr>
          <w:rFonts w:hint="eastAsia"/>
          <w:lang w:val="zh-CN" w:eastAsia="zh-CN"/>
        </w:rPr>
        <w:t>实现</w:t>
      </w:r>
      <w:r>
        <w:rPr>
          <w:lang w:val="zh-CN" w:eastAsia="zh-CN"/>
        </w:rPr>
        <w:t>可持续性和促进循环经济</w:t>
      </w:r>
      <w:r>
        <w:rPr>
          <w:rFonts w:hint="eastAsia"/>
          <w:lang w:val="zh-CN" w:eastAsia="zh-CN"/>
        </w:rPr>
        <w:t>，</w:t>
      </w:r>
      <w:r>
        <w:rPr>
          <w:lang w:val="zh-CN" w:eastAsia="zh-CN"/>
        </w:rPr>
        <w:t>是非洲城市在促进经济增长的同时应对环境挑战的当务之急。这项为期</w:t>
      </w:r>
      <w:r>
        <w:rPr>
          <w:lang w:val="zh-CN" w:eastAsia="zh-CN"/>
        </w:rPr>
        <w:t>3</w:t>
      </w:r>
      <w:r>
        <w:rPr>
          <w:lang w:val="zh-CN" w:eastAsia="zh-CN"/>
        </w:rPr>
        <w:t>天的创新活动旨在深入研究应对电子废</w:t>
      </w:r>
      <w:r>
        <w:rPr>
          <w:rFonts w:hint="eastAsia"/>
          <w:lang w:val="zh-CN" w:eastAsia="zh-CN"/>
        </w:rPr>
        <w:t>弃</w:t>
      </w:r>
      <w:r>
        <w:rPr>
          <w:lang w:val="zh-CN" w:eastAsia="zh-CN"/>
        </w:rPr>
        <w:t>物挑战的解决方案，</w:t>
      </w:r>
      <w:r>
        <w:rPr>
          <w:rFonts w:hint="eastAsia"/>
          <w:lang w:val="zh-CN" w:eastAsia="zh-CN"/>
        </w:rPr>
        <w:t>其中</w:t>
      </w:r>
      <w:r>
        <w:rPr>
          <w:lang w:val="zh-CN" w:eastAsia="zh-CN"/>
        </w:rPr>
        <w:t>包括与矿物开采有关的问题。</w:t>
      </w:r>
      <w:r>
        <w:rPr>
          <w:rFonts w:hint="eastAsia"/>
          <w:lang w:val="zh-CN" w:eastAsia="zh-CN"/>
        </w:rPr>
        <w:t>会议</w:t>
      </w:r>
      <w:r>
        <w:rPr>
          <w:lang w:val="zh-CN" w:eastAsia="zh-CN"/>
        </w:rPr>
        <w:t>每天将重点关注一个具体主题，如</w:t>
      </w:r>
      <w:r>
        <w:rPr>
          <w:rFonts w:hint="eastAsia"/>
          <w:lang w:val="zh-CN" w:eastAsia="zh-CN"/>
        </w:rPr>
        <w:t>具有</w:t>
      </w:r>
      <w:r>
        <w:rPr>
          <w:lang w:val="zh-CN" w:eastAsia="zh-CN"/>
        </w:rPr>
        <w:t>环境效益</w:t>
      </w:r>
      <w:r>
        <w:rPr>
          <w:rFonts w:hint="eastAsia"/>
          <w:lang w:val="zh-CN" w:eastAsia="zh-CN"/>
        </w:rPr>
        <w:t>的</w:t>
      </w:r>
      <w:r>
        <w:rPr>
          <w:lang w:val="zh-CN" w:eastAsia="zh-CN"/>
        </w:rPr>
        <w:t>基础设施、电子废弃物数据、循环经济</w:t>
      </w:r>
      <w:r>
        <w:rPr>
          <w:rFonts w:hint="eastAsia"/>
          <w:lang w:val="zh-CN" w:eastAsia="zh-CN"/>
        </w:rPr>
        <w:t>的</w:t>
      </w:r>
      <w:r>
        <w:rPr>
          <w:lang w:val="zh-CN" w:eastAsia="zh-CN"/>
        </w:rPr>
        <w:t>原则以及</w:t>
      </w:r>
      <w:r>
        <w:rPr>
          <w:lang w:val="zh-CN" w:eastAsia="zh-CN"/>
        </w:rPr>
        <w:t>ICT</w:t>
      </w:r>
      <w:r>
        <w:rPr>
          <w:lang w:val="zh-CN" w:eastAsia="zh-CN"/>
        </w:rPr>
        <w:t>行业在促进</w:t>
      </w:r>
      <w:r>
        <w:rPr>
          <w:rFonts w:hint="eastAsia"/>
          <w:lang w:val="zh-CN" w:eastAsia="zh-CN"/>
        </w:rPr>
        <w:t>实现</w:t>
      </w:r>
      <w:r>
        <w:rPr>
          <w:lang w:val="zh-CN" w:eastAsia="zh-CN"/>
        </w:rPr>
        <w:t>承诺方面发挥的关键作用。此外，该活动将强调标准的重要性</w:t>
      </w:r>
      <w:r>
        <w:rPr>
          <w:rFonts w:hint="eastAsia"/>
          <w:lang w:val="zh-CN" w:eastAsia="zh-CN"/>
        </w:rPr>
        <w:t>与</w:t>
      </w:r>
      <w:r>
        <w:rPr>
          <w:lang w:val="zh-CN" w:eastAsia="zh-CN"/>
        </w:rPr>
        <w:t>作用，提供有关标准进程、参与和</w:t>
      </w:r>
      <w:r>
        <w:rPr>
          <w:rFonts w:hint="eastAsia"/>
          <w:lang w:val="zh-CN" w:eastAsia="zh-CN"/>
        </w:rPr>
        <w:t>如何为此做出</w:t>
      </w:r>
      <w:r>
        <w:rPr>
          <w:lang w:val="zh-CN" w:eastAsia="zh-CN"/>
        </w:rPr>
        <w:t>贡献的实践培训，</w:t>
      </w:r>
      <w:r>
        <w:rPr>
          <w:rFonts w:hint="eastAsia"/>
          <w:lang w:val="zh-CN" w:eastAsia="zh-CN"/>
        </w:rPr>
        <w:t>其原因在于</w:t>
      </w:r>
      <w:r>
        <w:rPr>
          <w:lang w:val="zh-CN" w:eastAsia="zh-CN"/>
        </w:rPr>
        <w:t>标准在将气候行动转化为</w:t>
      </w:r>
      <w:proofErr w:type="gramStart"/>
      <w:r>
        <w:rPr>
          <w:lang w:val="zh-CN" w:eastAsia="zh-CN"/>
        </w:rPr>
        <w:t>切实成果</w:t>
      </w:r>
      <w:proofErr w:type="gramEnd"/>
      <w:r>
        <w:rPr>
          <w:lang w:val="zh-CN" w:eastAsia="zh-CN"/>
        </w:rPr>
        <w:t>方面发挥着至关重要的作用。来自政府、行业、学术界和民间</w:t>
      </w:r>
      <w:r>
        <w:rPr>
          <w:rFonts w:hint="eastAsia"/>
          <w:lang w:val="zh-CN" w:eastAsia="zh-CN"/>
        </w:rPr>
        <w:t>团体</w:t>
      </w:r>
      <w:r>
        <w:rPr>
          <w:lang w:val="zh-CN" w:eastAsia="zh-CN"/>
        </w:rPr>
        <w:t>的利益</w:t>
      </w:r>
      <w:r>
        <w:rPr>
          <w:rFonts w:hint="eastAsia"/>
          <w:lang w:val="zh-CN" w:eastAsia="zh-CN"/>
        </w:rPr>
        <w:t>攸关方</w:t>
      </w:r>
      <w:r>
        <w:rPr>
          <w:lang w:val="zh-CN" w:eastAsia="zh-CN"/>
        </w:rPr>
        <w:t>将通过互动会议、演讲和讨论汇聚一堂，交流思想，分享最佳实践，确定推进可持续发展举措的可行战略。</w:t>
      </w:r>
    </w:p>
    <w:p w14:paraId="36DCC2FF" w14:textId="1A3A1099" w:rsidR="000B31BF" w:rsidRPr="00D642FB" w:rsidRDefault="000B31BF" w:rsidP="000B31BF">
      <w:pPr>
        <w:rPr>
          <w:rFonts w:cs="Calibri"/>
          <w:i/>
          <w:iCs/>
          <w:sz w:val="22"/>
          <w:szCs w:val="22"/>
          <w:lang w:eastAsia="zh-CN"/>
        </w:rPr>
      </w:pPr>
      <w:r>
        <w:rPr>
          <w:lang w:val="zh-CN" w:eastAsia="zh-CN"/>
        </w:rPr>
        <w:t>3</w:t>
      </w:r>
      <w:r>
        <w:rPr>
          <w:lang w:val="zh-CN" w:eastAsia="zh-CN"/>
        </w:rPr>
        <w:tab/>
      </w:r>
      <w:r>
        <w:rPr>
          <w:lang w:val="zh-CN" w:eastAsia="zh-CN"/>
        </w:rPr>
        <w:t>本次专题研讨会将与</w:t>
      </w:r>
      <w:r>
        <w:rPr>
          <w:lang w:val="zh-CN" w:eastAsia="zh-CN"/>
        </w:rPr>
        <w:t>2024</w:t>
      </w:r>
      <w:r>
        <w:rPr>
          <w:lang w:val="zh-CN" w:eastAsia="zh-CN"/>
        </w:rPr>
        <w:t>年</w:t>
      </w:r>
      <w:r>
        <w:rPr>
          <w:lang w:val="zh-CN" w:eastAsia="zh-CN"/>
        </w:rPr>
        <w:t>5</w:t>
      </w:r>
      <w:r>
        <w:rPr>
          <w:lang w:val="zh-CN" w:eastAsia="zh-CN"/>
        </w:rPr>
        <w:t>月</w:t>
      </w:r>
      <w:r>
        <w:rPr>
          <w:lang w:val="zh-CN" w:eastAsia="zh-CN"/>
        </w:rPr>
        <w:t>7-9</w:t>
      </w:r>
      <w:r>
        <w:rPr>
          <w:lang w:val="zh-CN" w:eastAsia="zh-CN"/>
        </w:rPr>
        <w:t>日在同一地点举行的</w:t>
      </w:r>
      <w:hyperlink r:id="rId8" w:history="1">
        <w:r w:rsidRPr="005C4F05">
          <w:rPr>
            <w:rStyle w:val="Hyperlink"/>
            <w:lang w:val="zh-CN" w:eastAsia="zh-CN"/>
          </w:rPr>
          <w:t>ITU-T</w:t>
        </w:r>
        <w:r w:rsidRPr="005C4F05">
          <w:rPr>
            <w:rStyle w:val="Hyperlink"/>
            <w:lang w:val="zh-CN" w:eastAsia="zh-CN"/>
          </w:rPr>
          <w:t>第</w:t>
        </w:r>
        <w:r w:rsidRPr="005C4F05">
          <w:rPr>
            <w:rStyle w:val="Hyperlink"/>
            <w:lang w:val="zh-CN" w:eastAsia="zh-CN"/>
          </w:rPr>
          <w:t>5</w:t>
        </w:r>
        <w:r w:rsidRPr="005C4F05">
          <w:rPr>
            <w:rStyle w:val="Hyperlink"/>
            <w:lang w:val="zh-CN" w:eastAsia="zh-CN"/>
          </w:rPr>
          <w:t>研究组非洲区域组</w:t>
        </w:r>
      </w:hyperlink>
      <w:r>
        <w:rPr>
          <w:lang w:val="zh-CN" w:eastAsia="zh-CN"/>
        </w:rPr>
        <w:t>会议同时同地举行。专题研讨会将用英文进行并提供法文同传。</w:t>
      </w:r>
      <w:r>
        <w:rPr>
          <w:rFonts w:hint="eastAsia"/>
          <w:lang w:val="zh-CN" w:eastAsia="zh-CN"/>
        </w:rPr>
        <w:t>此研讨会可</w:t>
      </w:r>
      <w:r>
        <w:rPr>
          <w:lang w:val="zh-CN" w:eastAsia="zh-CN"/>
        </w:rPr>
        <w:t>远程与会。</w:t>
      </w:r>
    </w:p>
    <w:p w14:paraId="4E317618" w14:textId="77777777" w:rsidR="000B31BF" w:rsidRPr="00D642FB" w:rsidRDefault="000B31BF" w:rsidP="000B31BF">
      <w:pPr>
        <w:rPr>
          <w:rFonts w:cs="Calibri"/>
          <w:sz w:val="22"/>
          <w:szCs w:val="22"/>
          <w:lang w:eastAsia="zh-CN"/>
        </w:rPr>
      </w:pPr>
      <w:r>
        <w:rPr>
          <w:lang w:val="zh-CN" w:eastAsia="zh-CN"/>
        </w:rPr>
        <w:t>4</w:t>
      </w:r>
      <w:r>
        <w:rPr>
          <w:lang w:val="zh-CN" w:eastAsia="zh-CN"/>
        </w:rPr>
        <w:tab/>
      </w:r>
      <w:r>
        <w:rPr>
          <w:rFonts w:hint="eastAsia"/>
          <w:lang w:val="zh-CN" w:eastAsia="zh-CN"/>
        </w:rPr>
        <w:t>此</w:t>
      </w:r>
      <w:r>
        <w:rPr>
          <w:lang w:val="zh-CN" w:eastAsia="zh-CN"/>
        </w:rPr>
        <w:t>专题研讨会旨在实现以下主要目标：</w:t>
      </w:r>
    </w:p>
    <w:p w14:paraId="5A8C5F2B" w14:textId="7C041E69" w:rsidR="000B31BF" w:rsidRPr="00D642FB" w:rsidRDefault="000B31BF" w:rsidP="000B31BF">
      <w:pPr>
        <w:tabs>
          <w:tab w:val="clear" w:pos="794"/>
          <w:tab w:val="clear" w:pos="1191"/>
          <w:tab w:val="left" w:pos="1134"/>
        </w:tabs>
        <w:spacing w:before="0" w:after="60"/>
        <w:ind w:left="425" w:firstLine="284"/>
        <w:rPr>
          <w:rFonts w:cs="Calibri"/>
          <w:sz w:val="22"/>
          <w:szCs w:val="22"/>
          <w:lang w:eastAsia="zh-CN"/>
        </w:rPr>
      </w:pPr>
      <w:r>
        <w:rPr>
          <w:rFonts w:hint="eastAsia"/>
          <w:lang w:val="zh-CN" w:eastAsia="zh-CN"/>
        </w:rPr>
        <w:t>-</w:t>
      </w:r>
      <w:r>
        <w:rPr>
          <w:lang w:val="zh-CN" w:eastAsia="zh-CN"/>
        </w:rPr>
        <w:tab/>
      </w:r>
      <w:r>
        <w:rPr>
          <w:lang w:val="zh-CN" w:eastAsia="zh-CN"/>
        </w:rPr>
        <w:t>提供有关气候行动必要性</w:t>
      </w:r>
      <w:r>
        <w:rPr>
          <w:rFonts w:hint="eastAsia"/>
          <w:lang w:val="zh-CN" w:eastAsia="zh-CN"/>
        </w:rPr>
        <w:t>及</w:t>
      </w:r>
      <w:r>
        <w:rPr>
          <w:lang w:val="zh-CN" w:eastAsia="zh-CN"/>
        </w:rPr>
        <w:t>可用标准的信息。</w:t>
      </w:r>
    </w:p>
    <w:p w14:paraId="562BD667" w14:textId="450F9815" w:rsidR="000B31BF" w:rsidRPr="00D642FB" w:rsidRDefault="000B31BF" w:rsidP="000B31BF">
      <w:pPr>
        <w:tabs>
          <w:tab w:val="clear" w:pos="794"/>
          <w:tab w:val="clear" w:pos="1191"/>
          <w:tab w:val="left" w:pos="1134"/>
        </w:tabs>
        <w:spacing w:before="0" w:after="60"/>
        <w:ind w:left="425" w:firstLine="284"/>
        <w:rPr>
          <w:rFonts w:cs="Calibri"/>
          <w:sz w:val="22"/>
          <w:szCs w:val="22"/>
          <w:lang w:eastAsia="zh-CN"/>
        </w:rPr>
      </w:pPr>
      <w:r>
        <w:rPr>
          <w:lang w:eastAsia="zh-CN"/>
        </w:rPr>
        <w:t>-</w:t>
      </w:r>
      <w:r>
        <w:rPr>
          <w:lang w:eastAsia="zh-CN"/>
        </w:rPr>
        <w:tab/>
      </w:r>
      <w:r>
        <w:rPr>
          <w:lang w:val="zh-CN" w:eastAsia="zh-CN"/>
        </w:rPr>
        <w:t>强调标准化数据的重要性。</w:t>
      </w:r>
    </w:p>
    <w:p w14:paraId="6ACD08D4" w14:textId="024A33E0" w:rsidR="000B31BF" w:rsidRPr="00D642FB" w:rsidRDefault="000B31BF" w:rsidP="000B31BF">
      <w:pPr>
        <w:tabs>
          <w:tab w:val="clear" w:pos="794"/>
          <w:tab w:val="clear" w:pos="1191"/>
          <w:tab w:val="left" w:pos="1134"/>
        </w:tabs>
        <w:spacing w:before="0" w:after="60"/>
        <w:ind w:left="425" w:firstLine="284"/>
        <w:rPr>
          <w:rFonts w:cs="Calibri"/>
          <w:sz w:val="22"/>
          <w:szCs w:val="22"/>
          <w:lang w:eastAsia="zh-CN"/>
        </w:rPr>
      </w:pPr>
      <w:r>
        <w:rPr>
          <w:lang w:eastAsia="zh-CN"/>
        </w:rPr>
        <w:t>-</w:t>
      </w:r>
      <w:r>
        <w:rPr>
          <w:lang w:eastAsia="zh-CN"/>
        </w:rPr>
        <w:tab/>
      </w:r>
      <w:r>
        <w:rPr>
          <w:rFonts w:hint="eastAsia"/>
          <w:lang w:eastAsia="zh-CN"/>
        </w:rPr>
        <w:t>制定</w:t>
      </w:r>
      <w:r>
        <w:rPr>
          <w:lang w:val="zh-CN" w:eastAsia="zh-CN"/>
        </w:rPr>
        <w:t>促进非洲国家之间</w:t>
      </w:r>
      <w:r>
        <w:rPr>
          <w:rFonts w:hint="eastAsia"/>
          <w:lang w:val="zh-CN" w:eastAsia="zh-CN"/>
        </w:rPr>
        <w:t>进行</w:t>
      </w:r>
      <w:r>
        <w:rPr>
          <w:lang w:val="zh-CN" w:eastAsia="zh-CN"/>
        </w:rPr>
        <w:t>交流最佳做法。</w:t>
      </w:r>
    </w:p>
    <w:p w14:paraId="56D89DEE" w14:textId="73B4CE78" w:rsidR="000B31BF" w:rsidRPr="00D642FB" w:rsidRDefault="000B31BF" w:rsidP="000B31BF">
      <w:pPr>
        <w:tabs>
          <w:tab w:val="clear" w:pos="794"/>
          <w:tab w:val="clear" w:pos="1191"/>
          <w:tab w:val="left" w:pos="1134"/>
        </w:tabs>
        <w:spacing w:before="0" w:after="60"/>
        <w:ind w:left="425" w:firstLine="284"/>
        <w:rPr>
          <w:rFonts w:cs="Calibri"/>
          <w:sz w:val="22"/>
          <w:szCs w:val="22"/>
          <w:lang w:eastAsia="zh-CN"/>
        </w:rPr>
      </w:pPr>
      <w:r>
        <w:rPr>
          <w:lang w:eastAsia="zh-CN"/>
        </w:rPr>
        <w:t>-</w:t>
      </w:r>
      <w:r>
        <w:rPr>
          <w:lang w:eastAsia="zh-CN"/>
        </w:rPr>
        <w:tab/>
      </w:r>
      <w:r>
        <w:rPr>
          <w:lang w:val="zh-CN" w:eastAsia="zh-CN"/>
        </w:rPr>
        <w:t>作为协作、共享知识和构建伙伴关系的平台。</w:t>
      </w:r>
    </w:p>
    <w:p w14:paraId="4F2FA979" w14:textId="7A61D757" w:rsidR="000B31BF" w:rsidRPr="00D642FB" w:rsidRDefault="000B31BF" w:rsidP="000B31BF">
      <w:pPr>
        <w:tabs>
          <w:tab w:val="clear" w:pos="794"/>
          <w:tab w:val="clear" w:pos="1191"/>
          <w:tab w:val="left" w:pos="1134"/>
        </w:tabs>
        <w:spacing w:before="0" w:after="60"/>
        <w:ind w:left="425" w:firstLine="284"/>
        <w:rPr>
          <w:rFonts w:cs="Calibri"/>
          <w:sz w:val="22"/>
          <w:szCs w:val="22"/>
          <w:lang w:eastAsia="zh-CN"/>
        </w:rPr>
      </w:pPr>
      <w:r>
        <w:rPr>
          <w:lang w:eastAsia="zh-CN"/>
        </w:rPr>
        <w:t>-</w:t>
      </w:r>
      <w:r>
        <w:rPr>
          <w:lang w:eastAsia="zh-CN"/>
        </w:rPr>
        <w:tab/>
      </w:r>
      <w:r>
        <w:rPr>
          <w:lang w:val="zh-CN" w:eastAsia="zh-CN"/>
        </w:rPr>
        <w:t>加快非洲城市向可持续循环经济转型。</w:t>
      </w:r>
    </w:p>
    <w:p w14:paraId="72856404" w14:textId="168F1E38" w:rsidR="000B31BF" w:rsidRPr="00D642FB" w:rsidRDefault="000B31BF" w:rsidP="000B31BF">
      <w:pPr>
        <w:tabs>
          <w:tab w:val="clear" w:pos="794"/>
          <w:tab w:val="clear" w:pos="1191"/>
          <w:tab w:val="left" w:pos="1134"/>
        </w:tabs>
        <w:spacing w:before="0" w:after="60"/>
        <w:ind w:left="425" w:firstLine="284"/>
        <w:rPr>
          <w:rFonts w:cs="Calibri"/>
          <w:sz w:val="22"/>
          <w:szCs w:val="22"/>
          <w:lang w:eastAsia="zh-CN"/>
        </w:rPr>
      </w:pPr>
      <w:r>
        <w:rPr>
          <w:lang w:eastAsia="zh-CN"/>
        </w:rPr>
        <w:t>-</w:t>
      </w:r>
      <w:r>
        <w:rPr>
          <w:lang w:eastAsia="zh-CN"/>
        </w:rPr>
        <w:tab/>
      </w:r>
      <w:r>
        <w:rPr>
          <w:lang w:val="zh-CN" w:eastAsia="zh-CN"/>
        </w:rPr>
        <w:t>汇聚不同利益攸关方，培育创新型解决方案。</w:t>
      </w:r>
    </w:p>
    <w:p w14:paraId="025ADE39" w14:textId="0B86F655" w:rsidR="000B31BF" w:rsidRPr="00D642FB" w:rsidRDefault="000B31BF" w:rsidP="000B31BF">
      <w:pPr>
        <w:tabs>
          <w:tab w:val="clear" w:pos="794"/>
          <w:tab w:val="clear" w:pos="1191"/>
          <w:tab w:val="left" w:pos="1134"/>
        </w:tabs>
        <w:spacing w:before="0" w:after="60"/>
        <w:ind w:left="1134" w:hanging="425"/>
        <w:rPr>
          <w:rFonts w:cs="Calibri"/>
          <w:sz w:val="22"/>
          <w:szCs w:val="22"/>
          <w:lang w:eastAsia="zh-CN"/>
        </w:rPr>
      </w:pPr>
      <w:r>
        <w:rPr>
          <w:lang w:eastAsia="zh-CN"/>
        </w:rPr>
        <w:lastRenderedPageBreak/>
        <w:t>-</w:t>
      </w:r>
      <w:r>
        <w:rPr>
          <w:lang w:eastAsia="zh-CN"/>
        </w:rPr>
        <w:tab/>
      </w:r>
      <w:r>
        <w:rPr>
          <w:lang w:val="zh-CN" w:eastAsia="zh-CN"/>
        </w:rPr>
        <w:t>为采取有助于保护环境</w:t>
      </w:r>
      <w:r>
        <w:rPr>
          <w:rFonts w:hint="eastAsia"/>
          <w:lang w:val="zh-CN" w:eastAsia="zh-CN"/>
        </w:rPr>
        <w:t>、促进</w:t>
      </w:r>
      <w:r>
        <w:rPr>
          <w:lang w:val="zh-CN" w:eastAsia="zh-CN"/>
        </w:rPr>
        <w:t>经济增长以及该地区社会发展的切实行动铺平道路。</w:t>
      </w:r>
    </w:p>
    <w:p w14:paraId="730BF26B" w14:textId="53A4BFE5" w:rsidR="000B31BF" w:rsidRPr="00D642FB" w:rsidRDefault="000B31BF" w:rsidP="000B31BF">
      <w:pPr>
        <w:tabs>
          <w:tab w:val="clear" w:pos="794"/>
          <w:tab w:val="clear" w:pos="1191"/>
          <w:tab w:val="left" w:pos="1134"/>
        </w:tabs>
        <w:spacing w:before="0"/>
        <w:ind w:left="426" w:firstLine="284"/>
        <w:rPr>
          <w:rFonts w:cs="Calibri"/>
          <w:sz w:val="22"/>
          <w:szCs w:val="22"/>
          <w:lang w:eastAsia="zh-CN"/>
        </w:rPr>
      </w:pPr>
      <w:r>
        <w:rPr>
          <w:lang w:eastAsia="zh-CN"/>
        </w:rPr>
        <w:t>-</w:t>
      </w:r>
      <w:r>
        <w:rPr>
          <w:lang w:eastAsia="zh-CN"/>
        </w:rPr>
        <w:tab/>
      </w:r>
      <w:r>
        <w:rPr>
          <w:lang w:val="zh-CN" w:eastAsia="zh-CN"/>
        </w:rPr>
        <w:t>提供有关缩小标准化工作差距的实践培训。</w:t>
      </w:r>
    </w:p>
    <w:p w14:paraId="2C5FD82E" w14:textId="77777777" w:rsidR="000B31BF" w:rsidRPr="00D642FB" w:rsidRDefault="000B31BF" w:rsidP="000B31BF">
      <w:pPr>
        <w:rPr>
          <w:rFonts w:cs="Calibri"/>
          <w:sz w:val="22"/>
          <w:szCs w:val="22"/>
          <w:lang w:eastAsia="zh-CN"/>
        </w:rPr>
      </w:pPr>
      <w:r>
        <w:rPr>
          <w:lang w:val="zh-CN" w:eastAsia="zh-CN"/>
        </w:rPr>
        <w:t>5</w:t>
      </w:r>
      <w:r>
        <w:rPr>
          <w:lang w:val="zh-CN" w:eastAsia="zh-CN"/>
        </w:rPr>
        <w:tab/>
      </w:r>
      <w:r>
        <w:rPr>
          <w:lang w:val="zh-CN" w:eastAsia="zh-CN"/>
        </w:rPr>
        <w:t>国际电联成员国、部门成员、部门准成员和学术机构以及愿参加此工作的来自国际电联成员国的任何</w:t>
      </w:r>
      <w:proofErr w:type="gramStart"/>
      <w:r>
        <w:rPr>
          <w:lang w:val="zh-CN" w:eastAsia="zh-CN"/>
        </w:rPr>
        <w:t>个</w:t>
      </w:r>
      <w:proofErr w:type="gramEnd"/>
      <w:r>
        <w:rPr>
          <w:lang w:val="zh-CN" w:eastAsia="zh-CN"/>
        </w:rPr>
        <w:t>人均可参加专题研讨会。这些个人亦包括身为国际、区域和国家组织成员的个人。参加不收取任何费用。</w:t>
      </w:r>
    </w:p>
    <w:p w14:paraId="73F51714" w14:textId="264DEA4F" w:rsidR="000B31BF" w:rsidRPr="00D642FB" w:rsidRDefault="000B31BF" w:rsidP="000B31BF">
      <w:pPr>
        <w:rPr>
          <w:rFonts w:cs="Calibri"/>
          <w:sz w:val="22"/>
          <w:szCs w:val="22"/>
          <w:lang w:eastAsia="zh-CN"/>
        </w:rPr>
      </w:pPr>
      <w:r w:rsidRPr="000B31BF">
        <w:rPr>
          <w:lang w:eastAsia="zh-CN"/>
        </w:rPr>
        <w:t>6</w:t>
      </w:r>
      <w:r w:rsidRPr="000B31BF">
        <w:rPr>
          <w:lang w:eastAsia="zh-CN"/>
        </w:rPr>
        <w:tab/>
      </w:r>
      <w:r>
        <w:rPr>
          <w:lang w:val="zh-CN" w:eastAsia="zh-CN"/>
        </w:rPr>
        <w:t>所有与活动相关的信息</w:t>
      </w:r>
      <w:r w:rsidRPr="000B31BF">
        <w:rPr>
          <w:lang w:eastAsia="zh-CN"/>
        </w:rPr>
        <w:t>（</w:t>
      </w:r>
      <w:r>
        <w:rPr>
          <w:lang w:val="zh-CN" w:eastAsia="zh-CN"/>
        </w:rPr>
        <w:t>如日程草案、发言人名单、注册链接、远程连接详情</w:t>
      </w:r>
      <w:r w:rsidRPr="000B31BF">
        <w:rPr>
          <w:lang w:eastAsia="zh-CN"/>
        </w:rPr>
        <w:t>）</w:t>
      </w:r>
      <w:r>
        <w:rPr>
          <w:lang w:val="zh-CN" w:eastAsia="zh-CN"/>
        </w:rPr>
        <w:t>均可在活动网站</w:t>
      </w:r>
      <w:hyperlink r:id="rId9" w:history="1">
        <w:r w:rsidRPr="00D90D39">
          <w:rPr>
            <w:rStyle w:val="Hyperlink"/>
            <w:rFonts w:cs="Calibri"/>
            <w:sz w:val="22"/>
            <w:szCs w:val="22"/>
            <w:lang w:eastAsia="zh-CN"/>
          </w:rPr>
          <w:t>https://www.itu.int/en/ITU-T/climatechange/symposia/202405/Pages/default.aspx</w:t>
        </w:r>
      </w:hyperlink>
      <w:r>
        <w:rPr>
          <w:lang w:val="zh-CN" w:eastAsia="zh-CN"/>
        </w:rPr>
        <w:t>提供。该网站将定期更新，增添或修改信息。鼓励与会者定期查看网站以获取最新信息。</w:t>
      </w:r>
    </w:p>
    <w:p w14:paraId="734FC0A6" w14:textId="1CA8C72E" w:rsidR="000B31BF" w:rsidRPr="00D70EC1" w:rsidRDefault="000B31BF" w:rsidP="00A1396D">
      <w:pPr>
        <w:rPr>
          <w:rFonts w:cs="Calibri"/>
          <w:b/>
          <w:bCs/>
          <w:sz w:val="22"/>
          <w:szCs w:val="22"/>
          <w:lang w:eastAsia="zh-CN"/>
        </w:rPr>
      </w:pPr>
      <w:r>
        <w:rPr>
          <w:lang w:val="zh-CN" w:eastAsia="zh-CN"/>
        </w:rPr>
        <w:t>7</w:t>
      </w:r>
      <w:r>
        <w:rPr>
          <w:lang w:val="zh-CN" w:eastAsia="zh-CN"/>
        </w:rPr>
        <w:tab/>
      </w:r>
      <w:r>
        <w:rPr>
          <w:lang w:val="zh-CN" w:eastAsia="zh-CN"/>
        </w:rPr>
        <w:t>为便于国际电联就专题研讨会的组织做出必要安排，希望您能通过</w:t>
      </w:r>
      <w:hyperlink r:id="rId10" w:history="1">
        <w:r w:rsidRPr="005C4F05">
          <w:rPr>
            <w:rStyle w:val="Hyperlink"/>
            <w:lang w:val="zh-CN" w:eastAsia="zh-CN"/>
          </w:rPr>
          <w:t>在线表格</w:t>
        </w:r>
      </w:hyperlink>
      <w:r>
        <w:rPr>
          <w:lang w:val="zh-CN" w:eastAsia="zh-CN"/>
        </w:rPr>
        <w:t>尽早、但</w:t>
      </w:r>
      <w:r w:rsidRPr="002C7C3D">
        <w:rPr>
          <w:b/>
          <w:bCs/>
          <w:lang w:val="zh-CN" w:eastAsia="zh-CN"/>
        </w:rPr>
        <w:t>不迟于</w:t>
      </w:r>
      <w:r w:rsidRPr="002C7C3D">
        <w:rPr>
          <w:b/>
          <w:bCs/>
          <w:lang w:val="zh-CN" w:eastAsia="zh-CN"/>
        </w:rPr>
        <w:t>2024</w:t>
      </w:r>
      <w:r w:rsidRPr="002C7C3D">
        <w:rPr>
          <w:b/>
          <w:bCs/>
          <w:lang w:val="zh-CN" w:eastAsia="zh-CN"/>
        </w:rPr>
        <w:t>年</w:t>
      </w:r>
      <w:r w:rsidRPr="002C7C3D">
        <w:rPr>
          <w:b/>
          <w:bCs/>
          <w:lang w:val="zh-CN" w:eastAsia="zh-CN"/>
        </w:rPr>
        <w:t>4</w:t>
      </w:r>
      <w:r w:rsidRPr="002C7C3D">
        <w:rPr>
          <w:b/>
          <w:bCs/>
          <w:lang w:val="zh-CN" w:eastAsia="zh-CN"/>
        </w:rPr>
        <w:t>月</w:t>
      </w:r>
      <w:r w:rsidRPr="002C7C3D">
        <w:rPr>
          <w:b/>
          <w:bCs/>
          <w:lang w:val="zh-CN" w:eastAsia="zh-CN"/>
        </w:rPr>
        <w:t>30</w:t>
      </w:r>
      <w:r w:rsidRPr="002C7C3D">
        <w:rPr>
          <w:b/>
          <w:bCs/>
          <w:lang w:val="zh-CN" w:eastAsia="zh-CN"/>
        </w:rPr>
        <w:t>日</w:t>
      </w:r>
      <w:r>
        <w:rPr>
          <w:lang w:val="zh-CN" w:eastAsia="zh-CN"/>
        </w:rPr>
        <w:t>进行注册。</w:t>
      </w:r>
      <w:r w:rsidR="00A1396D">
        <w:rPr>
          <w:lang w:val="zh-CN" w:eastAsia="zh-CN"/>
        </w:rPr>
        <w:br/>
      </w:r>
      <w:r w:rsidRPr="00D70EC1">
        <w:rPr>
          <w:b/>
          <w:bCs/>
          <w:lang w:val="zh-CN" w:eastAsia="zh-CN"/>
        </w:rPr>
        <w:t>请注意，专题研讨会与会者必须进行预注册，且仅以</w:t>
      </w:r>
      <w:r w:rsidRPr="00D70EC1">
        <w:rPr>
          <w:rFonts w:ascii="STKaiti" w:eastAsia="STKaiti" w:hAnsi="STKaiti"/>
          <w:b/>
          <w:bCs/>
          <w:lang w:val="zh-CN" w:eastAsia="zh-CN"/>
        </w:rPr>
        <w:t>在线</w:t>
      </w:r>
      <w:r w:rsidRPr="00D70EC1">
        <w:rPr>
          <w:b/>
          <w:bCs/>
          <w:lang w:val="zh-CN" w:eastAsia="zh-CN"/>
        </w:rPr>
        <w:t>方式进行。</w:t>
      </w:r>
    </w:p>
    <w:p w14:paraId="559E9EEF" w14:textId="3957FC9A" w:rsidR="000B31BF" w:rsidRPr="00D642FB" w:rsidRDefault="000B31BF" w:rsidP="000B31BF">
      <w:pPr>
        <w:rPr>
          <w:rFonts w:cs="Calibri"/>
          <w:b/>
          <w:bCs/>
          <w:sz w:val="22"/>
          <w:szCs w:val="22"/>
          <w:lang w:eastAsia="zh-CN"/>
        </w:rPr>
      </w:pPr>
      <w:r>
        <w:rPr>
          <w:lang w:val="zh-CN" w:eastAsia="zh-CN"/>
        </w:rPr>
        <w:t>8</w:t>
      </w:r>
      <w:r>
        <w:rPr>
          <w:lang w:val="zh-CN" w:eastAsia="zh-CN"/>
        </w:rPr>
        <w:tab/>
      </w:r>
      <w:r>
        <w:rPr>
          <w:lang w:val="zh-CN" w:eastAsia="zh-CN"/>
        </w:rPr>
        <w:t>在此谨提醒您，一些国家的公民需要获得签证才能入境布基纳法索并逗留。签证必须向驻贵国的布基纳法索代表机构（使馆或领事馆）申请和领取。如贵国没有此类机构，则请向</w:t>
      </w:r>
      <w:proofErr w:type="gramStart"/>
      <w:r>
        <w:rPr>
          <w:lang w:val="zh-CN" w:eastAsia="zh-CN"/>
        </w:rPr>
        <w:t>驻离出发国</w:t>
      </w:r>
      <w:proofErr w:type="gramEnd"/>
      <w:r>
        <w:rPr>
          <w:lang w:val="zh-CN" w:eastAsia="zh-CN"/>
        </w:rPr>
        <w:t>最近的国家的此类机构申请并领取。签证支持请求应直接向会议主办方提出。有关签证支持和其他相关后勤细节的进一步说明</w:t>
      </w:r>
      <w:proofErr w:type="gramStart"/>
      <w:r>
        <w:rPr>
          <w:lang w:val="zh-CN" w:eastAsia="zh-CN"/>
        </w:rPr>
        <w:t>见活动</w:t>
      </w:r>
      <w:proofErr w:type="gramEnd"/>
      <w:r>
        <w:rPr>
          <w:lang w:val="zh-CN" w:eastAsia="zh-CN"/>
        </w:rPr>
        <w:t>网站上的</w:t>
      </w:r>
      <w:r>
        <w:rPr>
          <w:rFonts w:hint="eastAsia"/>
          <w:b/>
          <w:bCs/>
          <w:lang w:val="zh-CN" w:eastAsia="zh-CN"/>
        </w:rPr>
        <w:t>“</w:t>
      </w:r>
      <w:r w:rsidRPr="00D70EC1">
        <w:rPr>
          <w:b/>
          <w:bCs/>
          <w:lang w:val="zh-CN" w:eastAsia="zh-CN"/>
        </w:rPr>
        <w:t>实用信息</w:t>
      </w:r>
      <w:r>
        <w:rPr>
          <w:rFonts w:hint="eastAsia"/>
          <w:b/>
          <w:bCs/>
          <w:lang w:val="zh-CN" w:eastAsia="zh-CN"/>
        </w:rPr>
        <w:t>”</w:t>
      </w:r>
      <w:r>
        <w:rPr>
          <w:lang w:val="zh-CN" w:eastAsia="zh-CN"/>
        </w:rPr>
        <w:t>文件。</w:t>
      </w:r>
    </w:p>
    <w:p w14:paraId="47B728B9" w14:textId="77777777" w:rsidR="00720F32" w:rsidRDefault="00720F32" w:rsidP="00A1396D">
      <w:pPr>
        <w:tabs>
          <w:tab w:val="left" w:pos="1418"/>
          <w:tab w:val="left" w:pos="1702"/>
          <w:tab w:val="left" w:pos="2160"/>
        </w:tabs>
        <w:rPr>
          <w:lang w:eastAsia="zh-CN"/>
        </w:rPr>
      </w:pPr>
      <w:r>
        <w:rPr>
          <w:rFonts w:hint="eastAsia"/>
          <w:lang w:eastAsia="zh-CN"/>
        </w:rPr>
        <w:t>顺致敬意！</w:t>
      </w:r>
    </w:p>
    <w:p w14:paraId="58A20DC8"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46586EA6" w14:textId="434D8380" w:rsidR="00720F32" w:rsidRDefault="00720F32" w:rsidP="0045472F">
      <w:pPr>
        <w:tabs>
          <w:tab w:val="left" w:pos="1418"/>
          <w:tab w:val="left" w:pos="1702"/>
          <w:tab w:val="left" w:pos="2160"/>
        </w:tabs>
        <w:spacing w:before="480" w:after="20"/>
        <w:ind w:right="91"/>
        <w:rPr>
          <w:rFonts w:ascii="SimSun" w:hAnsi="SimSun"/>
          <w:lang w:eastAsia="zh-CN"/>
        </w:rPr>
      </w:pPr>
      <w:r>
        <w:rPr>
          <w:rFonts w:hint="eastAsia"/>
          <w:lang w:eastAsia="zh-CN"/>
        </w:rPr>
        <w:t>电信标准化局主任</w:t>
      </w:r>
      <w:r w:rsidR="0045472F">
        <w:rPr>
          <w:lang w:eastAsia="zh-CN"/>
        </w:rPr>
        <w:br/>
      </w:r>
      <w:r w:rsidR="006E14B5">
        <w:rPr>
          <w:rFonts w:ascii="Calibri" w:hAnsi="Calibri" w:cs="Calibri" w:hint="eastAsia"/>
          <w:sz w:val="22"/>
          <w:szCs w:val="22"/>
          <w:lang w:eastAsia="zh-CN"/>
        </w:rPr>
        <w:t>尾上诚藏</w:t>
      </w:r>
    </w:p>
    <w:sectPr w:rsidR="00720F32">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46CD" w14:textId="77777777" w:rsidR="000B31BF" w:rsidRDefault="000B31BF">
      <w:r>
        <w:separator/>
      </w:r>
    </w:p>
  </w:endnote>
  <w:endnote w:type="continuationSeparator" w:id="0">
    <w:p w14:paraId="07EE691F" w14:textId="77777777" w:rsidR="000B31BF" w:rsidRDefault="000B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549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8A01" w14:textId="77777777" w:rsidR="000B31BF" w:rsidRDefault="000B31BF">
      <w:r>
        <w:separator/>
      </w:r>
    </w:p>
  </w:footnote>
  <w:footnote w:type="continuationSeparator" w:id="0">
    <w:p w14:paraId="08E04964" w14:textId="77777777" w:rsidR="000B31BF" w:rsidRDefault="000B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4E8F" w14:textId="77777777" w:rsidR="00841612" w:rsidRPr="000C479B" w:rsidRDefault="002D2024" w:rsidP="00590119">
    <w:pPr>
      <w:pStyle w:val="Header"/>
      <w:rPr>
        <w:sz w:val="18"/>
        <w:szCs w:val="18"/>
      </w:rPr>
    </w:pPr>
    <w:r w:rsidRPr="000C479B">
      <w:rPr>
        <w:sz w:val="18"/>
        <w:szCs w:val="18"/>
      </w:rPr>
      <w:t xml:space="preserve">- </w:t>
    </w:r>
    <w:r w:rsidR="00841612" w:rsidRPr="000C479B">
      <w:rPr>
        <w:sz w:val="18"/>
        <w:szCs w:val="18"/>
      </w:rPr>
      <w:fldChar w:fldCharType="begin"/>
    </w:r>
    <w:r w:rsidR="00841612" w:rsidRPr="000C479B">
      <w:rPr>
        <w:sz w:val="18"/>
        <w:szCs w:val="18"/>
      </w:rPr>
      <w:instrText>PAGE</w:instrText>
    </w:r>
    <w:r w:rsidR="00841612" w:rsidRPr="000C479B">
      <w:rPr>
        <w:sz w:val="18"/>
        <w:szCs w:val="18"/>
      </w:rPr>
      <w:fldChar w:fldCharType="separate"/>
    </w:r>
    <w:r w:rsidR="00191798" w:rsidRPr="000C479B">
      <w:rPr>
        <w:noProof/>
        <w:sz w:val="18"/>
        <w:szCs w:val="18"/>
      </w:rPr>
      <w:t>2</w:t>
    </w:r>
    <w:r w:rsidR="00841612" w:rsidRPr="000C479B">
      <w:rPr>
        <w:sz w:val="18"/>
        <w:szCs w:val="18"/>
      </w:rPr>
      <w:fldChar w:fldCharType="end"/>
    </w:r>
    <w:r w:rsidRPr="000C479B">
      <w:rPr>
        <w:sz w:val="18"/>
        <w:szCs w:val="18"/>
      </w:rPr>
      <w:t xml:space="preserve"> -</w:t>
    </w:r>
  </w:p>
  <w:p w14:paraId="2CA24097" w14:textId="77777777" w:rsidR="000C479B" w:rsidRDefault="000C479B" w:rsidP="000C479B">
    <w:pPr>
      <w:pStyle w:val="Header"/>
    </w:pPr>
    <w:r w:rsidRPr="000C479B">
      <w:rPr>
        <w:rFonts w:asciiTheme="minorEastAsia" w:eastAsiaTheme="minorEastAsia" w:hAnsiTheme="minorEastAsia" w:hint="eastAsia"/>
        <w:sz w:val="18"/>
        <w:szCs w:val="18"/>
      </w:rPr>
      <w:t>第</w:t>
    </w:r>
    <w:r w:rsidRPr="000C479B">
      <w:rPr>
        <w:sz w:val="18"/>
        <w:szCs w:val="18"/>
      </w:rPr>
      <w:t>198</w:t>
    </w:r>
    <w:proofErr w:type="spellStart"/>
    <w:r w:rsidRPr="000C479B">
      <w:rPr>
        <w:rFonts w:asciiTheme="minorEastAsia" w:eastAsiaTheme="minorEastAsia" w:hAnsiTheme="minorEastAsia" w:hint="eastAsia"/>
        <w:sz w:val="18"/>
        <w:szCs w:val="18"/>
      </w:rPr>
      <w:t>号通函</w:t>
    </w:r>
    <w:proofErr w:type="spellEnd"/>
  </w:p>
  <w:p w14:paraId="0C40CA6C" w14:textId="77777777" w:rsidR="000C479B" w:rsidRPr="002D2024" w:rsidRDefault="000C479B" w:rsidP="00590119">
    <w:pPr>
      <w:pStyle w:val="Header"/>
      <w:rPr>
        <w:sz w:val="18"/>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BF"/>
    <w:rsid w:val="00027EE3"/>
    <w:rsid w:val="00081BA5"/>
    <w:rsid w:val="00090E72"/>
    <w:rsid w:val="00094C0B"/>
    <w:rsid w:val="000A2484"/>
    <w:rsid w:val="000B31BF"/>
    <w:rsid w:val="000C479B"/>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5472F"/>
    <w:rsid w:val="00464015"/>
    <w:rsid w:val="00486359"/>
    <w:rsid w:val="004C241D"/>
    <w:rsid w:val="00590119"/>
    <w:rsid w:val="005C26FD"/>
    <w:rsid w:val="005C4F05"/>
    <w:rsid w:val="00624E27"/>
    <w:rsid w:val="00627AE8"/>
    <w:rsid w:val="0063445E"/>
    <w:rsid w:val="006B463C"/>
    <w:rsid w:val="006D22B1"/>
    <w:rsid w:val="006D42C6"/>
    <w:rsid w:val="006E14B5"/>
    <w:rsid w:val="00720F32"/>
    <w:rsid w:val="007568DA"/>
    <w:rsid w:val="00783B9F"/>
    <w:rsid w:val="007B645F"/>
    <w:rsid w:val="00841612"/>
    <w:rsid w:val="0084436D"/>
    <w:rsid w:val="008B2BDA"/>
    <w:rsid w:val="009128F1"/>
    <w:rsid w:val="00930619"/>
    <w:rsid w:val="009424FC"/>
    <w:rsid w:val="00956D38"/>
    <w:rsid w:val="009727EA"/>
    <w:rsid w:val="00974486"/>
    <w:rsid w:val="009C2FF6"/>
    <w:rsid w:val="00A1090D"/>
    <w:rsid w:val="00A1396D"/>
    <w:rsid w:val="00A16AB0"/>
    <w:rsid w:val="00A55D76"/>
    <w:rsid w:val="00AA3151"/>
    <w:rsid w:val="00B01F79"/>
    <w:rsid w:val="00B56B75"/>
    <w:rsid w:val="00BB5392"/>
    <w:rsid w:val="00BC7AEE"/>
    <w:rsid w:val="00BE339D"/>
    <w:rsid w:val="00C03E87"/>
    <w:rsid w:val="00C6016A"/>
    <w:rsid w:val="00C7008A"/>
    <w:rsid w:val="00C916ED"/>
    <w:rsid w:val="00CC50C4"/>
    <w:rsid w:val="00D16F47"/>
    <w:rsid w:val="00D2501B"/>
    <w:rsid w:val="00D34F86"/>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9DF58"/>
  <w15:docId w15:val="{B1E8FAB2-0D4C-4FD4-A754-9E3011E4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0B31BF"/>
    <w:rPr>
      <w:color w:val="605E5C"/>
      <w:shd w:val="clear" w:color="auto" w:fill="E1DFDD"/>
    </w:rPr>
  </w:style>
  <w:style w:type="paragraph" w:customStyle="1" w:styleId="Tabletext">
    <w:name w:val="Table_text"/>
    <w:basedOn w:val="Normal"/>
    <w:rsid w:val="000B31B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HeaderChar">
    <w:name w:val="Header Char"/>
    <w:basedOn w:val="DefaultParagraphFont"/>
    <w:link w:val="Header"/>
    <w:rsid w:val="000C479B"/>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regionalgroups/sg05-afr/Pages/default.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tu.int/net4/CRM/xreg/web/Registration.aspx?Event=C-00013954" TargetMode="External"/><Relationship Id="rId4" Type="http://schemas.openxmlformats.org/officeDocument/2006/relationships/footnotes" Target="footnotes.xml"/><Relationship Id="rId9" Type="http://schemas.openxmlformats.org/officeDocument/2006/relationships/hyperlink" Target="https://www.itu.int/en/ITU-T/climatechange/symposia/202405/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2</Pages>
  <Words>1376</Words>
  <Characters>612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1985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Jianying</dc:creator>
  <cp:lastModifiedBy>Maguire, Mairéad</cp:lastModifiedBy>
  <cp:revision>2</cp:revision>
  <cp:lastPrinted>2011-04-11T13:21:00Z</cp:lastPrinted>
  <dcterms:created xsi:type="dcterms:W3CDTF">2024-04-16T08:26:00Z</dcterms:created>
  <dcterms:modified xsi:type="dcterms:W3CDTF">2024-04-16T08:26:00Z</dcterms:modified>
</cp:coreProperties>
</file>