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625143" w:rsidRPr="003958BE" w14:paraId="249D61B3" w14:textId="77777777" w:rsidTr="001D302E">
        <w:trPr>
          <w:trHeight w:val="1282"/>
        </w:trPr>
        <w:tc>
          <w:tcPr>
            <w:tcW w:w="1134" w:type="dxa"/>
            <w:shd w:val="clear" w:color="auto" w:fill="auto"/>
            <w:tcMar>
              <w:left w:w="0" w:type="dxa"/>
              <w:right w:w="0" w:type="dxa"/>
            </w:tcMar>
            <w:vAlign w:val="center"/>
          </w:tcPr>
          <w:p w14:paraId="4B49388F" w14:textId="77777777" w:rsidR="00625143" w:rsidRPr="00DC1855" w:rsidRDefault="00625143" w:rsidP="001D302E">
            <w:pPr>
              <w:pStyle w:val="Tabletext"/>
              <w:jc w:val="center"/>
              <w:rPr>
                <w:lang w:val="es-ES_tradnl"/>
              </w:rPr>
            </w:pPr>
            <w:r w:rsidRPr="00DC1855">
              <w:rPr>
                <w:noProof/>
                <w:lang w:val="es-ES_tradnl" w:eastAsia="zh-CN"/>
              </w:rPr>
              <w:drawing>
                <wp:inline distT="0" distB="0" distL="0" distR="0" wp14:anchorId="73B13377" wp14:editId="70106439">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30B9C7E" w14:textId="77777777" w:rsidR="002C71B2" w:rsidRPr="00DC1855" w:rsidRDefault="00F8692D">
            <w:pPr>
              <w:spacing w:before="0"/>
              <w:rPr>
                <w:rFonts w:cs="Times New Roman Bold"/>
                <w:b/>
                <w:bCs/>
                <w:smallCaps/>
                <w:sz w:val="26"/>
                <w:szCs w:val="26"/>
                <w:lang w:val="es-ES_tradnl"/>
              </w:rPr>
            </w:pPr>
            <w:r w:rsidRPr="00DC1855">
              <w:rPr>
                <w:rFonts w:cs="Times New Roman Bold"/>
                <w:b/>
                <w:bCs/>
                <w:smallCaps/>
                <w:sz w:val="36"/>
                <w:szCs w:val="36"/>
                <w:lang w:val="es-ES_tradnl"/>
              </w:rPr>
              <w:t>Unión Internacional de Telecomunicaciones</w:t>
            </w:r>
          </w:p>
          <w:p w14:paraId="7F7F5FBE" w14:textId="77777777" w:rsidR="002C71B2" w:rsidRPr="00DC1855" w:rsidRDefault="00F8692D">
            <w:pPr>
              <w:spacing w:before="0"/>
              <w:rPr>
                <w:rFonts w:ascii="Verdana" w:hAnsi="Verdana"/>
                <w:color w:val="FFFFFF"/>
                <w:sz w:val="26"/>
                <w:szCs w:val="26"/>
                <w:lang w:val="es-ES_tradnl"/>
              </w:rPr>
            </w:pPr>
            <w:r w:rsidRPr="00DC1855">
              <w:rPr>
                <w:rFonts w:cs="Times New Roman Bold"/>
                <w:b/>
                <w:bCs/>
                <w:iCs/>
                <w:smallCaps/>
                <w:sz w:val="28"/>
                <w:szCs w:val="28"/>
                <w:lang w:val="es-ES_tradnl"/>
              </w:rPr>
              <w:t>Oficina de Normalización de las Telecomunicaciones</w:t>
            </w:r>
          </w:p>
        </w:tc>
        <w:tc>
          <w:tcPr>
            <w:tcW w:w="1984" w:type="dxa"/>
            <w:shd w:val="clear" w:color="auto" w:fill="auto"/>
            <w:vAlign w:val="center"/>
          </w:tcPr>
          <w:p w14:paraId="5488F149" w14:textId="77777777" w:rsidR="00625143" w:rsidRPr="00DC1855" w:rsidRDefault="00625143" w:rsidP="001D302E">
            <w:pPr>
              <w:spacing w:before="0"/>
              <w:jc w:val="right"/>
              <w:rPr>
                <w:rFonts w:ascii="Verdana" w:hAnsi="Verdana"/>
                <w:color w:val="FFFFFF"/>
                <w:sz w:val="26"/>
                <w:szCs w:val="26"/>
                <w:lang w:val="es-ES_tradnl"/>
              </w:rPr>
            </w:pPr>
          </w:p>
        </w:tc>
      </w:tr>
      <w:tr w:rsidR="00625143" w:rsidRPr="00DC1855" w14:paraId="11770C62" w14:textId="77777777" w:rsidTr="001D302E">
        <w:trPr>
          <w:cantSplit/>
          <w:trHeight w:val="640"/>
        </w:trPr>
        <w:tc>
          <w:tcPr>
            <w:tcW w:w="4678" w:type="dxa"/>
            <w:gridSpan w:val="2"/>
            <w:vAlign w:val="center"/>
          </w:tcPr>
          <w:p w14:paraId="44B9E43F" w14:textId="77777777" w:rsidR="00625143" w:rsidRPr="00DC1855" w:rsidRDefault="00625143" w:rsidP="001D302E">
            <w:pPr>
              <w:pStyle w:val="Tabletext"/>
              <w:jc w:val="right"/>
              <w:rPr>
                <w:sz w:val="22"/>
                <w:szCs w:val="22"/>
                <w:lang w:val="es-ES_tradnl"/>
              </w:rPr>
            </w:pPr>
          </w:p>
        </w:tc>
        <w:tc>
          <w:tcPr>
            <w:tcW w:w="5103" w:type="dxa"/>
            <w:gridSpan w:val="2"/>
            <w:vAlign w:val="center"/>
          </w:tcPr>
          <w:p w14:paraId="2A762505" w14:textId="77777777" w:rsidR="002C71B2" w:rsidRPr="00DC1855" w:rsidRDefault="00F8692D">
            <w:pPr>
              <w:pStyle w:val="Tabletext"/>
              <w:spacing w:before="240" w:after="120"/>
              <w:ind w:left="-108"/>
              <w:rPr>
                <w:sz w:val="22"/>
                <w:szCs w:val="22"/>
                <w:lang w:val="es-ES_tradnl"/>
              </w:rPr>
            </w:pPr>
            <w:r w:rsidRPr="00DC1855">
              <w:rPr>
                <w:sz w:val="22"/>
                <w:szCs w:val="22"/>
                <w:lang w:val="es-ES_tradnl"/>
              </w:rPr>
              <w:t>Ginebra, 6 de mayo de 2024</w:t>
            </w:r>
          </w:p>
        </w:tc>
      </w:tr>
      <w:tr w:rsidR="00625143" w:rsidRPr="003958BE" w14:paraId="06A81712" w14:textId="77777777" w:rsidTr="001D302E">
        <w:trPr>
          <w:cantSplit/>
          <w:trHeight w:val="412"/>
        </w:trPr>
        <w:tc>
          <w:tcPr>
            <w:tcW w:w="1134" w:type="dxa"/>
          </w:tcPr>
          <w:p w14:paraId="1F22BDBB" w14:textId="3755B5FE" w:rsidR="002C71B2" w:rsidRPr="00DC1855" w:rsidRDefault="00F8692D">
            <w:pPr>
              <w:pStyle w:val="Tabletext"/>
              <w:ind w:left="-110"/>
              <w:rPr>
                <w:sz w:val="22"/>
                <w:szCs w:val="22"/>
                <w:lang w:val="es-ES_tradnl"/>
              </w:rPr>
            </w:pPr>
            <w:r w:rsidRPr="00DC1855">
              <w:rPr>
                <w:b/>
                <w:sz w:val="22"/>
                <w:szCs w:val="22"/>
                <w:lang w:val="es-ES_tradnl"/>
              </w:rPr>
              <w:t>Ref</w:t>
            </w:r>
            <w:r w:rsidR="004821D9" w:rsidRPr="00DC1855">
              <w:rPr>
                <w:b/>
                <w:sz w:val="22"/>
                <w:szCs w:val="22"/>
                <w:lang w:val="es-ES_tradnl"/>
              </w:rPr>
              <w:t>.</w:t>
            </w:r>
            <w:r w:rsidRPr="00DC1855">
              <w:rPr>
                <w:b/>
                <w:sz w:val="22"/>
                <w:szCs w:val="22"/>
                <w:lang w:val="es-ES_tradnl"/>
              </w:rPr>
              <w:t xml:space="preserve">: </w:t>
            </w:r>
          </w:p>
        </w:tc>
        <w:tc>
          <w:tcPr>
            <w:tcW w:w="3544" w:type="dxa"/>
          </w:tcPr>
          <w:p w14:paraId="12D57645" w14:textId="1D96D357" w:rsidR="002C71B2" w:rsidRPr="00DC1855" w:rsidRDefault="00F8692D">
            <w:pPr>
              <w:pStyle w:val="Tabletext"/>
              <w:rPr>
                <w:b/>
                <w:bCs/>
                <w:sz w:val="22"/>
                <w:szCs w:val="22"/>
                <w:lang w:val="es-ES_tradnl"/>
              </w:rPr>
            </w:pPr>
            <w:r w:rsidRPr="00DC1855">
              <w:rPr>
                <w:b/>
                <w:bCs/>
                <w:sz w:val="22"/>
                <w:szCs w:val="22"/>
                <w:lang w:val="es-ES_tradnl"/>
              </w:rPr>
              <w:t xml:space="preserve">Circular </w:t>
            </w:r>
            <w:r w:rsidR="00FB4BBA" w:rsidRPr="00DC1855">
              <w:rPr>
                <w:b/>
                <w:bCs/>
                <w:sz w:val="22"/>
                <w:szCs w:val="22"/>
                <w:lang w:val="es-ES_tradnl"/>
              </w:rPr>
              <w:t xml:space="preserve">TSB </w:t>
            </w:r>
            <w:r w:rsidRPr="00DC1855">
              <w:rPr>
                <w:b/>
                <w:bCs/>
                <w:sz w:val="22"/>
                <w:szCs w:val="22"/>
                <w:lang w:val="es-ES_tradnl"/>
              </w:rPr>
              <w:t>208</w:t>
            </w:r>
          </w:p>
        </w:tc>
        <w:tc>
          <w:tcPr>
            <w:tcW w:w="5103" w:type="dxa"/>
            <w:gridSpan w:val="2"/>
            <w:vMerge w:val="restart"/>
          </w:tcPr>
          <w:p w14:paraId="7B9EB091" w14:textId="4CC7175D" w:rsidR="004821D9" w:rsidRPr="004821D9" w:rsidRDefault="004821D9" w:rsidP="004821D9">
            <w:pPr>
              <w:tabs>
                <w:tab w:val="clear" w:pos="794"/>
                <w:tab w:val="clear" w:pos="1191"/>
                <w:tab w:val="clear" w:pos="1588"/>
                <w:tab w:val="clear" w:pos="1985"/>
              </w:tabs>
              <w:spacing w:before="40" w:after="40"/>
              <w:ind w:left="283" w:hanging="391"/>
              <w:rPr>
                <w:sz w:val="22"/>
                <w:szCs w:val="22"/>
                <w:lang w:val="es-ES_tradnl"/>
              </w:rPr>
            </w:pPr>
            <w:r w:rsidRPr="004821D9">
              <w:rPr>
                <w:sz w:val="22"/>
                <w:szCs w:val="22"/>
                <w:lang w:val="es-ES_tradnl"/>
              </w:rPr>
              <w:t>-</w:t>
            </w:r>
            <w:r w:rsidRPr="004821D9">
              <w:rPr>
                <w:sz w:val="22"/>
                <w:szCs w:val="22"/>
                <w:lang w:val="es-ES_tradnl"/>
              </w:rPr>
              <w:tab/>
              <w:t>A las Administraciones de los Estados Miembros de la Unión</w:t>
            </w:r>
            <w:r w:rsidRPr="00DC1855">
              <w:rPr>
                <w:sz w:val="22"/>
                <w:szCs w:val="22"/>
                <w:lang w:val="es-ES_tradnl"/>
              </w:rPr>
              <w:t>;</w:t>
            </w:r>
          </w:p>
          <w:p w14:paraId="11E8A051" w14:textId="67067568" w:rsidR="004821D9" w:rsidRPr="004821D9" w:rsidRDefault="004821D9" w:rsidP="004821D9">
            <w:pPr>
              <w:tabs>
                <w:tab w:val="clear" w:pos="794"/>
                <w:tab w:val="clear" w:pos="1191"/>
                <w:tab w:val="clear" w:pos="1588"/>
                <w:tab w:val="clear" w:pos="1985"/>
              </w:tabs>
              <w:spacing w:before="40" w:after="40"/>
              <w:ind w:left="283" w:hanging="391"/>
              <w:rPr>
                <w:sz w:val="22"/>
                <w:szCs w:val="22"/>
                <w:lang w:val="es-ES_tradnl"/>
              </w:rPr>
            </w:pPr>
            <w:r w:rsidRPr="004821D9">
              <w:rPr>
                <w:sz w:val="22"/>
                <w:szCs w:val="22"/>
                <w:lang w:val="es-ES_tradnl"/>
              </w:rPr>
              <w:t>-</w:t>
            </w:r>
            <w:r w:rsidRPr="004821D9">
              <w:rPr>
                <w:sz w:val="22"/>
                <w:szCs w:val="22"/>
                <w:lang w:val="es-ES_tradnl"/>
              </w:rPr>
              <w:tab/>
              <w:t>A los Miembros de Sector</w:t>
            </w:r>
            <w:r w:rsidRPr="00DC1855">
              <w:rPr>
                <w:sz w:val="22"/>
                <w:szCs w:val="22"/>
                <w:lang w:val="es-ES_tradnl"/>
              </w:rPr>
              <w:t xml:space="preserve"> del</w:t>
            </w:r>
            <w:r w:rsidRPr="004821D9">
              <w:rPr>
                <w:sz w:val="22"/>
                <w:szCs w:val="22"/>
                <w:lang w:val="es-ES_tradnl"/>
              </w:rPr>
              <w:t xml:space="preserve"> UIT</w:t>
            </w:r>
            <w:r w:rsidRPr="004821D9">
              <w:rPr>
                <w:sz w:val="22"/>
                <w:szCs w:val="22"/>
                <w:lang w:val="es-ES_tradnl"/>
              </w:rPr>
              <w:noBreakHyphen/>
              <w:t>T;</w:t>
            </w:r>
          </w:p>
          <w:p w14:paraId="245AFDCC" w14:textId="77777777" w:rsidR="004821D9" w:rsidRPr="004821D9" w:rsidRDefault="004821D9" w:rsidP="004821D9">
            <w:pPr>
              <w:tabs>
                <w:tab w:val="clear" w:pos="794"/>
                <w:tab w:val="clear" w:pos="1191"/>
                <w:tab w:val="clear" w:pos="1588"/>
                <w:tab w:val="clear" w:pos="1985"/>
              </w:tabs>
              <w:spacing w:before="40" w:after="40"/>
              <w:ind w:left="283" w:hanging="391"/>
              <w:rPr>
                <w:sz w:val="22"/>
                <w:szCs w:val="22"/>
                <w:lang w:val="es-ES_tradnl"/>
              </w:rPr>
            </w:pPr>
            <w:r w:rsidRPr="004821D9">
              <w:rPr>
                <w:sz w:val="22"/>
                <w:szCs w:val="22"/>
                <w:lang w:val="es-ES_tradnl"/>
              </w:rPr>
              <w:t>-</w:t>
            </w:r>
            <w:r w:rsidRPr="004821D9">
              <w:rPr>
                <w:sz w:val="22"/>
                <w:szCs w:val="22"/>
                <w:lang w:val="es-ES_tradnl"/>
              </w:rPr>
              <w:tab/>
              <w:t>A los Asociados del UIT</w:t>
            </w:r>
            <w:r w:rsidRPr="004821D9">
              <w:rPr>
                <w:sz w:val="22"/>
                <w:szCs w:val="22"/>
                <w:lang w:val="es-ES_tradnl"/>
              </w:rPr>
              <w:noBreakHyphen/>
              <w:t xml:space="preserve">T; </w:t>
            </w:r>
          </w:p>
          <w:p w14:paraId="7F666E6A" w14:textId="5A38BBE5" w:rsidR="002C71B2" w:rsidRPr="00DC1855" w:rsidRDefault="004821D9" w:rsidP="004821D9">
            <w:pPr>
              <w:tabs>
                <w:tab w:val="clear" w:pos="794"/>
                <w:tab w:val="clear" w:pos="1191"/>
                <w:tab w:val="clear" w:pos="1588"/>
                <w:tab w:val="clear" w:pos="1985"/>
              </w:tabs>
              <w:spacing w:before="40" w:after="40"/>
              <w:ind w:left="283" w:hanging="391"/>
              <w:rPr>
                <w:sz w:val="22"/>
                <w:szCs w:val="22"/>
                <w:lang w:val="es-ES_tradnl"/>
              </w:rPr>
            </w:pPr>
            <w:r w:rsidRPr="00DC1855">
              <w:rPr>
                <w:sz w:val="22"/>
                <w:szCs w:val="22"/>
                <w:lang w:val="es-ES_tradnl"/>
              </w:rPr>
              <w:t>-</w:t>
            </w:r>
            <w:r w:rsidRPr="00DC1855">
              <w:rPr>
                <w:sz w:val="22"/>
                <w:szCs w:val="22"/>
                <w:lang w:val="es-ES_tradnl"/>
              </w:rPr>
              <w:tab/>
              <w:t>A las Instituciones Académicas de la UIT</w:t>
            </w:r>
          </w:p>
          <w:p w14:paraId="17A6DD6F" w14:textId="67FA3466" w:rsidR="002C71B2" w:rsidRPr="00DC1855" w:rsidRDefault="004821D9">
            <w:pPr>
              <w:pStyle w:val="Tabletext"/>
              <w:ind w:left="283" w:hanging="391"/>
              <w:rPr>
                <w:sz w:val="22"/>
                <w:szCs w:val="22"/>
                <w:lang w:val="es-ES_tradnl"/>
              </w:rPr>
            </w:pPr>
            <w:r w:rsidRPr="00DC1855">
              <w:rPr>
                <w:b/>
                <w:sz w:val="22"/>
                <w:szCs w:val="22"/>
                <w:lang w:val="es-ES_tradnl"/>
              </w:rPr>
              <w:t>Copia</w:t>
            </w:r>
            <w:r w:rsidR="00F8692D" w:rsidRPr="00DC1855">
              <w:rPr>
                <w:b/>
                <w:sz w:val="22"/>
                <w:szCs w:val="22"/>
                <w:lang w:val="es-ES_tradnl"/>
              </w:rPr>
              <w:t>:</w:t>
            </w:r>
          </w:p>
          <w:p w14:paraId="5B3B34E2" w14:textId="1B9CAFB3" w:rsidR="004821D9" w:rsidRPr="004821D9" w:rsidRDefault="004821D9" w:rsidP="004821D9">
            <w:pPr>
              <w:pStyle w:val="Tabletext"/>
              <w:tabs>
                <w:tab w:val="clear" w:pos="284"/>
              </w:tabs>
              <w:ind w:left="283" w:hanging="391"/>
              <w:rPr>
                <w:sz w:val="22"/>
                <w:szCs w:val="22"/>
                <w:lang w:val="es-ES_tradnl"/>
              </w:rPr>
            </w:pPr>
            <w:r w:rsidRPr="004821D9">
              <w:rPr>
                <w:sz w:val="22"/>
                <w:szCs w:val="22"/>
                <w:lang w:val="es-ES_tradnl"/>
              </w:rPr>
              <w:t>-</w:t>
            </w:r>
            <w:r w:rsidRPr="004821D9">
              <w:rPr>
                <w:sz w:val="22"/>
                <w:szCs w:val="22"/>
                <w:lang w:val="es-ES_tradnl"/>
              </w:rPr>
              <w:tab/>
              <w:t>A los Presidentes y Vicepresidentes de las Comisiones de Estudio</w:t>
            </w:r>
            <w:r w:rsidRPr="00DC1855">
              <w:rPr>
                <w:sz w:val="22"/>
                <w:szCs w:val="22"/>
                <w:lang w:val="es-ES_tradnl"/>
              </w:rPr>
              <w:t xml:space="preserve"> del UIT-T</w:t>
            </w:r>
            <w:r w:rsidRPr="004821D9">
              <w:rPr>
                <w:sz w:val="22"/>
                <w:szCs w:val="22"/>
                <w:lang w:val="es-ES_tradnl"/>
              </w:rPr>
              <w:t>;</w:t>
            </w:r>
          </w:p>
          <w:p w14:paraId="0968A4C9" w14:textId="77777777" w:rsidR="004821D9" w:rsidRPr="004821D9" w:rsidRDefault="004821D9" w:rsidP="004821D9">
            <w:pPr>
              <w:pStyle w:val="Tabletext"/>
              <w:tabs>
                <w:tab w:val="clear" w:pos="284"/>
              </w:tabs>
              <w:ind w:left="283" w:hanging="391"/>
              <w:rPr>
                <w:sz w:val="22"/>
                <w:szCs w:val="22"/>
                <w:lang w:val="es-ES_tradnl"/>
              </w:rPr>
            </w:pPr>
            <w:r w:rsidRPr="004821D9">
              <w:rPr>
                <w:sz w:val="22"/>
                <w:szCs w:val="22"/>
                <w:lang w:val="es-ES_tradnl"/>
              </w:rPr>
              <w:t>-</w:t>
            </w:r>
            <w:r w:rsidRPr="004821D9">
              <w:rPr>
                <w:sz w:val="22"/>
                <w:szCs w:val="22"/>
                <w:lang w:val="es-ES_tradnl"/>
              </w:rPr>
              <w:tab/>
              <w:t>Al Director de la Oficina de Desarrollo de las Telecomunicaciones;</w:t>
            </w:r>
          </w:p>
          <w:p w14:paraId="0E866EF7" w14:textId="77777777" w:rsidR="004821D9" w:rsidRPr="004821D9" w:rsidRDefault="004821D9" w:rsidP="004821D9">
            <w:pPr>
              <w:pStyle w:val="Tabletext"/>
              <w:tabs>
                <w:tab w:val="clear" w:pos="284"/>
              </w:tabs>
              <w:ind w:left="283" w:hanging="391"/>
              <w:rPr>
                <w:sz w:val="22"/>
                <w:szCs w:val="22"/>
                <w:lang w:val="es-ES_tradnl"/>
              </w:rPr>
            </w:pPr>
            <w:r w:rsidRPr="004821D9">
              <w:rPr>
                <w:sz w:val="22"/>
                <w:szCs w:val="22"/>
                <w:lang w:val="es-ES_tradnl"/>
              </w:rPr>
              <w:t>-</w:t>
            </w:r>
            <w:r w:rsidRPr="004821D9">
              <w:rPr>
                <w:sz w:val="22"/>
                <w:szCs w:val="22"/>
                <w:lang w:val="es-ES_tradnl"/>
              </w:rPr>
              <w:tab/>
              <w:t>Al Director de la Oficina de Radiocomunicaciones;</w:t>
            </w:r>
          </w:p>
          <w:p w14:paraId="3AAFD5C1" w14:textId="139AB327" w:rsidR="002C71B2" w:rsidRPr="00DC1855" w:rsidRDefault="004821D9" w:rsidP="004821D9">
            <w:pPr>
              <w:pStyle w:val="Tabletext"/>
              <w:tabs>
                <w:tab w:val="clear" w:pos="284"/>
              </w:tabs>
              <w:ind w:left="283" w:hanging="391"/>
              <w:rPr>
                <w:sz w:val="22"/>
                <w:szCs w:val="22"/>
                <w:lang w:val="es-ES_tradnl"/>
              </w:rPr>
            </w:pPr>
            <w:r w:rsidRPr="00DC1855">
              <w:rPr>
                <w:sz w:val="22"/>
                <w:szCs w:val="22"/>
                <w:lang w:val="es-ES_tradnl"/>
              </w:rPr>
              <w:t>-</w:t>
            </w:r>
            <w:r w:rsidRPr="00DC1855">
              <w:rPr>
                <w:sz w:val="22"/>
                <w:szCs w:val="22"/>
                <w:lang w:val="es-ES_tradnl"/>
              </w:rPr>
              <w:tab/>
              <w:t>A los Directores de las Oficinas Regionales de la UIT</w:t>
            </w:r>
          </w:p>
        </w:tc>
      </w:tr>
      <w:tr w:rsidR="00625143" w:rsidRPr="00DC1855" w14:paraId="7298CD8B" w14:textId="77777777" w:rsidTr="001D302E">
        <w:trPr>
          <w:cantSplit/>
          <w:trHeight w:val="221"/>
        </w:trPr>
        <w:tc>
          <w:tcPr>
            <w:tcW w:w="1134" w:type="dxa"/>
          </w:tcPr>
          <w:p w14:paraId="7989CBBA" w14:textId="6E33A1E5" w:rsidR="002C71B2" w:rsidRPr="00DC1855" w:rsidRDefault="00F8692D">
            <w:pPr>
              <w:pStyle w:val="Tabletext"/>
              <w:ind w:left="-110"/>
              <w:rPr>
                <w:sz w:val="22"/>
                <w:szCs w:val="22"/>
                <w:lang w:val="es-ES_tradnl"/>
              </w:rPr>
            </w:pPr>
            <w:r w:rsidRPr="00DC1855">
              <w:rPr>
                <w:b/>
                <w:sz w:val="22"/>
                <w:szCs w:val="22"/>
                <w:lang w:val="es-ES_tradnl"/>
              </w:rPr>
              <w:t>Tel</w:t>
            </w:r>
            <w:r w:rsidR="004821D9" w:rsidRPr="00DC1855">
              <w:rPr>
                <w:b/>
                <w:sz w:val="22"/>
                <w:szCs w:val="22"/>
                <w:lang w:val="es-ES_tradnl"/>
              </w:rPr>
              <w:t>.</w:t>
            </w:r>
            <w:r w:rsidRPr="00DC1855">
              <w:rPr>
                <w:b/>
                <w:sz w:val="22"/>
                <w:szCs w:val="22"/>
                <w:lang w:val="es-ES_tradnl"/>
              </w:rPr>
              <w:t>:</w:t>
            </w:r>
          </w:p>
        </w:tc>
        <w:tc>
          <w:tcPr>
            <w:tcW w:w="3544" w:type="dxa"/>
          </w:tcPr>
          <w:p w14:paraId="365995A2" w14:textId="77777777" w:rsidR="002C71B2" w:rsidRPr="00DC1855" w:rsidRDefault="00F8692D">
            <w:pPr>
              <w:pStyle w:val="Tabletext"/>
              <w:rPr>
                <w:b/>
                <w:sz w:val="22"/>
                <w:szCs w:val="22"/>
                <w:lang w:val="es-ES_tradnl"/>
              </w:rPr>
            </w:pPr>
            <w:r w:rsidRPr="00DC1855">
              <w:rPr>
                <w:sz w:val="22"/>
                <w:szCs w:val="22"/>
                <w:lang w:val="es-ES_tradnl"/>
              </w:rPr>
              <w:t>+41 22 730 5126</w:t>
            </w:r>
          </w:p>
        </w:tc>
        <w:tc>
          <w:tcPr>
            <w:tcW w:w="5103" w:type="dxa"/>
            <w:gridSpan w:val="2"/>
            <w:vMerge/>
          </w:tcPr>
          <w:p w14:paraId="25CE3375" w14:textId="77777777" w:rsidR="00625143" w:rsidRPr="00DC1855" w:rsidRDefault="00625143" w:rsidP="001D302E">
            <w:pPr>
              <w:pStyle w:val="Tabletext"/>
              <w:ind w:left="142" w:hanging="391"/>
              <w:rPr>
                <w:sz w:val="22"/>
                <w:szCs w:val="22"/>
                <w:lang w:val="es-ES_tradnl"/>
              </w:rPr>
            </w:pPr>
          </w:p>
        </w:tc>
      </w:tr>
      <w:tr w:rsidR="00625143" w:rsidRPr="00DC1855" w14:paraId="1FEC001C" w14:textId="77777777" w:rsidTr="001D302E">
        <w:trPr>
          <w:cantSplit/>
          <w:trHeight w:val="1686"/>
        </w:trPr>
        <w:tc>
          <w:tcPr>
            <w:tcW w:w="1134" w:type="dxa"/>
          </w:tcPr>
          <w:p w14:paraId="6B12369E" w14:textId="77777777" w:rsidR="002C71B2" w:rsidRPr="00DC1855" w:rsidRDefault="00F8692D">
            <w:pPr>
              <w:pStyle w:val="Tabletext"/>
              <w:ind w:left="-110"/>
              <w:rPr>
                <w:b/>
                <w:sz w:val="22"/>
                <w:szCs w:val="22"/>
                <w:lang w:val="es-ES_tradnl"/>
              </w:rPr>
            </w:pPr>
            <w:r w:rsidRPr="00DC1855">
              <w:rPr>
                <w:b/>
                <w:sz w:val="22"/>
                <w:szCs w:val="22"/>
                <w:lang w:val="es-ES_tradnl"/>
              </w:rPr>
              <w:t>Fax:</w:t>
            </w:r>
          </w:p>
          <w:p w14:paraId="34C6459C" w14:textId="2EC42F42" w:rsidR="002C71B2" w:rsidRPr="00DC1855" w:rsidRDefault="00F8692D">
            <w:pPr>
              <w:pStyle w:val="Tabletext"/>
              <w:ind w:left="-110"/>
              <w:rPr>
                <w:sz w:val="22"/>
                <w:szCs w:val="22"/>
                <w:lang w:val="es-ES_tradnl"/>
              </w:rPr>
            </w:pPr>
            <w:r w:rsidRPr="00DC1855">
              <w:rPr>
                <w:b/>
                <w:sz w:val="22"/>
                <w:szCs w:val="22"/>
                <w:lang w:val="es-ES_tradnl"/>
              </w:rPr>
              <w:t>Correo</w:t>
            </w:r>
            <w:r w:rsidR="004821D9" w:rsidRPr="00DC1855">
              <w:rPr>
                <w:b/>
                <w:sz w:val="22"/>
                <w:szCs w:val="22"/>
                <w:lang w:val="es-ES_tradnl"/>
              </w:rPr>
              <w:t>-</w:t>
            </w:r>
            <w:r w:rsidRPr="00DC1855">
              <w:rPr>
                <w:b/>
                <w:sz w:val="22"/>
                <w:szCs w:val="22"/>
                <w:lang w:val="es-ES_tradnl"/>
              </w:rPr>
              <w:t>e:</w:t>
            </w:r>
          </w:p>
        </w:tc>
        <w:tc>
          <w:tcPr>
            <w:tcW w:w="3544" w:type="dxa"/>
          </w:tcPr>
          <w:p w14:paraId="35692F0A" w14:textId="77777777" w:rsidR="002C71B2" w:rsidRPr="00DC1855" w:rsidRDefault="00F8692D">
            <w:pPr>
              <w:pStyle w:val="Tabletext"/>
              <w:rPr>
                <w:sz w:val="22"/>
                <w:szCs w:val="22"/>
                <w:lang w:val="es-ES_tradnl"/>
              </w:rPr>
            </w:pPr>
            <w:r w:rsidRPr="00DC1855">
              <w:rPr>
                <w:sz w:val="22"/>
                <w:szCs w:val="22"/>
                <w:lang w:val="es-ES_tradnl"/>
              </w:rPr>
              <w:t>+41 22 730 5853</w:t>
            </w:r>
          </w:p>
          <w:p w14:paraId="1F3E6368" w14:textId="77777777" w:rsidR="002C71B2" w:rsidRPr="00DC1855" w:rsidRDefault="00F8692D">
            <w:pPr>
              <w:pStyle w:val="Tabletext"/>
              <w:rPr>
                <w:b/>
                <w:sz w:val="22"/>
                <w:szCs w:val="22"/>
                <w:lang w:val="es-ES_tradnl"/>
              </w:rPr>
            </w:pPr>
            <w:r w:rsidRPr="00DC1855">
              <w:rPr>
                <w:rStyle w:val="Hyperlink"/>
                <w:sz w:val="22"/>
                <w:szCs w:val="22"/>
                <w:lang w:val="es-ES_tradnl"/>
              </w:rPr>
              <w:t>tsbevents@itu.int</w:t>
            </w:r>
          </w:p>
        </w:tc>
        <w:tc>
          <w:tcPr>
            <w:tcW w:w="5103" w:type="dxa"/>
            <w:gridSpan w:val="2"/>
            <w:vMerge/>
          </w:tcPr>
          <w:p w14:paraId="37785F47" w14:textId="77777777" w:rsidR="00625143" w:rsidRPr="00DC1855" w:rsidRDefault="00625143" w:rsidP="001D302E">
            <w:pPr>
              <w:pStyle w:val="Tabletext"/>
              <w:ind w:left="142" w:hanging="391"/>
              <w:rPr>
                <w:sz w:val="22"/>
                <w:szCs w:val="22"/>
                <w:lang w:val="es-ES_tradnl"/>
              </w:rPr>
            </w:pPr>
          </w:p>
        </w:tc>
      </w:tr>
      <w:tr w:rsidR="00625143" w:rsidRPr="003958BE" w14:paraId="5CB79D58" w14:textId="77777777" w:rsidTr="001D302E">
        <w:trPr>
          <w:cantSplit/>
          <w:trHeight w:val="618"/>
        </w:trPr>
        <w:tc>
          <w:tcPr>
            <w:tcW w:w="1134" w:type="dxa"/>
          </w:tcPr>
          <w:p w14:paraId="3BCCF96E" w14:textId="77777777" w:rsidR="002C71B2" w:rsidRPr="00DC1855" w:rsidRDefault="00F8692D">
            <w:pPr>
              <w:pStyle w:val="Tabletext"/>
              <w:ind w:left="-110"/>
              <w:rPr>
                <w:b/>
                <w:sz w:val="22"/>
                <w:szCs w:val="22"/>
                <w:lang w:val="es-ES_tradnl"/>
              </w:rPr>
            </w:pPr>
            <w:r w:rsidRPr="00DC1855">
              <w:rPr>
                <w:b/>
                <w:sz w:val="22"/>
                <w:szCs w:val="22"/>
                <w:lang w:val="es-ES_tradnl"/>
              </w:rPr>
              <w:t>Asunto:</w:t>
            </w:r>
          </w:p>
        </w:tc>
        <w:tc>
          <w:tcPr>
            <w:tcW w:w="8647" w:type="dxa"/>
            <w:gridSpan w:val="3"/>
          </w:tcPr>
          <w:p w14:paraId="4189C0D6" w14:textId="105D2CFC" w:rsidR="002C71B2" w:rsidRPr="00DC1855" w:rsidRDefault="00F8692D">
            <w:pPr>
              <w:pStyle w:val="Tabletext"/>
              <w:rPr>
                <w:b/>
                <w:sz w:val="22"/>
                <w:szCs w:val="22"/>
                <w:lang w:val="es-ES_tradnl"/>
              </w:rPr>
            </w:pPr>
            <w:r w:rsidRPr="00DC1855">
              <w:rPr>
                <w:b/>
                <w:sz w:val="22"/>
                <w:szCs w:val="22"/>
                <w:lang w:val="es-ES_tradnl"/>
              </w:rPr>
              <w:t xml:space="preserve">Taller de la UIT </w:t>
            </w:r>
            <w:r w:rsidR="00DC1855">
              <w:rPr>
                <w:b/>
                <w:sz w:val="22"/>
                <w:szCs w:val="22"/>
                <w:lang w:val="es-ES_tradnl"/>
              </w:rPr>
              <w:t xml:space="preserve">sobre la </w:t>
            </w:r>
            <w:r w:rsidR="000819DD">
              <w:rPr>
                <w:b/>
                <w:sz w:val="22"/>
                <w:szCs w:val="22"/>
                <w:lang w:val="es-ES_tradnl"/>
              </w:rPr>
              <w:t>"</w:t>
            </w:r>
            <w:r w:rsidR="00DC1855">
              <w:rPr>
                <w:b/>
                <w:sz w:val="22"/>
                <w:szCs w:val="22"/>
                <w:lang w:val="es-ES_tradnl"/>
              </w:rPr>
              <w:t>Confluencia entre la</w:t>
            </w:r>
            <w:r w:rsidR="00DC1855" w:rsidRPr="00DC1855">
              <w:rPr>
                <w:b/>
                <w:sz w:val="22"/>
                <w:szCs w:val="22"/>
                <w:lang w:val="es-ES_tradnl"/>
              </w:rPr>
              <w:t>s normas y la investigación</w:t>
            </w:r>
            <w:r w:rsidR="00DC1855">
              <w:rPr>
                <w:b/>
                <w:sz w:val="22"/>
                <w:szCs w:val="22"/>
                <w:lang w:val="es-ES_tradnl"/>
              </w:rPr>
              <w:t>:</w:t>
            </w:r>
            <w:r w:rsidR="004821D9" w:rsidRPr="00DC1855">
              <w:rPr>
                <w:b/>
                <w:sz w:val="22"/>
                <w:szCs w:val="22"/>
                <w:lang w:val="es-ES_tradnl"/>
              </w:rPr>
              <w:t xml:space="preserve"> Conjuntos de datos de IA/</w:t>
            </w:r>
            <w:r w:rsidR="00DC1855">
              <w:rPr>
                <w:b/>
                <w:sz w:val="22"/>
                <w:szCs w:val="22"/>
                <w:lang w:val="es-ES_tradnl"/>
              </w:rPr>
              <w:t>ML</w:t>
            </w:r>
            <w:r w:rsidR="004821D9" w:rsidRPr="00DC1855">
              <w:rPr>
                <w:b/>
                <w:sz w:val="22"/>
                <w:szCs w:val="22"/>
                <w:lang w:val="es-ES_tradnl"/>
              </w:rPr>
              <w:t xml:space="preserve"> para redes futuras</w:t>
            </w:r>
            <w:r w:rsidR="000819DD">
              <w:rPr>
                <w:b/>
                <w:sz w:val="22"/>
                <w:szCs w:val="22"/>
                <w:lang w:val="es-ES_tradnl"/>
              </w:rPr>
              <w:t>"</w:t>
            </w:r>
            <w:r w:rsidRPr="00DC1855">
              <w:rPr>
                <w:b/>
                <w:sz w:val="22"/>
                <w:szCs w:val="22"/>
                <w:lang w:val="es-ES_tradnl"/>
              </w:rPr>
              <w:t xml:space="preserve"> (Ginebra, Suiza, 16 de julio de 2024)</w:t>
            </w:r>
          </w:p>
        </w:tc>
      </w:tr>
    </w:tbl>
    <w:p w14:paraId="6CC1FD11" w14:textId="5EBDB4CA" w:rsidR="000819DD" w:rsidRDefault="004821D9" w:rsidP="000819DD">
      <w:pPr>
        <w:spacing w:after="240"/>
        <w:rPr>
          <w:sz w:val="22"/>
          <w:szCs w:val="22"/>
          <w:lang w:val="es-ES_tradnl"/>
        </w:rPr>
      </w:pPr>
      <w:r w:rsidRPr="00DC1855">
        <w:rPr>
          <w:sz w:val="22"/>
          <w:szCs w:val="22"/>
          <w:lang w:val="es-ES_tradnl"/>
        </w:rPr>
        <w:t>Muy Señora mía/Muy Señor mío</w:t>
      </w:r>
      <w:r w:rsidR="003958BE">
        <w:rPr>
          <w:sz w:val="22"/>
          <w:szCs w:val="22"/>
          <w:lang w:val="es-ES_tradnl"/>
        </w:rPr>
        <w:t>,</w:t>
      </w:r>
    </w:p>
    <w:p w14:paraId="509FAEA3" w14:textId="179B2B8D" w:rsidR="002C71B2" w:rsidRPr="003958BE" w:rsidRDefault="00F8692D" w:rsidP="000819DD">
      <w:pPr>
        <w:spacing w:after="240"/>
        <w:rPr>
          <w:sz w:val="22"/>
          <w:szCs w:val="22"/>
          <w:lang w:val="es-ES_tradnl"/>
        </w:rPr>
      </w:pPr>
      <w:r w:rsidRPr="00DC1855">
        <w:rPr>
          <w:sz w:val="22"/>
          <w:szCs w:val="22"/>
          <w:lang w:val="es-ES_tradnl"/>
        </w:rPr>
        <w:t xml:space="preserve">Me complace informarle de que la Unión Internacional de Telecomunicaciones (UIT) </w:t>
      </w:r>
      <w:r w:rsidR="004821D9" w:rsidRPr="00DC1855">
        <w:rPr>
          <w:sz w:val="22"/>
          <w:szCs w:val="22"/>
          <w:lang w:val="es-ES_tradnl"/>
        </w:rPr>
        <w:t>ha organizado</w:t>
      </w:r>
      <w:r w:rsidRPr="00DC1855">
        <w:rPr>
          <w:sz w:val="22"/>
          <w:szCs w:val="22"/>
          <w:lang w:val="es-ES_tradnl"/>
        </w:rPr>
        <w:t xml:space="preserve"> </w:t>
      </w:r>
      <w:r w:rsidR="004821D9" w:rsidRPr="00DC1855">
        <w:rPr>
          <w:sz w:val="22"/>
          <w:szCs w:val="22"/>
          <w:lang w:val="es-ES_tradnl"/>
        </w:rPr>
        <w:t>un</w:t>
      </w:r>
      <w:r w:rsidRPr="00DC1855">
        <w:rPr>
          <w:sz w:val="22"/>
          <w:szCs w:val="22"/>
          <w:lang w:val="es-ES_tradnl"/>
        </w:rPr>
        <w:t xml:space="preserve"> taller</w:t>
      </w:r>
      <w:r w:rsidR="004821D9" w:rsidRPr="00DC1855">
        <w:rPr>
          <w:sz w:val="22"/>
          <w:szCs w:val="22"/>
          <w:lang w:val="es-ES_tradnl"/>
        </w:rPr>
        <w:t xml:space="preserve"> </w:t>
      </w:r>
      <w:r w:rsidR="00DC1855">
        <w:rPr>
          <w:sz w:val="22"/>
          <w:szCs w:val="22"/>
          <w:lang w:val="es-ES_tradnl"/>
        </w:rPr>
        <w:t>dedicado a la</w:t>
      </w:r>
      <w:r w:rsidR="004821D9" w:rsidRPr="00DC1855">
        <w:rPr>
          <w:sz w:val="22"/>
          <w:szCs w:val="22"/>
          <w:lang w:val="es-ES_tradnl"/>
        </w:rPr>
        <w:t xml:space="preserve"> </w:t>
      </w:r>
      <w:r w:rsidR="000819DD">
        <w:rPr>
          <w:b/>
          <w:sz w:val="22"/>
          <w:szCs w:val="22"/>
          <w:lang w:val="es-ES_tradnl"/>
        </w:rPr>
        <w:t>"</w:t>
      </w:r>
      <w:r w:rsidR="00DC1855">
        <w:rPr>
          <w:b/>
          <w:sz w:val="22"/>
          <w:szCs w:val="22"/>
          <w:lang w:val="es-ES_tradnl"/>
        </w:rPr>
        <w:t xml:space="preserve">Confluencia entre </w:t>
      </w:r>
      <w:r w:rsidR="00DC1855" w:rsidRPr="003958BE">
        <w:rPr>
          <w:b/>
          <w:sz w:val="22"/>
          <w:szCs w:val="22"/>
          <w:lang w:val="es-ES_tradnl"/>
        </w:rPr>
        <w:t>la</w:t>
      </w:r>
      <w:r w:rsidR="004821D9" w:rsidRPr="003958BE">
        <w:rPr>
          <w:b/>
          <w:sz w:val="22"/>
          <w:szCs w:val="22"/>
          <w:lang w:val="es-ES_tradnl"/>
        </w:rPr>
        <w:t>s normas y la investigación: Conjuntos de datos de IA/</w:t>
      </w:r>
      <w:r w:rsidR="00DC1855" w:rsidRPr="003958BE">
        <w:rPr>
          <w:b/>
          <w:sz w:val="22"/>
          <w:szCs w:val="22"/>
          <w:lang w:val="es-ES_tradnl"/>
        </w:rPr>
        <w:t>ML</w:t>
      </w:r>
      <w:r w:rsidR="004821D9" w:rsidRPr="003958BE">
        <w:rPr>
          <w:b/>
          <w:sz w:val="22"/>
          <w:szCs w:val="22"/>
          <w:lang w:val="es-ES_tradnl"/>
        </w:rPr>
        <w:t xml:space="preserve"> para redes futuras</w:t>
      </w:r>
      <w:r w:rsidR="000819DD" w:rsidRPr="003958BE">
        <w:rPr>
          <w:b/>
          <w:sz w:val="22"/>
          <w:szCs w:val="22"/>
          <w:lang w:val="es-ES_tradnl"/>
        </w:rPr>
        <w:t>"</w:t>
      </w:r>
      <w:r w:rsidRPr="003958BE">
        <w:rPr>
          <w:sz w:val="22"/>
          <w:szCs w:val="22"/>
          <w:lang w:val="es-ES_tradnl"/>
        </w:rPr>
        <w:t>, que tendrá lugar</w:t>
      </w:r>
      <w:r w:rsidR="004821D9" w:rsidRPr="003958BE">
        <w:rPr>
          <w:sz w:val="22"/>
          <w:szCs w:val="22"/>
          <w:lang w:val="es-ES_tradnl"/>
        </w:rPr>
        <w:t xml:space="preserve"> la mañana</w:t>
      </w:r>
      <w:r w:rsidRPr="003958BE">
        <w:rPr>
          <w:sz w:val="22"/>
          <w:szCs w:val="22"/>
          <w:lang w:val="es-ES_tradnl"/>
        </w:rPr>
        <w:t xml:space="preserve"> </w:t>
      </w:r>
      <w:r w:rsidR="004821D9" w:rsidRPr="003958BE">
        <w:rPr>
          <w:sz w:val="22"/>
          <w:szCs w:val="22"/>
          <w:lang w:val="es-ES_tradnl"/>
        </w:rPr>
        <w:t>d</w:t>
      </w:r>
      <w:r w:rsidRPr="003958BE">
        <w:rPr>
          <w:sz w:val="22"/>
          <w:szCs w:val="22"/>
          <w:lang w:val="es-ES_tradnl"/>
        </w:rPr>
        <w:t xml:space="preserve">el martes </w:t>
      </w:r>
      <w:r w:rsidRPr="003958BE">
        <w:rPr>
          <w:b/>
          <w:bCs/>
          <w:sz w:val="22"/>
          <w:szCs w:val="22"/>
          <w:lang w:val="es-ES_tradnl"/>
        </w:rPr>
        <w:t xml:space="preserve">16 de julio de 2024 </w:t>
      </w:r>
      <w:r w:rsidRPr="003958BE">
        <w:rPr>
          <w:sz w:val="22"/>
          <w:szCs w:val="22"/>
          <w:lang w:val="es-ES_tradnl"/>
        </w:rPr>
        <w:t xml:space="preserve">en la sede de la UIT en Ginebra (Suiza). </w:t>
      </w:r>
    </w:p>
    <w:p w14:paraId="18FB76FD" w14:textId="28946AAB" w:rsidR="002C71B2" w:rsidRPr="003958BE" w:rsidRDefault="00F8692D">
      <w:pPr>
        <w:spacing w:before="0" w:after="120"/>
        <w:rPr>
          <w:sz w:val="22"/>
          <w:szCs w:val="22"/>
          <w:lang w:val="es-ES_tradnl"/>
        </w:rPr>
      </w:pPr>
      <w:r w:rsidRPr="003958BE">
        <w:rPr>
          <w:sz w:val="22"/>
          <w:szCs w:val="22"/>
          <w:lang w:val="es-ES_tradnl"/>
        </w:rPr>
        <w:t xml:space="preserve">El taller se celebrará </w:t>
      </w:r>
      <w:r w:rsidR="004821D9" w:rsidRPr="003958BE">
        <w:rPr>
          <w:sz w:val="22"/>
          <w:szCs w:val="22"/>
          <w:lang w:val="es-ES_tradnl"/>
        </w:rPr>
        <w:t>en paralelo</w:t>
      </w:r>
      <w:r w:rsidRPr="003958BE">
        <w:rPr>
          <w:sz w:val="22"/>
          <w:szCs w:val="22"/>
          <w:lang w:val="es-ES_tradnl"/>
        </w:rPr>
        <w:t xml:space="preserve"> a la reunión de la Comisión de Estudio 13, que </w:t>
      </w:r>
      <w:r w:rsidR="00776CAD" w:rsidRPr="003958BE">
        <w:rPr>
          <w:sz w:val="22"/>
          <w:szCs w:val="22"/>
          <w:lang w:val="es-ES_tradnl"/>
        </w:rPr>
        <w:t>se llevará a cabo del 15 al 26 de julio de 2024 en el mismo lugar</w:t>
      </w:r>
      <w:r w:rsidRPr="003958BE">
        <w:rPr>
          <w:sz w:val="22"/>
          <w:szCs w:val="22"/>
          <w:lang w:val="es-ES_tradnl"/>
        </w:rPr>
        <w:t>. Encontrará más información sobre la reunión de la CE</w:t>
      </w:r>
      <w:r w:rsidR="000819DD" w:rsidRPr="003958BE">
        <w:rPr>
          <w:sz w:val="22"/>
          <w:szCs w:val="22"/>
          <w:lang w:val="es-ES_tradnl"/>
        </w:rPr>
        <w:t> </w:t>
      </w:r>
      <w:r w:rsidRPr="003958BE">
        <w:rPr>
          <w:sz w:val="22"/>
          <w:szCs w:val="22"/>
          <w:lang w:val="es-ES_tradnl"/>
        </w:rPr>
        <w:t xml:space="preserve">13 en su página web: </w:t>
      </w:r>
      <w:hyperlink r:id="rId11" w:history="1">
        <w:r w:rsidR="004821D9" w:rsidRPr="003958BE">
          <w:rPr>
            <w:rStyle w:val="Hyperlink"/>
            <w:sz w:val="22"/>
            <w:szCs w:val="22"/>
            <w:lang w:val="es-ES_tradnl"/>
          </w:rPr>
          <w:t>https://www.itu.int/en/I</w:t>
        </w:r>
        <w:r w:rsidR="004821D9" w:rsidRPr="003958BE">
          <w:rPr>
            <w:rStyle w:val="Hyperlink"/>
            <w:sz w:val="22"/>
            <w:szCs w:val="22"/>
            <w:lang w:val="es-ES_tradnl"/>
          </w:rPr>
          <w:t>T</w:t>
        </w:r>
        <w:r w:rsidR="004821D9" w:rsidRPr="003958BE">
          <w:rPr>
            <w:rStyle w:val="Hyperlink"/>
            <w:sz w:val="22"/>
            <w:szCs w:val="22"/>
            <w:lang w:val="es-ES_tradnl"/>
          </w:rPr>
          <w:t>U-T/studygroups/2022-2024/13</w:t>
        </w:r>
      </w:hyperlink>
      <w:r w:rsidRPr="003958BE">
        <w:rPr>
          <w:sz w:val="22"/>
          <w:szCs w:val="22"/>
          <w:lang w:val="es-ES_tradnl"/>
        </w:rPr>
        <w:t>.</w:t>
      </w:r>
    </w:p>
    <w:p w14:paraId="02107E3D" w14:textId="481D44FB" w:rsidR="002C71B2" w:rsidRPr="003958BE" w:rsidRDefault="00F8692D">
      <w:pPr>
        <w:spacing w:before="0" w:after="120"/>
        <w:rPr>
          <w:sz w:val="22"/>
          <w:szCs w:val="22"/>
          <w:lang w:val="es-ES_tradnl"/>
        </w:rPr>
      </w:pPr>
      <w:r w:rsidRPr="003958BE">
        <w:rPr>
          <w:sz w:val="22"/>
          <w:szCs w:val="22"/>
          <w:lang w:val="es-ES_tradnl"/>
        </w:rPr>
        <w:t>2</w:t>
      </w:r>
      <w:r w:rsidR="004821D9" w:rsidRPr="003958BE">
        <w:rPr>
          <w:sz w:val="22"/>
          <w:szCs w:val="22"/>
          <w:lang w:val="es-ES_tradnl"/>
        </w:rPr>
        <w:tab/>
      </w:r>
      <w:proofErr w:type="gramStart"/>
      <w:r w:rsidRPr="003958BE">
        <w:rPr>
          <w:sz w:val="22"/>
          <w:szCs w:val="22"/>
          <w:lang w:val="es-ES_tradnl"/>
        </w:rPr>
        <w:t>La</w:t>
      </w:r>
      <w:proofErr w:type="gramEnd"/>
      <w:r w:rsidR="004821D9" w:rsidRPr="003958BE">
        <w:rPr>
          <w:sz w:val="22"/>
          <w:szCs w:val="22"/>
          <w:lang w:val="es-ES_tradnl"/>
        </w:rPr>
        <w:t xml:space="preserve"> inteligencia artificial </w:t>
      </w:r>
      <w:r w:rsidRPr="003958BE">
        <w:rPr>
          <w:sz w:val="22"/>
          <w:szCs w:val="22"/>
          <w:lang w:val="es-ES_tradnl"/>
        </w:rPr>
        <w:t xml:space="preserve">(IA) y el </w:t>
      </w:r>
      <w:r w:rsidR="004821D9" w:rsidRPr="003958BE">
        <w:rPr>
          <w:sz w:val="22"/>
          <w:szCs w:val="22"/>
          <w:lang w:val="es-ES_tradnl"/>
        </w:rPr>
        <w:t>aprendizaje automático</w:t>
      </w:r>
      <w:r w:rsidR="00DC1855" w:rsidRPr="003958BE">
        <w:rPr>
          <w:sz w:val="22"/>
          <w:szCs w:val="22"/>
          <w:lang w:val="es-ES_tradnl"/>
        </w:rPr>
        <w:t xml:space="preserve"> (ML)</w:t>
      </w:r>
      <w:r w:rsidR="004821D9" w:rsidRPr="003958BE">
        <w:rPr>
          <w:sz w:val="22"/>
          <w:szCs w:val="22"/>
          <w:lang w:val="es-ES_tradnl"/>
        </w:rPr>
        <w:t xml:space="preserve"> </w:t>
      </w:r>
      <w:r w:rsidR="00776CAD" w:rsidRPr="003958BE">
        <w:rPr>
          <w:sz w:val="22"/>
          <w:szCs w:val="22"/>
          <w:lang w:val="es-ES_tradnl"/>
        </w:rPr>
        <w:t xml:space="preserve">continúan </w:t>
      </w:r>
      <w:r w:rsidRPr="003958BE">
        <w:rPr>
          <w:sz w:val="22"/>
          <w:szCs w:val="22"/>
          <w:lang w:val="es-ES_tradnl"/>
        </w:rPr>
        <w:t xml:space="preserve">revolucionando las industrias y su integración en las redes </w:t>
      </w:r>
      <w:r w:rsidR="00776CAD" w:rsidRPr="003958BE">
        <w:rPr>
          <w:sz w:val="22"/>
          <w:szCs w:val="22"/>
          <w:lang w:val="es-ES_tradnl"/>
        </w:rPr>
        <w:t xml:space="preserve">futuras trae consigo </w:t>
      </w:r>
      <w:r w:rsidRPr="003958BE">
        <w:rPr>
          <w:sz w:val="22"/>
          <w:szCs w:val="22"/>
          <w:lang w:val="es-ES_tradnl"/>
        </w:rPr>
        <w:t>tanto retos como oportunidades. E</w:t>
      </w:r>
      <w:r w:rsidR="00776CAD" w:rsidRPr="003958BE">
        <w:rPr>
          <w:sz w:val="22"/>
          <w:szCs w:val="22"/>
          <w:lang w:val="es-ES_tradnl"/>
        </w:rPr>
        <w:t>ste</w:t>
      </w:r>
      <w:r w:rsidRPr="003958BE">
        <w:rPr>
          <w:sz w:val="22"/>
          <w:szCs w:val="22"/>
          <w:lang w:val="es-ES_tradnl"/>
        </w:rPr>
        <w:t xml:space="preserve"> taller</w:t>
      </w:r>
      <w:r w:rsidR="00776CAD" w:rsidRPr="003958BE">
        <w:rPr>
          <w:sz w:val="22"/>
          <w:szCs w:val="22"/>
          <w:lang w:val="es-ES_tradnl"/>
        </w:rPr>
        <w:t xml:space="preserve"> girará en torno a </w:t>
      </w:r>
      <w:r w:rsidRPr="003958BE">
        <w:rPr>
          <w:sz w:val="22"/>
          <w:szCs w:val="22"/>
          <w:lang w:val="es-ES_tradnl"/>
        </w:rPr>
        <w:t>la intersección entre las normas y la investigación en el ámbito de los conjuntos de datos de alta calidad para aplicaciones de IA/</w:t>
      </w:r>
      <w:r w:rsidR="00AE2AD8" w:rsidRPr="003958BE">
        <w:rPr>
          <w:sz w:val="22"/>
          <w:szCs w:val="22"/>
          <w:lang w:val="es-ES_tradnl"/>
        </w:rPr>
        <w:t>ML</w:t>
      </w:r>
      <w:r w:rsidR="00776CAD" w:rsidRPr="003958BE">
        <w:rPr>
          <w:sz w:val="22"/>
          <w:szCs w:val="22"/>
          <w:lang w:val="es-ES_tradnl"/>
        </w:rPr>
        <w:t xml:space="preserve"> </w:t>
      </w:r>
      <w:r w:rsidRPr="003958BE">
        <w:rPr>
          <w:sz w:val="22"/>
          <w:szCs w:val="22"/>
          <w:lang w:val="es-ES_tradnl"/>
        </w:rPr>
        <w:t>en redes. Al tender un puente entre las normas y la investigación,</w:t>
      </w:r>
      <w:r w:rsidR="00776CAD" w:rsidRPr="003958BE">
        <w:rPr>
          <w:sz w:val="22"/>
          <w:szCs w:val="22"/>
          <w:lang w:val="es-ES_tradnl"/>
        </w:rPr>
        <w:t xml:space="preserve"> uno de los</w:t>
      </w:r>
      <w:r w:rsidRPr="003958BE">
        <w:rPr>
          <w:sz w:val="22"/>
          <w:szCs w:val="22"/>
          <w:lang w:val="es-ES_tradnl"/>
        </w:rPr>
        <w:t xml:space="preserve"> objetivo</w:t>
      </w:r>
      <w:r w:rsidR="00776CAD" w:rsidRPr="003958BE">
        <w:rPr>
          <w:sz w:val="22"/>
          <w:szCs w:val="22"/>
          <w:lang w:val="es-ES_tradnl"/>
        </w:rPr>
        <w:t>s principales de este</w:t>
      </w:r>
      <w:r w:rsidRPr="003958BE">
        <w:rPr>
          <w:sz w:val="22"/>
          <w:szCs w:val="22"/>
          <w:lang w:val="es-ES_tradnl"/>
        </w:rPr>
        <w:t xml:space="preserve"> taller </w:t>
      </w:r>
      <w:r w:rsidR="00776CAD" w:rsidRPr="003958BE">
        <w:rPr>
          <w:sz w:val="22"/>
          <w:szCs w:val="22"/>
          <w:lang w:val="es-ES_tradnl"/>
        </w:rPr>
        <w:t>consiste en</w:t>
      </w:r>
      <w:r w:rsidRPr="003958BE">
        <w:rPr>
          <w:sz w:val="22"/>
          <w:szCs w:val="22"/>
          <w:lang w:val="es-ES_tradnl"/>
        </w:rPr>
        <w:t xml:space="preserve"> acelerar la adopción de las tecnologías</w:t>
      </w:r>
      <w:r w:rsidR="00AE2AD8" w:rsidRPr="003958BE">
        <w:rPr>
          <w:sz w:val="22"/>
          <w:szCs w:val="22"/>
          <w:lang w:val="es-ES_tradnl"/>
        </w:rPr>
        <w:t xml:space="preserve"> de</w:t>
      </w:r>
      <w:r w:rsidRPr="003958BE">
        <w:rPr>
          <w:sz w:val="22"/>
          <w:szCs w:val="22"/>
          <w:lang w:val="es-ES_tradnl"/>
        </w:rPr>
        <w:t xml:space="preserve"> I</w:t>
      </w:r>
      <w:r w:rsidR="00AE2AD8" w:rsidRPr="003958BE">
        <w:rPr>
          <w:sz w:val="22"/>
          <w:szCs w:val="22"/>
          <w:lang w:val="es-ES_tradnl"/>
        </w:rPr>
        <w:t>A</w:t>
      </w:r>
      <w:r w:rsidRPr="003958BE">
        <w:rPr>
          <w:sz w:val="22"/>
          <w:szCs w:val="22"/>
          <w:lang w:val="es-ES_tradnl"/>
        </w:rPr>
        <w:t>/</w:t>
      </w:r>
      <w:r w:rsidR="00AE2AD8" w:rsidRPr="003958BE">
        <w:rPr>
          <w:sz w:val="22"/>
          <w:szCs w:val="22"/>
          <w:lang w:val="es-ES_tradnl"/>
        </w:rPr>
        <w:t>ML</w:t>
      </w:r>
      <w:r w:rsidR="00776CAD" w:rsidRPr="003958BE">
        <w:rPr>
          <w:sz w:val="22"/>
          <w:szCs w:val="22"/>
          <w:lang w:val="es-ES_tradnl"/>
        </w:rPr>
        <w:t xml:space="preserve"> de cara a la conformación de</w:t>
      </w:r>
      <w:r w:rsidRPr="003958BE">
        <w:rPr>
          <w:sz w:val="22"/>
          <w:szCs w:val="22"/>
          <w:lang w:val="es-ES_tradnl"/>
        </w:rPr>
        <w:t>l futuro de la</w:t>
      </w:r>
      <w:r w:rsidR="00776CAD" w:rsidRPr="003958BE">
        <w:rPr>
          <w:sz w:val="22"/>
          <w:szCs w:val="22"/>
          <w:lang w:val="es-ES_tradnl"/>
        </w:rPr>
        <w:t>s</w:t>
      </w:r>
      <w:r w:rsidRPr="003958BE">
        <w:rPr>
          <w:sz w:val="22"/>
          <w:szCs w:val="22"/>
          <w:lang w:val="es-ES_tradnl"/>
        </w:rPr>
        <w:t xml:space="preserve"> infraestructura</w:t>
      </w:r>
      <w:r w:rsidR="00776CAD" w:rsidRPr="003958BE">
        <w:rPr>
          <w:sz w:val="22"/>
          <w:szCs w:val="22"/>
          <w:lang w:val="es-ES_tradnl"/>
        </w:rPr>
        <w:t>s</w:t>
      </w:r>
      <w:r w:rsidRPr="003958BE">
        <w:rPr>
          <w:sz w:val="22"/>
          <w:szCs w:val="22"/>
          <w:lang w:val="es-ES_tradnl"/>
        </w:rPr>
        <w:t xml:space="preserve"> y los servicios de red.</w:t>
      </w:r>
    </w:p>
    <w:p w14:paraId="63B30693" w14:textId="48CD7145" w:rsidR="0018456A" w:rsidRPr="003958BE" w:rsidRDefault="00F8692D">
      <w:pPr>
        <w:spacing w:before="0" w:after="120"/>
        <w:rPr>
          <w:sz w:val="22"/>
          <w:szCs w:val="22"/>
          <w:lang w:val="es-ES_tradnl"/>
        </w:rPr>
      </w:pPr>
      <w:r w:rsidRPr="003958BE">
        <w:rPr>
          <w:sz w:val="22"/>
          <w:szCs w:val="22"/>
          <w:lang w:val="es-ES_tradnl"/>
        </w:rPr>
        <w:t xml:space="preserve">El taller </w:t>
      </w:r>
      <w:r w:rsidR="00776CAD" w:rsidRPr="003958BE">
        <w:rPr>
          <w:sz w:val="22"/>
          <w:szCs w:val="22"/>
          <w:lang w:val="es-ES_tradnl"/>
        </w:rPr>
        <w:t>congregará</w:t>
      </w:r>
      <w:r w:rsidRPr="003958BE">
        <w:rPr>
          <w:sz w:val="22"/>
          <w:szCs w:val="22"/>
          <w:lang w:val="es-ES_tradnl"/>
        </w:rPr>
        <w:t xml:space="preserve"> a investigadores, profesionales y expertos en normalización para debatir l</w:t>
      </w:r>
      <w:r w:rsidR="00776CAD" w:rsidRPr="003958BE">
        <w:rPr>
          <w:sz w:val="22"/>
          <w:szCs w:val="22"/>
          <w:lang w:val="es-ES_tradnl"/>
        </w:rPr>
        <w:t>a</w:t>
      </w:r>
      <w:r w:rsidRPr="003958BE">
        <w:rPr>
          <w:sz w:val="22"/>
          <w:szCs w:val="22"/>
          <w:lang w:val="es-ES_tradnl"/>
        </w:rPr>
        <w:t>s últim</w:t>
      </w:r>
      <w:r w:rsidR="00776CAD" w:rsidRPr="003958BE">
        <w:rPr>
          <w:sz w:val="22"/>
          <w:szCs w:val="22"/>
          <w:lang w:val="es-ES_tradnl"/>
        </w:rPr>
        <w:t>a</w:t>
      </w:r>
      <w:r w:rsidRPr="003958BE">
        <w:rPr>
          <w:sz w:val="22"/>
          <w:szCs w:val="22"/>
          <w:lang w:val="es-ES_tradnl"/>
        </w:rPr>
        <w:t>s</w:t>
      </w:r>
      <w:r w:rsidR="00776CAD" w:rsidRPr="003958BE">
        <w:rPr>
          <w:sz w:val="22"/>
          <w:szCs w:val="22"/>
          <w:lang w:val="es-ES_tradnl"/>
        </w:rPr>
        <w:t xml:space="preserve"> novedades</w:t>
      </w:r>
      <w:r w:rsidRPr="003958BE">
        <w:rPr>
          <w:sz w:val="22"/>
          <w:szCs w:val="22"/>
          <w:lang w:val="es-ES_tradnl"/>
        </w:rPr>
        <w:t>, metodologías y prácticas</w:t>
      </w:r>
      <w:r w:rsidR="00776CAD" w:rsidRPr="003958BE">
        <w:rPr>
          <w:sz w:val="22"/>
          <w:szCs w:val="22"/>
          <w:lang w:val="es-ES_tradnl"/>
        </w:rPr>
        <w:t xml:space="preserve"> idóneas</w:t>
      </w:r>
      <w:r w:rsidRPr="003958BE">
        <w:rPr>
          <w:sz w:val="22"/>
          <w:szCs w:val="22"/>
          <w:lang w:val="es-ES_tradnl"/>
        </w:rPr>
        <w:t xml:space="preserve"> en</w:t>
      </w:r>
      <w:r w:rsidR="00776CAD" w:rsidRPr="003958BE">
        <w:rPr>
          <w:sz w:val="22"/>
          <w:szCs w:val="22"/>
          <w:lang w:val="es-ES_tradnl"/>
        </w:rPr>
        <w:t xml:space="preserve"> materia de</w:t>
      </w:r>
      <w:r w:rsidRPr="003958BE">
        <w:rPr>
          <w:sz w:val="22"/>
          <w:szCs w:val="22"/>
          <w:lang w:val="es-ES_tradnl"/>
        </w:rPr>
        <w:t xml:space="preserve"> generación, conservación y utilización de conjuntos </w:t>
      </w:r>
      <w:r w:rsidR="00776CAD" w:rsidRPr="003958BE">
        <w:rPr>
          <w:sz w:val="22"/>
          <w:szCs w:val="22"/>
          <w:lang w:val="es-ES_tradnl"/>
        </w:rPr>
        <w:t>de datos de IA/</w:t>
      </w:r>
      <w:r w:rsidR="00AE2AD8" w:rsidRPr="003958BE">
        <w:rPr>
          <w:sz w:val="22"/>
          <w:szCs w:val="22"/>
          <w:lang w:val="es-ES_tradnl"/>
        </w:rPr>
        <w:t>ML</w:t>
      </w:r>
      <w:r w:rsidR="00776CAD" w:rsidRPr="003958BE">
        <w:rPr>
          <w:sz w:val="22"/>
          <w:szCs w:val="22"/>
          <w:lang w:val="es-ES_tradnl"/>
        </w:rPr>
        <w:t xml:space="preserve"> </w:t>
      </w:r>
      <w:r w:rsidRPr="003958BE">
        <w:rPr>
          <w:sz w:val="22"/>
          <w:szCs w:val="22"/>
          <w:lang w:val="es-ES_tradnl"/>
        </w:rPr>
        <w:t>en</w:t>
      </w:r>
      <w:r w:rsidR="00776CAD" w:rsidRPr="003958BE">
        <w:rPr>
          <w:sz w:val="22"/>
          <w:szCs w:val="22"/>
          <w:lang w:val="es-ES_tradnl"/>
        </w:rPr>
        <w:t xml:space="preserve"> redes futuras</w:t>
      </w:r>
      <w:r w:rsidRPr="003958BE">
        <w:rPr>
          <w:sz w:val="22"/>
          <w:szCs w:val="22"/>
          <w:lang w:val="es-ES_tradnl"/>
        </w:rPr>
        <w:t>.</w:t>
      </w:r>
    </w:p>
    <w:p w14:paraId="7C2E3C73" w14:textId="09FDAD5E" w:rsidR="002C71B2" w:rsidRPr="003958BE" w:rsidRDefault="0018456A">
      <w:pPr>
        <w:spacing w:before="0" w:after="120"/>
        <w:rPr>
          <w:sz w:val="22"/>
          <w:szCs w:val="22"/>
          <w:lang w:val="es-ES_tradnl"/>
        </w:rPr>
      </w:pPr>
      <w:r w:rsidRPr="003958BE">
        <w:rPr>
          <w:sz w:val="22"/>
          <w:szCs w:val="22"/>
          <w:lang w:val="es-ES_tradnl"/>
        </w:rPr>
        <w:t xml:space="preserve">En este contexto, se facilitará </w:t>
      </w:r>
      <w:r w:rsidR="00F8692D" w:rsidRPr="003958BE">
        <w:rPr>
          <w:sz w:val="22"/>
          <w:szCs w:val="22"/>
          <w:lang w:val="es-ES_tradnl"/>
        </w:rPr>
        <w:t>una visión general de</w:t>
      </w:r>
      <w:r w:rsidRPr="003958BE">
        <w:rPr>
          <w:sz w:val="22"/>
          <w:szCs w:val="22"/>
          <w:lang w:val="es-ES_tradnl"/>
        </w:rPr>
        <w:t xml:space="preserve"> </w:t>
      </w:r>
      <w:r w:rsidR="00F8692D" w:rsidRPr="003958BE">
        <w:rPr>
          <w:sz w:val="22"/>
          <w:szCs w:val="22"/>
          <w:lang w:val="es-ES_tradnl"/>
        </w:rPr>
        <w:t>l</w:t>
      </w:r>
      <w:r w:rsidRPr="003958BE">
        <w:rPr>
          <w:sz w:val="22"/>
          <w:szCs w:val="22"/>
          <w:lang w:val="es-ES_tradnl"/>
        </w:rPr>
        <w:t>a</w:t>
      </w:r>
      <w:r w:rsidR="00F8692D" w:rsidRPr="003958BE">
        <w:rPr>
          <w:sz w:val="22"/>
          <w:szCs w:val="22"/>
          <w:lang w:val="es-ES_tradnl"/>
        </w:rPr>
        <w:t xml:space="preserve"> </w:t>
      </w:r>
      <w:r w:rsidRPr="003958BE">
        <w:rPr>
          <w:sz w:val="22"/>
          <w:szCs w:val="22"/>
          <w:lang w:val="es-ES_tradnl"/>
        </w:rPr>
        <w:t>labor</w:t>
      </w:r>
      <w:r w:rsidR="00F8692D" w:rsidRPr="003958BE">
        <w:rPr>
          <w:sz w:val="22"/>
          <w:szCs w:val="22"/>
          <w:lang w:val="es-ES_tradnl"/>
        </w:rPr>
        <w:t xml:space="preserve"> realizad</w:t>
      </w:r>
      <w:r w:rsidRPr="003958BE">
        <w:rPr>
          <w:sz w:val="22"/>
          <w:szCs w:val="22"/>
          <w:lang w:val="es-ES_tradnl"/>
        </w:rPr>
        <w:t xml:space="preserve">a </w:t>
      </w:r>
      <w:r w:rsidR="00F8692D" w:rsidRPr="003958BE">
        <w:rPr>
          <w:sz w:val="22"/>
          <w:szCs w:val="22"/>
          <w:lang w:val="es-ES_tradnl"/>
        </w:rPr>
        <w:t xml:space="preserve">por el </w:t>
      </w:r>
      <w:r w:rsidR="00181C75" w:rsidRPr="003958BE">
        <w:rPr>
          <w:sz w:val="22"/>
          <w:szCs w:val="22"/>
          <w:lang w:val="es-ES_tradnl"/>
        </w:rPr>
        <w:t>Grupo por correspondencia sobre conjuntos de datos aplicables a la IA y</w:t>
      </w:r>
      <w:r w:rsidR="00F8692D" w:rsidRPr="003958BE">
        <w:rPr>
          <w:sz w:val="22"/>
          <w:szCs w:val="22"/>
          <w:lang w:val="es-ES_tradnl"/>
        </w:rPr>
        <w:t>/o</w:t>
      </w:r>
      <w:r w:rsidR="00181C75" w:rsidRPr="003958BE">
        <w:rPr>
          <w:sz w:val="22"/>
          <w:szCs w:val="22"/>
          <w:lang w:val="es-ES_tradnl"/>
        </w:rPr>
        <w:t xml:space="preserve"> al </w:t>
      </w:r>
      <w:r w:rsidR="00AE2AD8" w:rsidRPr="003958BE">
        <w:rPr>
          <w:sz w:val="22"/>
          <w:szCs w:val="22"/>
          <w:lang w:val="es-ES_tradnl"/>
        </w:rPr>
        <w:t>ML</w:t>
      </w:r>
      <w:r w:rsidR="00181C75" w:rsidRPr="003958BE">
        <w:rPr>
          <w:sz w:val="22"/>
          <w:szCs w:val="22"/>
          <w:lang w:val="es-ES_tradnl"/>
        </w:rPr>
        <w:t xml:space="preserve"> en redes (GC-conjuntos de datos)</w:t>
      </w:r>
      <w:r w:rsidR="00F8692D" w:rsidRPr="003958BE">
        <w:rPr>
          <w:sz w:val="22"/>
          <w:szCs w:val="22"/>
          <w:lang w:val="es-ES_tradnl"/>
        </w:rPr>
        <w:t>, así como</w:t>
      </w:r>
      <w:r w:rsidR="00181C75" w:rsidRPr="003958BE">
        <w:rPr>
          <w:sz w:val="22"/>
          <w:szCs w:val="22"/>
          <w:lang w:val="es-ES_tradnl"/>
        </w:rPr>
        <w:t xml:space="preserve"> de las</w:t>
      </w:r>
      <w:r w:rsidR="00F8692D" w:rsidRPr="003958BE">
        <w:rPr>
          <w:sz w:val="22"/>
          <w:szCs w:val="22"/>
          <w:lang w:val="es-ES_tradnl"/>
        </w:rPr>
        <w:t xml:space="preserve"> contribuciones de las organizaciones de normalización pertinentes</w:t>
      </w:r>
      <w:r w:rsidR="00181C75" w:rsidRPr="003958BE">
        <w:rPr>
          <w:sz w:val="22"/>
          <w:szCs w:val="22"/>
          <w:lang w:val="es-ES_tradnl"/>
        </w:rPr>
        <w:t>, entre otras cuestiones</w:t>
      </w:r>
      <w:r w:rsidR="00F8692D" w:rsidRPr="003958BE">
        <w:rPr>
          <w:sz w:val="22"/>
          <w:szCs w:val="22"/>
          <w:lang w:val="es-ES_tradnl"/>
        </w:rPr>
        <w:t>.</w:t>
      </w:r>
    </w:p>
    <w:p w14:paraId="21630631" w14:textId="77777777" w:rsidR="00181C75" w:rsidRPr="003958BE" w:rsidRDefault="00181C75" w:rsidP="00181C75">
      <w:pPr>
        <w:spacing w:before="0" w:after="120"/>
        <w:rPr>
          <w:sz w:val="22"/>
          <w:szCs w:val="22"/>
          <w:lang w:val="es-ES_tradnl"/>
        </w:rPr>
      </w:pPr>
      <w:r w:rsidRPr="003958BE">
        <w:rPr>
          <w:sz w:val="22"/>
          <w:szCs w:val="22"/>
          <w:lang w:val="es-ES_tradnl"/>
        </w:rPr>
        <w:t>En este taller se abordarán temas tales como</w:t>
      </w:r>
      <w:r w:rsidR="00F8692D" w:rsidRPr="003958BE">
        <w:rPr>
          <w:sz w:val="22"/>
          <w:szCs w:val="22"/>
          <w:lang w:val="es-ES_tradnl"/>
        </w:rPr>
        <w:t>:</w:t>
      </w:r>
    </w:p>
    <w:p w14:paraId="6EF14F87" w14:textId="2DE8D7B8" w:rsidR="00181C75" w:rsidRPr="003958BE" w:rsidRDefault="000819DD" w:rsidP="000819DD">
      <w:pPr>
        <w:pStyle w:val="enumlev1"/>
        <w:rPr>
          <w:sz w:val="22"/>
          <w:szCs w:val="22"/>
          <w:lang w:val="es-ES_tradnl"/>
        </w:rPr>
      </w:pPr>
      <w:r w:rsidRPr="003958BE">
        <w:rPr>
          <w:sz w:val="22"/>
          <w:szCs w:val="22"/>
          <w:lang w:val="es-ES_tradnl"/>
        </w:rPr>
        <w:t>•</w:t>
      </w:r>
      <w:r w:rsidR="00181C75" w:rsidRPr="003958BE">
        <w:rPr>
          <w:sz w:val="22"/>
          <w:szCs w:val="22"/>
          <w:lang w:val="es-ES_tradnl"/>
        </w:rPr>
        <w:tab/>
        <w:t>casos de uso de IA/</w:t>
      </w:r>
      <w:r w:rsidR="00AE2AD8" w:rsidRPr="003958BE">
        <w:rPr>
          <w:sz w:val="22"/>
          <w:szCs w:val="22"/>
          <w:lang w:val="es-ES_tradnl"/>
        </w:rPr>
        <w:t>ML</w:t>
      </w:r>
      <w:r w:rsidR="00181C75" w:rsidRPr="003958BE">
        <w:rPr>
          <w:sz w:val="22"/>
          <w:szCs w:val="22"/>
          <w:lang w:val="es-ES_tradnl"/>
        </w:rPr>
        <w:t xml:space="preserve"> en redes futuras;</w:t>
      </w:r>
    </w:p>
    <w:p w14:paraId="3A84E40E" w14:textId="6522FB05" w:rsidR="00181C75" w:rsidRPr="003958BE" w:rsidRDefault="00181C75" w:rsidP="000819DD">
      <w:pPr>
        <w:pStyle w:val="enumlev1"/>
        <w:rPr>
          <w:sz w:val="22"/>
          <w:szCs w:val="22"/>
          <w:lang w:val="es-ES_tradnl"/>
        </w:rPr>
      </w:pPr>
      <w:r w:rsidRPr="003958BE">
        <w:rPr>
          <w:sz w:val="22"/>
          <w:szCs w:val="22"/>
          <w:lang w:val="es-ES_tradnl"/>
        </w:rPr>
        <w:t>•</w:t>
      </w:r>
      <w:r w:rsidRPr="003958BE">
        <w:rPr>
          <w:sz w:val="22"/>
          <w:szCs w:val="22"/>
          <w:lang w:val="es-ES_tradnl"/>
        </w:rPr>
        <w:tab/>
      </w:r>
      <w:bookmarkStart w:id="0" w:name="lt_pId062"/>
      <w:r w:rsidRPr="003958BE">
        <w:rPr>
          <w:sz w:val="22"/>
          <w:szCs w:val="22"/>
          <w:lang w:val="es-ES_tradnl"/>
        </w:rPr>
        <w:t>modelos de IA/</w:t>
      </w:r>
      <w:r w:rsidR="00AE2AD8" w:rsidRPr="003958BE">
        <w:rPr>
          <w:sz w:val="22"/>
          <w:szCs w:val="22"/>
          <w:lang w:val="es-ES_tradnl"/>
        </w:rPr>
        <w:t>ML</w:t>
      </w:r>
      <w:r w:rsidRPr="003958BE">
        <w:rPr>
          <w:sz w:val="22"/>
          <w:szCs w:val="22"/>
          <w:lang w:val="es-ES_tradnl"/>
        </w:rPr>
        <w:t xml:space="preserve"> para redes futuras;</w:t>
      </w:r>
      <w:bookmarkEnd w:id="0"/>
    </w:p>
    <w:p w14:paraId="172DCA3A" w14:textId="5780D939" w:rsidR="00181C75" w:rsidRPr="003958BE" w:rsidRDefault="00181C75" w:rsidP="000819DD">
      <w:pPr>
        <w:pStyle w:val="enumlev1"/>
        <w:rPr>
          <w:sz w:val="22"/>
          <w:szCs w:val="22"/>
          <w:lang w:val="es-ES_tradnl"/>
        </w:rPr>
      </w:pPr>
      <w:r w:rsidRPr="003958BE">
        <w:rPr>
          <w:sz w:val="22"/>
          <w:szCs w:val="22"/>
          <w:lang w:val="es-ES_tradnl"/>
        </w:rPr>
        <w:t>•</w:t>
      </w:r>
      <w:r w:rsidRPr="003958BE">
        <w:rPr>
          <w:sz w:val="22"/>
          <w:szCs w:val="22"/>
          <w:lang w:val="es-ES_tradnl"/>
        </w:rPr>
        <w:tab/>
        <w:t>conjuntos de datos y herramientas;</w:t>
      </w:r>
    </w:p>
    <w:p w14:paraId="52B3BE14" w14:textId="50ACB171" w:rsidR="00181C75" w:rsidRPr="003958BE" w:rsidRDefault="00181C75" w:rsidP="000819DD">
      <w:pPr>
        <w:pStyle w:val="enumlev1"/>
        <w:rPr>
          <w:sz w:val="22"/>
          <w:szCs w:val="22"/>
          <w:lang w:val="es-ES_tradnl"/>
        </w:rPr>
      </w:pPr>
      <w:r w:rsidRPr="003958BE">
        <w:rPr>
          <w:sz w:val="22"/>
          <w:szCs w:val="22"/>
          <w:lang w:val="es-ES_tradnl"/>
        </w:rPr>
        <w:t>•</w:t>
      </w:r>
      <w:r w:rsidRPr="003958BE">
        <w:rPr>
          <w:sz w:val="22"/>
          <w:szCs w:val="22"/>
          <w:lang w:val="es-ES_tradnl"/>
        </w:rPr>
        <w:tab/>
      </w:r>
      <w:bookmarkStart w:id="1" w:name="lt_pId066"/>
      <w:r w:rsidRPr="003958BE">
        <w:rPr>
          <w:sz w:val="22"/>
          <w:szCs w:val="22"/>
          <w:lang w:val="es-ES_tradnl"/>
        </w:rPr>
        <w:t>cuestiones pendientes en los ámbitos de la investigación y la industria</w:t>
      </w:r>
      <w:bookmarkEnd w:id="1"/>
      <w:r w:rsidRPr="003958BE">
        <w:rPr>
          <w:sz w:val="22"/>
          <w:szCs w:val="22"/>
          <w:lang w:val="es-ES_tradnl"/>
        </w:rPr>
        <w:t>;</w:t>
      </w:r>
    </w:p>
    <w:p w14:paraId="548FE925" w14:textId="7FA7446F" w:rsidR="00181C75" w:rsidRPr="003958BE" w:rsidRDefault="00181C75" w:rsidP="000819DD">
      <w:pPr>
        <w:pStyle w:val="enumlev1"/>
        <w:rPr>
          <w:sz w:val="22"/>
          <w:szCs w:val="22"/>
          <w:lang w:val="es-ES_tradnl"/>
        </w:rPr>
      </w:pPr>
      <w:r w:rsidRPr="003958BE">
        <w:rPr>
          <w:sz w:val="22"/>
          <w:szCs w:val="22"/>
          <w:lang w:val="es-ES_tradnl"/>
        </w:rPr>
        <w:t>•</w:t>
      </w:r>
      <w:r w:rsidRPr="003958BE">
        <w:rPr>
          <w:sz w:val="22"/>
          <w:szCs w:val="22"/>
          <w:lang w:val="es-ES_tradnl"/>
        </w:rPr>
        <w:tab/>
        <w:t>hoja de ruta para la normalización.</w:t>
      </w:r>
    </w:p>
    <w:p w14:paraId="10D76869" w14:textId="7580ACCA" w:rsidR="002C71B2" w:rsidRPr="003958BE" w:rsidRDefault="00F8692D">
      <w:pPr>
        <w:spacing w:before="0" w:after="120"/>
        <w:rPr>
          <w:sz w:val="22"/>
          <w:szCs w:val="22"/>
          <w:lang w:val="es-ES_tradnl"/>
        </w:rPr>
      </w:pPr>
      <w:r w:rsidRPr="003958BE">
        <w:rPr>
          <w:bCs/>
          <w:sz w:val="22"/>
          <w:szCs w:val="22"/>
          <w:lang w:val="es-ES_tradnl"/>
        </w:rPr>
        <w:lastRenderedPageBreak/>
        <w:t>3</w:t>
      </w:r>
      <w:r w:rsidR="00181C75" w:rsidRPr="003958BE">
        <w:rPr>
          <w:bCs/>
          <w:sz w:val="22"/>
          <w:szCs w:val="22"/>
          <w:lang w:val="es-ES_tradnl"/>
        </w:rPr>
        <w:tab/>
      </w:r>
      <w:proofErr w:type="gramStart"/>
      <w:r w:rsidRPr="003958BE">
        <w:rPr>
          <w:bCs/>
          <w:sz w:val="22"/>
          <w:szCs w:val="22"/>
          <w:lang w:val="es-ES_tradnl"/>
        </w:rPr>
        <w:t>El</w:t>
      </w:r>
      <w:proofErr w:type="gramEnd"/>
      <w:r w:rsidR="00181C75" w:rsidRPr="003958BE">
        <w:rPr>
          <w:bCs/>
          <w:sz w:val="22"/>
          <w:szCs w:val="22"/>
          <w:lang w:val="es-ES_tradnl"/>
        </w:rPr>
        <w:t xml:space="preserve"> </w:t>
      </w:r>
      <w:r w:rsidRPr="003958BE">
        <w:rPr>
          <w:sz w:val="22"/>
          <w:szCs w:val="22"/>
          <w:lang w:val="es-ES_tradnl"/>
        </w:rPr>
        <w:t>taller</w:t>
      </w:r>
      <w:r w:rsidR="00181C75" w:rsidRPr="003958BE">
        <w:rPr>
          <w:rFonts w:asciiTheme="minorHAnsi" w:hAnsiTheme="minorHAnsi"/>
          <w:sz w:val="22"/>
          <w:szCs w:val="22"/>
          <w:lang w:val="es-ES_tradnl"/>
        </w:rPr>
        <w:t xml:space="preserve"> </w:t>
      </w:r>
      <w:r w:rsidR="00181C75" w:rsidRPr="003958BE">
        <w:rPr>
          <w:sz w:val="22"/>
          <w:szCs w:val="22"/>
          <w:lang w:val="es-ES_tradnl"/>
        </w:rPr>
        <w:t>comenzará a las 9.30 horas del 16 de julio de 2024. Se facilitará información detallada sobre la sala de reunión en la entrada del lugar de celebración. El evento se celebrará únicamente en inglés y se facilitarán servicios de participación a distancia en el mismo.</w:t>
      </w:r>
    </w:p>
    <w:p w14:paraId="49758C18" w14:textId="77777777" w:rsidR="00181C75" w:rsidRPr="003958BE" w:rsidRDefault="00F8692D">
      <w:pPr>
        <w:tabs>
          <w:tab w:val="clear" w:pos="794"/>
          <w:tab w:val="clear" w:pos="1191"/>
          <w:tab w:val="clear" w:pos="1588"/>
          <w:tab w:val="clear" w:pos="1985"/>
        </w:tabs>
        <w:overflowPunct/>
        <w:autoSpaceDE/>
        <w:autoSpaceDN/>
        <w:adjustRightInd/>
        <w:spacing w:before="0"/>
        <w:rPr>
          <w:sz w:val="22"/>
          <w:szCs w:val="22"/>
          <w:lang w:val="es-ES_tradnl"/>
        </w:rPr>
      </w:pPr>
      <w:r w:rsidRPr="003958BE">
        <w:rPr>
          <w:sz w:val="22"/>
          <w:szCs w:val="22"/>
          <w:lang w:val="es-ES_tradnl"/>
        </w:rPr>
        <w:t>4</w:t>
      </w:r>
      <w:r w:rsidR="00181C75" w:rsidRPr="003958BE">
        <w:rPr>
          <w:sz w:val="22"/>
          <w:szCs w:val="22"/>
          <w:lang w:val="es-ES_tradnl"/>
        </w:rPr>
        <w:tab/>
      </w:r>
      <w:proofErr w:type="gramStart"/>
      <w:r w:rsidR="00181C75" w:rsidRPr="003958BE">
        <w:rPr>
          <w:sz w:val="22"/>
          <w:szCs w:val="22"/>
          <w:lang w:val="es-ES_tradnl"/>
        </w:rPr>
        <w:t>En</w:t>
      </w:r>
      <w:proofErr w:type="gramEnd"/>
      <w:r w:rsidR="00181C75" w:rsidRPr="003958BE">
        <w:rPr>
          <w:sz w:val="22"/>
          <w:szCs w:val="22"/>
          <w:lang w:val="es-ES_tradnl"/>
        </w:rPr>
        <w:t xml:space="preserve"> este taller podrán participar los Estados Miembros, Miembros de Sector, Asociados e Instituciones Académicas de la UIT, así como cualquier nacional de un Estado Miembro de la UIT que desee contribuir a los trabajos, incluidas las personas que también sean miembros de organizaciones nacionales, regionales e internacionales.</w:t>
      </w:r>
    </w:p>
    <w:p w14:paraId="5CC3C66A" w14:textId="20D476B9" w:rsidR="007A1128" w:rsidRPr="003958BE" w:rsidRDefault="00F8692D">
      <w:pPr>
        <w:tabs>
          <w:tab w:val="left" w:pos="900"/>
        </w:tabs>
        <w:rPr>
          <w:sz w:val="22"/>
          <w:szCs w:val="22"/>
          <w:lang w:val="es-ES_tradnl"/>
        </w:rPr>
      </w:pPr>
      <w:r w:rsidRPr="003958BE">
        <w:rPr>
          <w:sz w:val="22"/>
          <w:szCs w:val="22"/>
          <w:lang w:val="es-ES_tradnl"/>
        </w:rPr>
        <w:t>5</w:t>
      </w:r>
      <w:r w:rsidR="007A1128" w:rsidRPr="003958BE">
        <w:rPr>
          <w:sz w:val="22"/>
          <w:szCs w:val="22"/>
          <w:lang w:val="es-ES_tradnl"/>
        </w:rPr>
        <w:tab/>
        <w:t xml:space="preserve">Toda la información de interés en relación con este taller, incluidos el proyecto de programa, los detalles relativos a la participación a distancia y al proceso de inscripción, la lista de oradores, etc., se publicará en el sitio web del evento en la dirección: </w:t>
      </w:r>
      <w:hyperlink r:id="rId12" w:history="1">
        <w:r w:rsidR="007A1128" w:rsidRPr="003958BE">
          <w:rPr>
            <w:rStyle w:val="Hyperlink"/>
            <w:sz w:val="22"/>
            <w:szCs w:val="22"/>
            <w:lang w:val="es-ES_tradnl"/>
          </w:rPr>
          <w:t>https://www.itu.int/en/ITU-T/Workshops-and-Seminars/2024/0716/Page</w:t>
        </w:r>
        <w:r w:rsidR="007A1128" w:rsidRPr="003958BE">
          <w:rPr>
            <w:rStyle w:val="Hyperlink"/>
            <w:sz w:val="22"/>
            <w:szCs w:val="22"/>
            <w:lang w:val="es-ES_tradnl"/>
          </w:rPr>
          <w:t>s</w:t>
        </w:r>
        <w:r w:rsidR="007A1128" w:rsidRPr="003958BE">
          <w:rPr>
            <w:rStyle w:val="Hyperlink"/>
            <w:sz w:val="22"/>
            <w:szCs w:val="22"/>
            <w:lang w:val="es-ES_tradnl"/>
          </w:rPr>
          <w:t>/default.aspx</w:t>
        </w:r>
        <w:r w:rsidR="007A1128" w:rsidRPr="003958BE">
          <w:rPr>
            <w:rStyle w:val="Hyperlink"/>
            <w:color w:val="auto"/>
            <w:sz w:val="22"/>
            <w:szCs w:val="22"/>
            <w:u w:val="none"/>
            <w:lang w:val="es-ES_tradnl"/>
          </w:rPr>
          <w:t>.</w:t>
        </w:r>
      </w:hyperlink>
      <w:r w:rsidRPr="003958BE">
        <w:rPr>
          <w:sz w:val="22"/>
          <w:szCs w:val="22"/>
          <w:lang w:val="es-ES_tradnl"/>
        </w:rPr>
        <w:t xml:space="preserve"> L</w:t>
      </w:r>
      <w:r w:rsidR="007A1128" w:rsidRPr="003958BE">
        <w:rPr>
          <w:sz w:val="22"/>
          <w:szCs w:val="22"/>
          <w:lang w:val="es-ES_tradnl"/>
        </w:rPr>
        <w:t>a página web del evento se irá actualizando a medida que se disponga de más información. Se recomienda a los participantes consultarla periódicamente.</w:t>
      </w:r>
    </w:p>
    <w:p w14:paraId="52C9A005" w14:textId="1EAE657F" w:rsidR="007A1128" w:rsidRPr="003958BE" w:rsidRDefault="00F8692D" w:rsidP="007A1128">
      <w:pPr>
        <w:tabs>
          <w:tab w:val="left" w:pos="900"/>
        </w:tabs>
        <w:rPr>
          <w:sz w:val="22"/>
          <w:szCs w:val="22"/>
          <w:lang w:val="es-ES_tradnl"/>
        </w:rPr>
      </w:pPr>
      <w:r w:rsidRPr="003958BE">
        <w:rPr>
          <w:sz w:val="22"/>
          <w:szCs w:val="22"/>
          <w:lang w:val="es-ES_tradnl"/>
        </w:rPr>
        <w:t>6</w:t>
      </w:r>
      <w:r w:rsidR="007A1128" w:rsidRPr="003958BE">
        <w:rPr>
          <w:sz w:val="22"/>
          <w:szCs w:val="22"/>
          <w:lang w:val="es-ES_tradnl"/>
        </w:rPr>
        <w:tab/>
      </w:r>
      <w:proofErr w:type="gramStart"/>
      <w:r w:rsidR="007A1128" w:rsidRPr="003958BE">
        <w:rPr>
          <w:sz w:val="22"/>
          <w:szCs w:val="22"/>
          <w:lang w:val="es-ES_tradnl"/>
        </w:rPr>
        <w:t>Los</w:t>
      </w:r>
      <w:proofErr w:type="gramEnd"/>
      <w:r w:rsidR="007A1128" w:rsidRPr="003958BE">
        <w:rPr>
          <w:sz w:val="22"/>
          <w:szCs w:val="22"/>
          <w:lang w:val="es-ES_tradnl"/>
        </w:rPr>
        <w:t xml:space="preserve"> delegados disponen de instalaciones de red de área local inalámbrica en las zonas aledañas a las principales salas de conferencias de la UIT. Para obtener más información, véase el sitio web del UIT</w:t>
      </w:r>
      <w:r w:rsidR="000819DD" w:rsidRPr="003958BE">
        <w:rPr>
          <w:sz w:val="22"/>
          <w:szCs w:val="22"/>
          <w:lang w:val="es-ES_tradnl"/>
        </w:rPr>
        <w:noBreakHyphen/>
      </w:r>
      <w:r w:rsidR="007A1128" w:rsidRPr="003958BE">
        <w:rPr>
          <w:sz w:val="22"/>
          <w:szCs w:val="22"/>
          <w:lang w:val="es-ES_tradnl"/>
        </w:rPr>
        <w:t>T (</w:t>
      </w:r>
      <w:hyperlink r:id="rId13" w:history="1">
        <w:r w:rsidR="007A1128" w:rsidRPr="003958BE">
          <w:rPr>
            <w:rStyle w:val="Hyperlink"/>
            <w:sz w:val="22"/>
            <w:szCs w:val="22"/>
            <w:lang w:val="es-ES_tradnl"/>
          </w:rPr>
          <w:t>https://www.itu.int/ITU-T/e</w:t>
        </w:r>
        <w:r w:rsidR="007A1128" w:rsidRPr="003958BE">
          <w:rPr>
            <w:rStyle w:val="Hyperlink"/>
            <w:sz w:val="22"/>
            <w:szCs w:val="22"/>
            <w:lang w:val="es-ES_tradnl"/>
          </w:rPr>
          <w:t>d</w:t>
        </w:r>
        <w:r w:rsidR="007A1128" w:rsidRPr="003958BE">
          <w:rPr>
            <w:rStyle w:val="Hyperlink"/>
            <w:sz w:val="22"/>
            <w:szCs w:val="22"/>
            <w:lang w:val="es-ES_tradnl"/>
          </w:rPr>
          <w:t>h/faqs-support.html</w:t>
        </w:r>
      </w:hyperlink>
      <w:r w:rsidR="007A1128" w:rsidRPr="003958BE">
        <w:rPr>
          <w:sz w:val="22"/>
          <w:szCs w:val="22"/>
          <w:lang w:val="es-ES_tradnl"/>
        </w:rPr>
        <w:t>).</w:t>
      </w:r>
    </w:p>
    <w:p w14:paraId="1C0CBE4E" w14:textId="767543A7" w:rsidR="007A1128" w:rsidRPr="003958BE" w:rsidRDefault="007A1128" w:rsidP="007A1128">
      <w:pPr>
        <w:tabs>
          <w:tab w:val="left" w:pos="900"/>
        </w:tabs>
        <w:rPr>
          <w:sz w:val="22"/>
          <w:szCs w:val="22"/>
          <w:lang w:val="es-ES_tradnl"/>
        </w:rPr>
      </w:pPr>
      <w:r w:rsidRPr="003958BE">
        <w:rPr>
          <w:sz w:val="22"/>
          <w:szCs w:val="22"/>
          <w:lang w:val="es-ES_tradnl"/>
        </w:rPr>
        <w:t>7</w:t>
      </w:r>
      <w:r w:rsidRPr="003958BE">
        <w:rPr>
          <w:sz w:val="22"/>
          <w:szCs w:val="22"/>
          <w:lang w:val="es-ES_tradnl"/>
        </w:rPr>
        <w:tab/>
      </w:r>
      <w:proofErr w:type="gramStart"/>
      <w:r w:rsidRPr="003958BE">
        <w:rPr>
          <w:sz w:val="22"/>
          <w:szCs w:val="22"/>
          <w:lang w:val="es-ES_tradnl"/>
        </w:rPr>
        <w:t>Varios</w:t>
      </w:r>
      <w:proofErr w:type="gramEnd"/>
      <w:r w:rsidRPr="003958BE">
        <w:rPr>
          <w:sz w:val="22"/>
          <w:szCs w:val="22"/>
          <w:lang w:val="es-ES_tradnl"/>
        </w:rPr>
        <w:t xml:space="preserve"> hoteles de Ginebra ofrecen precios especiales para los delegados que asisten a reuniones de la UIT, y regalan un abono gratuito para los transportes públicos de la ciudad. Puede consultar la lista de hoteles participantes e información sobre cómo solicitar descuentos en la dirección: </w:t>
      </w:r>
      <w:hyperlink r:id="rId14" w:history="1">
        <w:r w:rsidRPr="003958BE">
          <w:rPr>
            <w:rStyle w:val="Hyperlink"/>
            <w:sz w:val="22"/>
            <w:szCs w:val="22"/>
            <w:lang w:val="es-ES_tradnl"/>
          </w:rPr>
          <w:t>https://i</w:t>
        </w:r>
        <w:r w:rsidRPr="003958BE">
          <w:rPr>
            <w:rStyle w:val="Hyperlink"/>
            <w:sz w:val="22"/>
            <w:szCs w:val="22"/>
            <w:lang w:val="es-ES_tradnl"/>
          </w:rPr>
          <w:t>t</w:t>
        </w:r>
        <w:r w:rsidRPr="003958BE">
          <w:rPr>
            <w:rStyle w:val="Hyperlink"/>
            <w:sz w:val="22"/>
            <w:szCs w:val="22"/>
            <w:lang w:val="es-ES_tradnl"/>
          </w:rPr>
          <w:t>u.int/travel</w:t>
        </w:r>
      </w:hyperlink>
      <w:r w:rsidRPr="003958BE">
        <w:rPr>
          <w:sz w:val="22"/>
          <w:szCs w:val="22"/>
          <w:lang w:val="es-ES_tradnl"/>
        </w:rPr>
        <w:t>.</w:t>
      </w:r>
    </w:p>
    <w:p w14:paraId="78B80F8A" w14:textId="4B1CE392" w:rsidR="007A1128" w:rsidRPr="003958BE" w:rsidRDefault="007A1128" w:rsidP="007A1128">
      <w:pPr>
        <w:tabs>
          <w:tab w:val="left" w:pos="900"/>
        </w:tabs>
        <w:rPr>
          <w:sz w:val="22"/>
          <w:szCs w:val="22"/>
          <w:lang w:val="es-ES_tradnl"/>
        </w:rPr>
      </w:pPr>
      <w:r w:rsidRPr="003958BE">
        <w:rPr>
          <w:sz w:val="22"/>
          <w:szCs w:val="22"/>
          <w:lang w:val="es-ES_tradnl"/>
        </w:rPr>
        <w:t>8</w:t>
      </w:r>
      <w:r w:rsidRPr="003958BE">
        <w:rPr>
          <w:sz w:val="22"/>
          <w:szCs w:val="22"/>
          <w:lang w:val="es-ES_tradnl"/>
        </w:rPr>
        <w:tab/>
      </w:r>
      <w:proofErr w:type="gramStart"/>
      <w:r w:rsidRPr="003958BE">
        <w:rPr>
          <w:sz w:val="22"/>
          <w:szCs w:val="22"/>
          <w:lang w:val="es-ES_tradnl"/>
        </w:rPr>
        <w:t>Para</w:t>
      </w:r>
      <w:proofErr w:type="gramEnd"/>
      <w:r w:rsidRPr="003958BE">
        <w:rPr>
          <w:sz w:val="22"/>
          <w:szCs w:val="22"/>
          <w:lang w:val="es-ES_tradnl"/>
        </w:rPr>
        <w:t xml:space="preserve"> que la TSB pueda tomar las disposiciones necesarias a efectos de la organización del taller, le agradeceríamos que se inscribiese a la mayor brevedad posible a través del formulario en línea que encontrará en el sitio web.</w:t>
      </w:r>
      <w:r w:rsidRPr="003958BE">
        <w:rPr>
          <w:b/>
          <w:bCs/>
          <w:sz w:val="22"/>
          <w:szCs w:val="22"/>
          <w:lang w:val="es-ES_tradnl"/>
        </w:rPr>
        <w:t xml:space="preserve"> Le rogamos tenga presente que la preinscripción de los participantes en los talleres es obligatoria y se lleva a cabo exclusivamente en línea. </w:t>
      </w:r>
      <w:r w:rsidR="00F8692D" w:rsidRPr="003958BE">
        <w:rPr>
          <w:b/>
          <w:bCs/>
          <w:sz w:val="22"/>
          <w:szCs w:val="22"/>
          <w:lang w:val="es-ES_tradnl"/>
        </w:rPr>
        <w:t>La participación en e</w:t>
      </w:r>
      <w:r w:rsidRPr="003958BE">
        <w:rPr>
          <w:b/>
          <w:bCs/>
          <w:sz w:val="22"/>
          <w:szCs w:val="22"/>
          <w:lang w:val="es-ES_tradnl"/>
        </w:rPr>
        <w:t>l taller es gratuit</w:t>
      </w:r>
      <w:r w:rsidR="00F8692D" w:rsidRPr="003958BE">
        <w:rPr>
          <w:b/>
          <w:bCs/>
          <w:sz w:val="22"/>
          <w:szCs w:val="22"/>
          <w:lang w:val="es-ES_tradnl"/>
        </w:rPr>
        <w:t>a</w:t>
      </w:r>
      <w:r w:rsidRPr="003958BE">
        <w:rPr>
          <w:b/>
          <w:bCs/>
          <w:sz w:val="22"/>
          <w:szCs w:val="22"/>
          <w:lang w:val="es-ES_tradnl"/>
        </w:rPr>
        <w:t xml:space="preserve"> y</w:t>
      </w:r>
      <w:r w:rsidR="00F8692D" w:rsidRPr="003958BE">
        <w:rPr>
          <w:b/>
          <w:bCs/>
          <w:sz w:val="22"/>
          <w:szCs w:val="22"/>
          <w:lang w:val="es-ES_tradnl"/>
        </w:rPr>
        <w:t xml:space="preserve"> pública</w:t>
      </w:r>
      <w:r w:rsidRPr="003958BE">
        <w:rPr>
          <w:sz w:val="22"/>
          <w:szCs w:val="22"/>
          <w:lang w:val="es-ES_tradnl"/>
        </w:rPr>
        <w:t>.</w:t>
      </w:r>
    </w:p>
    <w:p w14:paraId="48390756" w14:textId="57192BE4" w:rsidR="007A1128" w:rsidRPr="003958BE" w:rsidRDefault="007A1128" w:rsidP="007A1128">
      <w:pPr>
        <w:tabs>
          <w:tab w:val="left" w:pos="900"/>
        </w:tabs>
        <w:rPr>
          <w:sz w:val="22"/>
          <w:szCs w:val="22"/>
          <w:lang w:val="es-ES_tradnl"/>
        </w:rPr>
      </w:pPr>
      <w:r w:rsidRPr="003958BE">
        <w:rPr>
          <w:sz w:val="22"/>
          <w:szCs w:val="22"/>
          <w:lang w:val="es-ES_tradnl"/>
        </w:rPr>
        <w:t>9</w:t>
      </w:r>
      <w:r w:rsidRPr="003958BE">
        <w:rPr>
          <w:sz w:val="22"/>
          <w:szCs w:val="22"/>
          <w:lang w:val="es-ES_tradnl"/>
        </w:rPr>
        <w:tab/>
      </w:r>
      <w:proofErr w:type="gramStart"/>
      <w:r w:rsidRPr="003958BE">
        <w:rPr>
          <w:sz w:val="22"/>
          <w:szCs w:val="22"/>
          <w:lang w:val="es-ES_tradnl"/>
        </w:rPr>
        <w:t>Le</w:t>
      </w:r>
      <w:proofErr w:type="gramEnd"/>
      <w:r w:rsidRPr="003958BE">
        <w:rPr>
          <w:sz w:val="22"/>
          <w:szCs w:val="22"/>
          <w:lang w:val="es-ES_tradnl"/>
        </w:rPr>
        <w:t xml:space="preserve"> recordamos que los ciudadanos de algunos países necesitan obtener un visado para entrar y efectuar una estadía en Suiza. </w:t>
      </w:r>
      <w:r w:rsidRPr="003958BE">
        <w:rPr>
          <w:b/>
          <w:bCs/>
          <w:sz w:val="22"/>
          <w:szCs w:val="22"/>
          <w:lang w:val="es-ES_tradnl"/>
        </w:rPr>
        <w:t xml:space="preserve">De ser necesario, el visado debe solicitarse al menos cuatro (4) semanas antes de la fecha de inicio del taller </w:t>
      </w:r>
      <w:r w:rsidRPr="003958BE">
        <w:rPr>
          <w:sz w:val="22"/>
          <w:szCs w:val="22"/>
          <w:lang w:val="es-ES_tradnl"/>
        </w:rPr>
        <w:t>y obtenerse en la oficina (embajada o consulado) que represente a Suiza en su país o, en su defecto, en la entidad más cercana al país de partida.</w:t>
      </w:r>
    </w:p>
    <w:p w14:paraId="1611A1D6" w14:textId="098E9B01" w:rsidR="002C71B2" w:rsidRPr="003958BE" w:rsidRDefault="007A1128">
      <w:pPr>
        <w:tabs>
          <w:tab w:val="left" w:pos="900"/>
        </w:tabs>
        <w:rPr>
          <w:sz w:val="22"/>
          <w:szCs w:val="22"/>
          <w:lang w:val="es-ES_tradnl"/>
        </w:rPr>
      </w:pPr>
      <w:r w:rsidRPr="003958BE">
        <w:rPr>
          <w:sz w:val="22"/>
          <w:szCs w:val="22"/>
          <w:lang w:val="es-ES_tradnl"/>
        </w:rPr>
        <w:t xml:space="preserve">Si </w:t>
      </w:r>
      <w:r w:rsidRPr="003958BE">
        <w:rPr>
          <w:b/>
          <w:bCs/>
          <w:sz w:val="22"/>
          <w:szCs w:val="22"/>
          <w:lang w:val="es-ES_tradnl"/>
        </w:rPr>
        <w:t>un Estado Miembro, un Miembro de Sector, un Asociado o una Institución Académica de la UIT</w:t>
      </w:r>
      <w:r w:rsidRPr="003958BE">
        <w:rPr>
          <w:sz w:val="22"/>
          <w:szCs w:val="22"/>
          <w:lang w:val="es-ES_tradnl"/>
        </w:rPr>
        <w:t xml:space="preserve"> experimenta dificultades, y previa solicitud oficial del interesado a la TSB, la Unión puede intervenir ante las autoridades suizas competentes para facilitar la expedición de ese visado, pero solamente durante el periodo mencionado de </w:t>
      </w:r>
      <w:r w:rsidRPr="003958BE">
        <w:rPr>
          <w:b/>
          <w:bCs/>
          <w:sz w:val="22"/>
          <w:szCs w:val="22"/>
          <w:lang w:val="es-ES_tradnl"/>
        </w:rPr>
        <w:t>cuatro</w:t>
      </w:r>
      <w:r w:rsidRPr="003958BE">
        <w:rPr>
          <w:sz w:val="22"/>
          <w:szCs w:val="22"/>
          <w:lang w:val="es-ES_tradnl"/>
        </w:rPr>
        <w:t xml:space="preserve"> semanas. Toda solicitud al respecto debe formularse marcando la casilla correspondiente en el formulario a más tardar cuatro semanas antes del evento.</w:t>
      </w:r>
      <w:r w:rsidR="00537D90" w:rsidRPr="003958BE">
        <w:rPr>
          <w:sz w:val="22"/>
          <w:szCs w:val="22"/>
          <w:lang w:val="es-ES_tradnl"/>
        </w:rPr>
        <w:t xml:space="preserve"> En caso de duda, </w:t>
      </w:r>
      <w:r w:rsidR="00F8692D" w:rsidRPr="003958BE">
        <w:rPr>
          <w:sz w:val="22"/>
          <w:szCs w:val="22"/>
          <w:lang w:val="es-ES_tradnl"/>
        </w:rPr>
        <w:t>puede dirigirse</w:t>
      </w:r>
      <w:r w:rsidRPr="003958BE">
        <w:rPr>
          <w:sz w:val="22"/>
          <w:szCs w:val="22"/>
          <w:lang w:val="es-ES_tradnl"/>
        </w:rPr>
        <w:t xml:space="preserve"> a la Sección de Viajes de la UIT (</w:t>
      </w:r>
      <w:hyperlink r:id="rId15" w:history="1">
        <w:r w:rsidRPr="003958BE">
          <w:rPr>
            <w:rStyle w:val="Hyperlink"/>
            <w:sz w:val="22"/>
            <w:szCs w:val="22"/>
            <w:lang w:val="es-ES_tradnl"/>
          </w:rPr>
          <w:t>travel@itu.int</w:t>
        </w:r>
      </w:hyperlink>
      <w:r w:rsidR="00537D90" w:rsidRPr="003958BE">
        <w:rPr>
          <w:sz w:val="22"/>
          <w:szCs w:val="22"/>
          <w:lang w:val="es-ES_tradnl"/>
        </w:rPr>
        <w:t xml:space="preserve">) </w:t>
      </w:r>
      <w:r w:rsidRPr="003958BE">
        <w:rPr>
          <w:sz w:val="22"/>
          <w:szCs w:val="22"/>
          <w:lang w:val="es-ES_tradnl"/>
        </w:rPr>
        <w:t xml:space="preserve">con la mención </w:t>
      </w:r>
      <w:r w:rsidR="000819DD" w:rsidRPr="003958BE">
        <w:rPr>
          <w:sz w:val="22"/>
          <w:szCs w:val="22"/>
          <w:lang w:val="es-ES_tradnl"/>
        </w:rPr>
        <w:t>"</w:t>
      </w:r>
      <w:r w:rsidRPr="003958BE">
        <w:rPr>
          <w:sz w:val="22"/>
          <w:szCs w:val="22"/>
          <w:lang w:val="es-ES_tradnl"/>
        </w:rPr>
        <w:t>Apoyo para el visado</w:t>
      </w:r>
      <w:r w:rsidR="000819DD" w:rsidRPr="003958BE">
        <w:rPr>
          <w:sz w:val="22"/>
          <w:szCs w:val="22"/>
          <w:lang w:val="es-ES_tradnl"/>
        </w:rPr>
        <w:t>"</w:t>
      </w:r>
      <w:r w:rsidRPr="003958BE">
        <w:rPr>
          <w:sz w:val="22"/>
          <w:szCs w:val="22"/>
          <w:lang w:val="es-ES_tradnl"/>
        </w:rPr>
        <w:t>.</w:t>
      </w:r>
    </w:p>
    <w:p w14:paraId="05DA35D7" w14:textId="1B570AF6" w:rsidR="00537D90" w:rsidRPr="003958BE" w:rsidRDefault="00537D90" w:rsidP="00537D90">
      <w:pPr>
        <w:rPr>
          <w:sz w:val="22"/>
          <w:szCs w:val="22"/>
          <w:lang w:val="es-ES_tradnl"/>
        </w:rPr>
      </w:pPr>
      <w:r w:rsidRPr="003958BE">
        <w:rPr>
          <w:sz w:val="22"/>
          <w:szCs w:val="22"/>
          <w:lang w:val="es-ES_tradnl"/>
        </w:rPr>
        <w:t>Atentamente,</w:t>
      </w:r>
    </w:p>
    <w:p w14:paraId="1F501ECC" w14:textId="29019251" w:rsidR="00537D90" w:rsidRPr="00DC1855" w:rsidRDefault="00537D90" w:rsidP="00537D90">
      <w:pPr>
        <w:spacing w:before="960"/>
        <w:rPr>
          <w:sz w:val="22"/>
          <w:szCs w:val="22"/>
          <w:lang w:val="es-ES_tradnl"/>
        </w:rPr>
      </w:pPr>
      <w:r w:rsidRPr="003958BE">
        <w:rPr>
          <w:rFonts w:cstheme="minorHAnsi"/>
          <w:noProof/>
          <w:sz w:val="22"/>
          <w:szCs w:val="22"/>
          <w:lang w:val="es-ES_tradnl"/>
        </w:rPr>
        <w:drawing>
          <wp:anchor distT="0" distB="0" distL="114300" distR="114300" simplePos="0" relativeHeight="251659264" behindDoc="1" locked="0" layoutInCell="1" allowOverlap="1" wp14:anchorId="064072FC" wp14:editId="3C56ECBE">
            <wp:simplePos x="0" y="0"/>
            <wp:positionH relativeFrom="column">
              <wp:posOffset>-2540</wp:posOffset>
            </wp:positionH>
            <wp:positionV relativeFrom="paragraph">
              <wp:posOffset>212090</wp:posOffset>
            </wp:positionV>
            <wp:extent cx="683809" cy="307975"/>
            <wp:effectExtent l="0" t="0" r="2540" b="0"/>
            <wp:wrapNone/>
            <wp:docPr id="3" name="Picture 3"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blu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83809" cy="307975"/>
                    </a:xfrm>
                    <a:prstGeom prst="rect">
                      <a:avLst/>
                    </a:prstGeom>
                  </pic:spPr>
                </pic:pic>
              </a:graphicData>
            </a:graphic>
            <wp14:sizeRelH relativeFrom="margin">
              <wp14:pctWidth>0</wp14:pctWidth>
            </wp14:sizeRelH>
            <wp14:sizeRelV relativeFrom="margin">
              <wp14:pctHeight>0</wp14:pctHeight>
            </wp14:sizeRelV>
          </wp:anchor>
        </w:drawing>
      </w:r>
      <w:r w:rsidRPr="003958BE">
        <w:rPr>
          <w:rFonts w:cstheme="minorHAnsi"/>
          <w:sz w:val="22"/>
          <w:szCs w:val="22"/>
          <w:lang w:val="es-ES_tradnl"/>
        </w:rPr>
        <w:t>Seizo Onoe</w:t>
      </w:r>
      <w:r w:rsidRPr="003958BE">
        <w:rPr>
          <w:sz w:val="22"/>
          <w:szCs w:val="22"/>
          <w:lang w:val="es-ES_tradnl"/>
        </w:rPr>
        <w:br/>
      </w:r>
      <w:proofErr w:type="gramStart"/>
      <w:r w:rsidRPr="00DC1855">
        <w:rPr>
          <w:sz w:val="22"/>
          <w:szCs w:val="22"/>
          <w:lang w:val="es-ES_tradnl"/>
        </w:rPr>
        <w:t>Director</w:t>
      </w:r>
      <w:proofErr w:type="gramEnd"/>
      <w:r w:rsidRPr="00DC1855">
        <w:rPr>
          <w:sz w:val="22"/>
          <w:szCs w:val="22"/>
          <w:lang w:val="es-ES_tradnl"/>
        </w:rPr>
        <w:t xml:space="preserve"> de la Oficina de </w:t>
      </w:r>
      <w:r w:rsidRPr="00DC1855">
        <w:rPr>
          <w:sz w:val="22"/>
          <w:szCs w:val="22"/>
          <w:lang w:val="es-ES_tradnl"/>
        </w:rPr>
        <w:br/>
        <w:t>Normalización de las Telecomunicaciones</w:t>
      </w:r>
    </w:p>
    <w:sectPr w:rsidR="00537D90" w:rsidRPr="00DC1855" w:rsidSect="00664BA0">
      <w:head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C778" w14:textId="77777777" w:rsidR="00664BA0" w:rsidRDefault="00664BA0">
      <w:r>
        <w:separator/>
      </w:r>
    </w:p>
  </w:endnote>
  <w:endnote w:type="continuationSeparator" w:id="0">
    <w:p w14:paraId="59CBD6D7" w14:textId="77777777" w:rsidR="00664BA0" w:rsidRDefault="0066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C116" w14:textId="571723E2" w:rsidR="00FB4BBA" w:rsidRPr="00FB4BBA" w:rsidRDefault="00FB4BBA" w:rsidP="00FB4BBA">
    <w:pPr>
      <w:pStyle w:val="FirstFooter"/>
      <w:ind w:left="-397" w:right="-397"/>
      <w:jc w:val="center"/>
      <w:rPr>
        <w:color w:val="0070C0"/>
        <w:sz w:val="18"/>
        <w:szCs w:val="18"/>
        <w:lang w:val="es-ES"/>
      </w:rPr>
    </w:pPr>
    <w:r w:rsidRPr="00FB4BBA">
      <w:rPr>
        <w:color w:val="0070C0"/>
        <w:sz w:val="18"/>
        <w:szCs w:val="18"/>
        <w:lang w:val="es-ES"/>
      </w:rPr>
      <w:t>Unión Internacional de Telecomunicaciones • Place des Nations, CH</w:t>
    </w:r>
    <w:r w:rsidRPr="00FB4BBA">
      <w:rPr>
        <w:color w:val="0070C0"/>
        <w:sz w:val="18"/>
        <w:szCs w:val="18"/>
        <w:lang w:val="es-ES"/>
      </w:rPr>
      <w:noBreakHyphen/>
      <w:t xml:space="preserve">1211 Ginebra 20, Suiza </w:t>
    </w:r>
    <w:r w:rsidRPr="00FB4BBA">
      <w:rPr>
        <w:color w:val="0070C0"/>
        <w:sz w:val="18"/>
        <w:szCs w:val="18"/>
        <w:lang w:val="es-ES"/>
      </w:rPr>
      <w:br/>
      <w:t xml:space="preserve">Tel: +41 22 730 5111 • Fax: +41 22 733 7256 • Correo-e: </w:t>
    </w:r>
    <w:r w:rsidR="0062288B">
      <w:fldChar w:fldCharType="begin"/>
    </w:r>
    <w:r w:rsidR="0062288B" w:rsidRPr="003958BE">
      <w:rPr>
        <w:lang w:val="fr-CH"/>
      </w:rPr>
      <w:instrText>HYPERLINK "mailto:itumail@itu.int"</w:instrText>
    </w:r>
    <w:r w:rsidR="0062288B">
      <w:fldChar w:fldCharType="separate"/>
    </w:r>
    <w:r w:rsidRPr="00FB4BBA">
      <w:rPr>
        <w:rStyle w:val="Hyperlink"/>
        <w:color w:val="0070C0"/>
        <w:sz w:val="18"/>
        <w:szCs w:val="18"/>
        <w:lang w:val="es-ES"/>
      </w:rPr>
      <w:t>itumail@itu.int</w:t>
    </w:r>
    <w:r w:rsidR="0062288B">
      <w:rPr>
        <w:rStyle w:val="Hyperlink"/>
        <w:color w:val="0070C0"/>
        <w:sz w:val="18"/>
        <w:szCs w:val="18"/>
        <w:lang w:val="es-ES"/>
      </w:rPr>
      <w:fldChar w:fldCharType="end"/>
    </w:r>
    <w:r w:rsidRPr="00FB4BBA">
      <w:rPr>
        <w:color w:val="0070C0"/>
        <w:sz w:val="18"/>
        <w:szCs w:val="18"/>
        <w:lang w:val="es-ES"/>
      </w:rPr>
      <w:t xml:space="preserve"> • </w:t>
    </w:r>
    <w:hyperlink r:id="rId1" w:history="1">
      <w:r w:rsidRPr="00FB4BBA">
        <w:rPr>
          <w:rStyle w:val="Hyperlink"/>
          <w:color w:val="0070C0"/>
          <w:sz w:val="18"/>
          <w:szCs w:val="18"/>
          <w:lang w:val="es-ES"/>
        </w:rPr>
        <w:t>www.itu.int</w:t>
      </w:r>
    </w:hyperlink>
    <w:r w:rsidRPr="00FB4BBA">
      <w:rPr>
        <w:color w:val="0070C0"/>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A09D" w14:textId="77777777" w:rsidR="002C71B2" w:rsidRDefault="00F8692D">
      <w:r>
        <w:t>____________________</w:t>
      </w:r>
    </w:p>
  </w:footnote>
  <w:footnote w:type="continuationSeparator" w:id="0">
    <w:p w14:paraId="164D61B0" w14:textId="77777777" w:rsidR="00664BA0" w:rsidRDefault="0066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B14E" w14:textId="63A1F375" w:rsidR="002C71B2" w:rsidRDefault="00F8692D">
    <w:pPr>
      <w:spacing w:before="0" w:after="12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882E9B">
      <w:rPr>
        <w:noProof/>
        <w:sz w:val="18"/>
      </w:rPr>
      <w:t>2</w:t>
    </w:r>
    <w:r w:rsidRPr="00D8656F">
      <w:rPr>
        <w:noProof/>
        <w:sz w:val="18"/>
      </w:rPr>
      <w:fldChar w:fldCharType="end"/>
    </w:r>
    <w:r w:rsidRPr="00D8656F">
      <w:rPr>
        <w:noProof/>
        <w:sz w:val="18"/>
      </w:rPr>
      <w:t xml:space="preserve"> -</w:t>
    </w:r>
    <w:r w:rsidRPr="00D8656F">
      <w:rPr>
        <w:noProof/>
        <w:sz w:val="18"/>
      </w:rPr>
      <w:br/>
    </w:r>
    <w:r w:rsidRPr="00D8656F">
      <w:rPr>
        <w:sz w:val="18"/>
      </w:rPr>
      <w:t>Circular TSB</w:t>
    </w:r>
    <w:r w:rsidR="00FB4BBA">
      <w:rPr>
        <w:sz w:val="18"/>
      </w:rPr>
      <w:t xml:space="preserve"> 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abstractNum w:abstractNumId="10" w15:restartNumberingAfterBreak="0">
    <w:nsid w:val="466858C8"/>
    <w:multiLevelType w:val="hybridMultilevel"/>
    <w:tmpl w:val="3432A914"/>
    <w:lvl w:ilvl="0" w:tplc="C34CB83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081952">
    <w:abstractNumId w:val="9"/>
  </w:num>
  <w:num w:numId="2" w16cid:durableId="69082182">
    <w:abstractNumId w:val="7"/>
  </w:num>
  <w:num w:numId="3" w16cid:durableId="891890060">
    <w:abstractNumId w:val="6"/>
  </w:num>
  <w:num w:numId="4" w16cid:durableId="859515844">
    <w:abstractNumId w:val="5"/>
  </w:num>
  <w:num w:numId="5" w16cid:durableId="5450059">
    <w:abstractNumId w:val="4"/>
  </w:num>
  <w:num w:numId="6" w16cid:durableId="889539663">
    <w:abstractNumId w:val="8"/>
  </w:num>
  <w:num w:numId="7" w16cid:durableId="707874252">
    <w:abstractNumId w:val="3"/>
  </w:num>
  <w:num w:numId="8" w16cid:durableId="1979649396">
    <w:abstractNumId w:val="2"/>
  </w:num>
  <w:num w:numId="9" w16cid:durableId="694042705">
    <w:abstractNumId w:val="1"/>
  </w:num>
  <w:num w:numId="10" w16cid:durableId="1241601011">
    <w:abstractNumId w:val="0"/>
  </w:num>
  <w:num w:numId="11" w16cid:durableId="1815566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227D6"/>
    <w:rsid w:val="000819DD"/>
    <w:rsid w:val="000958AC"/>
    <w:rsid w:val="000A0633"/>
    <w:rsid w:val="000B6E91"/>
    <w:rsid w:val="000F6929"/>
    <w:rsid w:val="001004FD"/>
    <w:rsid w:val="00103035"/>
    <w:rsid w:val="00144B08"/>
    <w:rsid w:val="00144F6F"/>
    <w:rsid w:val="001501A1"/>
    <w:rsid w:val="00181C75"/>
    <w:rsid w:val="00183B20"/>
    <w:rsid w:val="0018456A"/>
    <w:rsid w:val="001B2F20"/>
    <w:rsid w:val="001E4762"/>
    <w:rsid w:val="0020454E"/>
    <w:rsid w:val="00242699"/>
    <w:rsid w:val="00253620"/>
    <w:rsid w:val="00257576"/>
    <w:rsid w:val="00264D40"/>
    <w:rsid w:val="002652E2"/>
    <w:rsid w:val="0029677E"/>
    <w:rsid w:val="002A6D80"/>
    <w:rsid w:val="002B24A3"/>
    <w:rsid w:val="002C29D2"/>
    <w:rsid w:val="002C71B2"/>
    <w:rsid w:val="002E6345"/>
    <w:rsid w:val="002F6EFF"/>
    <w:rsid w:val="00315F99"/>
    <w:rsid w:val="003958BE"/>
    <w:rsid w:val="003A1799"/>
    <w:rsid w:val="003C2787"/>
    <w:rsid w:val="003C5AE7"/>
    <w:rsid w:val="003C757A"/>
    <w:rsid w:val="004023CA"/>
    <w:rsid w:val="00420E9B"/>
    <w:rsid w:val="004254CA"/>
    <w:rsid w:val="00451E27"/>
    <w:rsid w:val="004550E4"/>
    <w:rsid w:val="00463108"/>
    <w:rsid w:val="00473C0D"/>
    <w:rsid w:val="00473ECD"/>
    <w:rsid w:val="0048075B"/>
    <w:rsid w:val="004821D9"/>
    <w:rsid w:val="004B3445"/>
    <w:rsid w:val="004C1BA8"/>
    <w:rsid w:val="004F51FF"/>
    <w:rsid w:val="00533D70"/>
    <w:rsid w:val="00537D90"/>
    <w:rsid w:val="005638D8"/>
    <w:rsid w:val="005676A9"/>
    <w:rsid w:val="00575C61"/>
    <w:rsid w:val="005815AD"/>
    <w:rsid w:val="005903C5"/>
    <w:rsid w:val="00592EA7"/>
    <w:rsid w:val="00595AE9"/>
    <w:rsid w:val="005A6DD9"/>
    <w:rsid w:val="005D18E2"/>
    <w:rsid w:val="005E05EB"/>
    <w:rsid w:val="005E58A1"/>
    <w:rsid w:val="005F755F"/>
    <w:rsid w:val="00615757"/>
    <w:rsid w:val="0062288B"/>
    <w:rsid w:val="00625143"/>
    <w:rsid w:val="00633FD9"/>
    <w:rsid w:val="0064527A"/>
    <w:rsid w:val="00653A8A"/>
    <w:rsid w:val="00653BB2"/>
    <w:rsid w:val="006619F9"/>
    <w:rsid w:val="00664BA0"/>
    <w:rsid w:val="0067634B"/>
    <w:rsid w:val="00681695"/>
    <w:rsid w:val="006C691E"/>
    <w:rsid w:val="006D775C"/>
    <w:rsid w:val="006F458F"/>
    <w:rsid w:val="007060E0"/>
    <w:rsid w:val="00741762"/>
    <w:rsid w:val="0074199B"/>
    <w:rsid w:val="007448DA"/>
    <w:rsid w:val="00746EA0"/>
    <w:rsid w:val="00747E97"/>
    <w:rsid w:val="0077408E"/>
    <w:rsid w:val="00776CAD"/>
    <w:rsid w:val="007A1128"/>
    <w:rsid w:val="007A7E31"/>
    <w:rsid w:val="007C067C"/>
    <w:rsid w:val="007D6C06"/>
    <w:rsid w:val="007F1638"/>
    <w:rsid w:val="008455A0"/>
    <w:rsid w:val="00855A6A"/>
    <w:rsid w:val="00855EAC"/>
    <w:rsid w:val="00857B2C"/>
    <w:rsid w:val="008730B7"/>
    <w:rsid w:val="00882E9B"/>
    <w:rsid w:val="00885A7C"/>
    <w:rsid w:val="00893DB8"/>
    <w:rsid w:val="008A58B3"/>
    <w:rsid w:val="008B4E37"/>
    <w:rsid w:val="008F6EA7"/>
    <w:rsid w:val="00911B33"/>
    <w:rsid w:val="0093709A"/>
    <w:rsid w:val="00941EA2"/>
    <w:rsid w:val="009443EA"/>
    <w:rsid w:val="00955915"/>
    <w:rsid w:val="00975595"/>
    <w:rsid w:val="009779A8"/>
    <w:rsid w:val="00981111"/>
    <w:rsid w:val="0098459E"/>
    <w:rsid w:val="00A009BE"/>
    <w:rsid w:val="00A021DA"/>
    <w:rsid w:val="00A55132"/>
    <w:rsid w:val="00A737EC"/>
    <w:rsid w:val="00AE2AD8"/>
    <w:rsid w:val="00B002DB"/>
    <w:rsid w:val="00B049BB"/>
    <w:rsid w:val="00B0573D"/>
    <w:rsid w:val="00B0679F"/>
    <w:rsid w:val="00B21A3E"/>
    <w:rsid w:val="00B347F0"/>
    <w:rsid w:val="00B86A15"/>
    <w:rsid w:val="00BA1F70"/>
    <w:rsid w:val="00BA360D"/>
    <w:rsid w:val="00BA5648"/>
    <w:rsid w:val="00BC730F"/>
    <w:rsid w:val="00BD4B85"/>
    <w:rsid w:val="00BE0E7D"/>
    <w:rsid w:val="00BE3551"/>
    <w:rsid w:val="00BE6FDB"/>
    <w:rsid w:val="00BF5EDB"/>
    <w:rsid w:val="00BF6694"/>
    <w:rsid w:val="00C02B28"/>
    <w:rsid w:val="00C22231"/>
    <w:rsid w:val="00C42E55"/>
    <w:rsid w:val="00C56ECE"/>
    <w:rsid w:val="00C90DE4"/>
    <w:rsid w:val="00CC752A"/>
    <w:rsid w:val="00CF7962"/>
    <w:rsid w:val="00D040F5"/>
    <w:rsid w:val="00D3684B"/>
    <w:rsid w:val="00D40F22"/>
    <w:rsid w:val="00D81745"/>
    <w:rsid w:val="00D82C10"/>
    <w:rsid w:val="00DA2B87"/>
    <w:rsid w:val="00DC1855"/>
    <w:rsid w:val="00DD42FF"/>
    <w:rsid w:val="00DF4E36"/>
    <w:rsid w:val="00E04A3F"/>
    <w:rsid w:val="00E41008"/>
    <w:rsid w:val="00E61512"/>
    <w:rsid w:val="00E61CFD"/>
    <w:rsid w:val="00E918C7"/>
    <w:rsid w:val="00EE3E85"/>
    <w:rsid w:val="00F260CB"/>
    <w:rsid w:val="00F31CE2"/>
    <w:rsid w:val="00F35553"/>
    <w:rsid w:val="00F51780"/>
    <w:rsid w:val="00F6564F"/>
    <w:rsid w:val="00F7366F"/>
    <w:rsid w:val="00F8692D"/>
    <w:rsid w:val="00FB4BBA"/>
    <w:rsid w:val="00FD23E6"/>
    <w:rsid w:val="00FE514F"/>
    <w:rsid w:val="00FF2A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3327"/>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F260CB"/>
    <w:pPr>
      <w:ind w:left="720"/>
      <w:contextualSpacing/>
    </w:pPr>
  </w:style>
  <w:style w:type="character" w:styleId="UnresolvedMention">
    <w:name w:val="Unresolved Mention"/>
    <w:basedOn w:val="DefaultParagraphFont"/>
    <w:uiPriority w:val="99"/>
    <w:semiHidden/>
    <w:unhideWhenUsed/>
    <w:rsid w:val="002F6EFF"/>
    <w:rPr>
      <w:color w:val="605E5C"/>
      <w:shd w:val="clear" w:color="auto" w:fill="E1DFDD"/>
    </w:rPr>
  </w:style>
  <w:style w:type="table" w:styleId="TableGrid">
    <w:name w:val="Table Grid"/>
    <w:basedOn w:val="TableNormal"/>
    <w:uiPriority w:val="39"/>
    <w:rsid w:val="000958AC"/>
    <w:pPr>
      <w:tabs>
        <w:tab w:val="left" w:pos="794"/>
        <w:tab w:val="left" w:pos="1191"/>
        <w:tab w:val="left" w:pos="1588"/>
        <w:tab w:val="left" w:pos="1985"/>
      </w:tabs>
      <w:overflowPunct w:val="0"/>
      <w:autoSpaceDE w:val="0"/>
      <w:autoSpaceDN w:val="0"/>
      <w:adjustRightInd w:val="0"/>
      <w:spacing w:before="136"/>
      <w:textAlignment w:val="baseline"/>
    </w:pPr>
    <w:rPr>
      <w:rFonts w:ascii="Times New Roman" w:eastAsiaTheme="minorEastAsia" w:hAnsi="Times New Roman" w:cstheme="minorBidi"/>
      <w:sz w:val="24"/>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625143"/>
    <w:rPr>
      <w:rFonts w:ascii="Calibri" w:hAnsi="Calibri"/>
      <w:sz w:val="24"/>
      <w:lang w:eastAsia="en-US"/>
    </w:rPr>
  </w:style>
  <w:style w:type="paragraph" w:customStyle="1" w:styleId="Subtitle1">
    <w:name w:val="Subtitle1"/>
    <w:basedOn w:val="Normal"/>
    <w:qFormat/>
    <w:rsid w:val="00625143"/>
    <w:pPr>
      <w:framePr w:hSpace="180" w:wrap="around" w:hAnchor="text" w:x="1821" w:y="2317"/>
      <w:tabs>
        <w:tab w:val="clear" w:pos="794"/>
        <w:tab w:val="clear" w:pos="1191"/>
        <w:tab w:val="clear" w:pos="1588"/>
        <w:tab w:val="clear" w:pos="1985"/>
        <w:tab w:val="left" w:pos="567"/>
        <w:tab w:val="left" w:pos="1134"/>
        <w:tab w:val="left" w:pos="1701"/>
        <w:tab w:val="left" w:pos="2268"/>
        <w:tab w:val="left" w:pos="2835"/>
      </w:tabs>
      <w:spacing w:after="16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530332018">
      <w:bodyDiv w:val="1"/>
      <w:marLeft w:val="0"/>
      <w:marRight w:val="0"/>
      <w:marTop w:val="0"/>
      <w:marBottom w:val="0"/>
      <w:divBdr>
        <w:top w:val="none" w:sz="0" w:space="0" w:color="auto"/>
        <w:left w:val="none" w:sz="0" w:space="0" w:color="auto"/>
        <w:bottom w:val="none" w:sz="0" w:space="0" w:color="auto"/>
        <w:right w:val="none" w:sz="0" w:space="0" w:color="auto"/>
      </w:divBdr>
    </w:div>
    <w:div w:id="17443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T/edh/faqs-support.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24/0716/Pages/defaul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studygroups/2022-2024/13" TargetMode="External"/><Relationship Id="rId5" Type="http://schemas.openxmlformats.org/officeDocument/2006/relationships/styles" Target="styles.xml"/><Relationship Id="rId15" Type="http://schemas.openxmlformats.org/officeDocument/2006/relationships/hyperlink" Target="mailto:travel@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trave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7" ma:contentTypeDescription="Create a new document." ma:contentTypeScope="" ma:versionID="0658a6bb24864c4bb377cd65e9bdb91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c20f1d6c9eee58f8db42e35393c13046"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B84D9-B63F-4EE9-8CE0-408195E65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00821693-a2f2-4497-a909-07460881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F1B4A-5C22-4336-AF1D-8924578FABB1}">
  <ds:schemaRefs>
    <ds:schemaRef ds:uri="http://purl.org/dc/terms/"/>
    <ds:schemaRef ds:uri="00821693-a2f2-4497-a909-07460881c924"/>
    <ds:schemaRef ds:uri="2dfbb2a9-9046-4b7d-bc0f-b7b915b8a872"/>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404CAD2-4A06-4E0F-AF00-B2A15BF6E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TAP Approval, docId:E5880F30A8E55B7C771254677C9C44BF</cp:keywords>
  <dc:description>Draft-CIRC-206.docx  For: _x000d_Document date: _x000d_Saved by ITU51017702 at 11:19:12 AM on 4/18/2024</dc:description>
  <cp:lastModifiedBy>Braud, Olivia</cp:lastModifiedBy>
  <cp:revision>6</cp:revision>
  <cp:lastPrinted>2024-05-13T13:03:00Z</cp:lastPrinted>
  <dcterms:created xsi:type="dcterms:W3CDTF">2024-05-07T09:09:00Z</dcterms:created>
  <dcterms:modified xsi:type="dcterms:W3CDTF">2024-05-13T13:04:00Z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Draft-CIRC-206.docx</vt:lpwstr>
  </property>
  <property fmtid="{D5CDD505-2E9C-101B-9397-08002B2CF9AE}" pid="3" name="Docdate">
    <vt:lpwstr/>
  </property>
  <property fmtid="{D5CDD505-2E9C-101B-9397-08002B2CF9AE}" pid="4" name="Docorlang">
    <vt:lpwstr/>
  </property>
  <property fmtid="{D5CDD505-2E9C-101B-9397-08002B2CF9AE}" pid="5" name="ContentTypeId">
    <vt:lpwstr>0x010100FF0D4921E1BEE64C9967543FFC1FD641</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MediaServiceImageTags">
    <vt:lpwstr/>
  </property>
</Properties>
</file>