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XSpec="center" w:tblpY="664"/>
        <w:tblW w:w="10065" w:type="dxa"/>
        <w:tblLayout w:type="fixed"/>
        <w:tblLook w:val="0000" w:firstRow="0" w:lastRow="0" w:firstColumn="0" w:lastColumn="0" w:noHBand="0" w:noVBand="0"/>
      </w:tblPr>
      <w:tblGrid>
        <w:gridCol w:w="1418"/>
        <w:gridCol w:w="3544"/>
        <w:gridCol w:w="3119"/>
        <w:gridCol w:w="1984"/>
      </w:tblGrid>
      <w:tr w:rsidR="00FA46A0" w14:paraId="427248EF" w14:textId="77777777" w:rsidTr="00173BB2">
        <w:trPr>
          <w:trHeight w:val="1282"/>
        </w:trPr>
        <w:tc>
          <w:tcPr>
            <w:tcW w:w="1418" w:type="dxa"/>
            <w:shd w:val="clear" w:color="auto" w:fill="auto"/>
            <w:tcMar>
              <w:left w:w="0" w:type="dxa"/>
              <w:right w:w="0" w:type="dxa"/>
            </w:tcMar>
            <w:vAlign w:val="center"/>
          </w:tcPr>
          <w:p w14:paraId="63267DAD" w14:textId="77777777" w:rsidR="00FA46A0" w:rsidRDefault="009747C5">
            <w:pPr>
              <w:pStyle w:val="Tabletext"/>
              <w:jc w:val="center"/>
            </w:pPr>
            <w:r>
              <w:rPr>
                <w:noProof/>
                <w:lang w:val="fr-CH" w:eastAsia="fr-CH"/>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173BB2">
        <w:trPr>
          <w:cantSplit/>
          <w:trHeight w:val="80"/>
        </w:trPr>
        <w:tc>
          <w:tcPr>
            <w:tcW w:w="4962" w:type="dxa"/>
            <w:gridSpan w:val="2"/>
            <w:vAlign w:val="center"/>
          </w:tcPr>
          <w:p w14:paraId="3564C614" w14:textId="77777777" w:rsidR="00FA46A0" w:rsidRPr="00CB270A" w:rsidRDefault="00FA46A0">
            <w:pPr>
              <w:pStyle w:val="Tabletext"/>
              <w:jc w:val="right"/>
              <w:rPr>
                <w:sz w:val="22"/>
                <w:szCs w:val="22"/>
              </w:rPr>
            </w:pPr>
          </w:p>
        </w:tc>
        <w:tc>
          <w:tcPr>
            <w:tcW w:w="5103" w:type="dxa"/>
            <w:gridSpan w:val="2"/>
            <w:vAlign w:val="center"/>
          </w:tcPr>
          <w:p w14:paraId="760FAB27" w14:textId="490B1380" w:rsidR="00FA46A0" w:rsidRPr="00CB270A" w:rsidRDefault="00B61012" w:rsidP="00E151AE">
            <w:pPr>
              <w:pStyle w:val="Tabletext"/>
              <w:spacing w:before="120" w:after="360"/>
              <w:ind w:left="-108"/>
              <w:rPr>
                <w:sz w:val="22"/>
                <w:szCs w:val="22"/>
              </w:rPr>
            </w:pPr>
            <w:r w:rsidRPr="00CB270A">
              <w:rPr>
                <w:sz w:val="22"/>
                <w:szCs w:val="22"/>
              </w:rPr>
              <w:t xml:space="preserve">Geneva, </w:t>
            </w:r>
            <w:r w:rsidR="003708A7">
              <w:rPr>
                <w:sz w:val="22"/>
                <w:szCs w:val="22"/>
              </w:rPr>
              <w:t xml:space="preserve">11 </w:t>
            </w:r>
            <w:r w:rsidR="00741860">
              <w:rPr>
                <w:sz w:val="22"/>
                <w:szCs w:val="22"/>
              </w:rPr>
              <w:t>July</w:t>
            </w:r>
            <w:r w:rsidR="00C9319E" w:rsidRPr="00CB270A">
              <w:rPr>
                <w:sz w:val="22"/>
                <w:szCs w:val="22"/>
              </w:rPr>
              <w:t xml:space="preserve"> 202</w:t>
            </w:r>
            <w:r w:rsidR="00D8587A" w:rsidRPr="00CB270A">
              <w:rPr>
                <w:sz w:val="22"/>
                <w:szCs w:val="22"/>
              </w:rPr>
              <w:t>4</w:t>
            </w:r>
          </w:p>
        </w:tc>
      </w:tr>
      <w:tr w:rsidR="00173BB2" w:rsidRPr="007C080C" w14:paraId="1188BE59" w14:textId="77777777" w:rsidTr="00173BB2">
        <w:trPr>
          <w:cantSplit/>
          <w:trHeight w:val="326"/>
        </w:trPr>
        <w:tc>
          <w:tcPr>
            <w:tcW w:w="1418" w:type="dxa"/>
          </w:tcPr>
          <w:p w14:paraId="15C386EF" w14:textId="77777777" w:rsidR="00173BB2" w:rsidRPr="00CB270A" w:rsidRDefault="00173BB2">
            <w:pPr>
              <w:pStyle w:val="Tabletext"/>
              <w:rPr>
                <w:sz w:val="22"/>
                <w:szCs w:val="22"/>
              </w:rPr>
            </w:pPr>
            <w:r w:rsidRPr="00CB270A">
              <w:rPr>
                <w:b/>
                <w:sz w:val="22"/>
                <w:szCs w:val="22"/>
              </w:rPr>
              <w:t>Ref:</w:t>
            </w:r>
          </w:p>
        </w:tc>
        <w:tc>
          <w:tcPr>
            <w:tcW w:w="3544" w:type="dxa"/>
          </w:tcPr>
          <w:p w14:paraId="091C3B5F" w14:textId="07027175" w:rsidR="00173BB2" w:rsidRPr="00CB270A" w:rsidRDefault="00173BB2" w:rsidP="00FC1C19">
            <w:pPr>
              <w:pStyle w:val="Tabletext"/>
              <w:rPr>
                <w:b/>
                <w:bCs/>
                <w:sz w:val="22"/>
                <w:szCs w:val="22"/>
              </w:rPr>
            </w:pPr>
            <w:r w:rsidRPr="00CB270A">
              <w:rPr>
                <w:b/>
                <w:bCs/>
                <w:sz w:val="22"/>
                <w:szCs w:val="22"/>
              </w:rPr>
              <w:t xml:space="preserve">TSB Circular </w:t>
            </w:r>
            <w:r>
              <w:rPr>
                <w:b/>
                <w:bCs/>
                <w:sz w:val="22"/>
                <w:szCs w:val="22"/>
              </w:rPr>
              <w:t>211</w:t>
            </w:r>
          </w:p>
        </w:tc>
        <w:tc>
          <w:tcPr>
            <w:tcW w:w="5103" w:type="dxa"/>
            <w:gridSpan w:val="2"/>
            <w:vMerge w:val="restart"/>
          </w:tcPr>
          <w:p w14:paraId="1B1E5600" w14:textId="77777777" w:rsidR="00173BB2" w:rsidRPr="00CB270A" w:rsidRDefault="00173BB2" w:rsidP="00FF5729">
            <w:pPr>
              <w:tabs>
                <w:tab w:val="clear" w:pos="794"/>
                <w:tab w:val="clear" w:pos="1191"/>
                <w:tab w:val="clear" w:pos="1588"/>
                <w:tab w:val="clear" w:pos="1985"/>
                <w:tab w:val="left" w:pos="241"/>
              </w:tabs>
              <w:spacing w:before="0"/>
              <w:ind w:left="283" w:hanging="391"/>
              <w:rPr>
                <w:sz w:val="22"/>
                <w:szCs w:val="22"/>
              </w:rPr>
            </w:pPr>
            <w:r w:rsidRPr="00CB270A">
              <w:rPr>
                <w:b/>
                <w:sz w:val="22"/>
                <w:szCs w:val="22"/>
              </w:rPr>
              <w:t>To:</w:t>
            </w:r>
          </w:p>
          <w:p w14:paraId="01EF5520" w14:textId="77777777" w:rsidR="00173BB2" w:rsidRPr="00CB270A" w:rsidRDefault="00173BB2" w:rsidP="002A6F34">
            <w:pPr>
              <w:tabs>
                <w:tab w:val="clear" w:pos="794"/>
                <w:tab w:val="clear" w:pos="1191"/>
                <w:tab w:val="clear" w:pos="1588"/>
                <w:tab w:val="clear" w:pos="1985"/>
                <w:tab w:val="left" w:pos="567"/>
              </w:tabs>
              <w:spacing w:before="0"/>
              <w:ind w:left="283" w:hanging="283"/>
            </w:pPr>
            <w:r w:rsidRPr="00CB270A">
              <w:rPr>
                <w:rFonts w:cstheme="minorHAnsi"/>
                <w:sz w:val="22"/>
                <w:szCs w:val="22"/>
              </w:rPr>
              <w:t>-</w:t>
            </w:r>
            <w:r w:rsidRPr="00CB270A">
              <w:rPr>
                <w:rFonts w:cstheme="minorHAnsi"/>
                <w:sz w:val="22"/>
                <w:szCs w:val="22"/>
              </w:rPr>
              <w:tab/>
              <w:t xml:space="preserve">Administrations of Member States of the </w:t>
            </w:r>
            <w:proofErr w:type="gramStart"/>
            <w:r w:rsidRPr="00CB270A">
              <w:rPr>
                <w:rFonts w:cstheme="minorHAnsi"/>
                <w:sz w:val="22"/>
                <w:szCs w:val="22"/>
              </w:rPr>
              <w:t>Union;</w:t>
            </w:r>
            <w:proofErr w:type="gramEnd"/>
          </w:p>
          <w:p w14:paraId="55A14FEA" w14:textId="77777777" w:rsidR="00173BB2" w:rsidRPr="007C080C" w:rsidRDefault="00173BB2" w:rsidP="00D8587A">
            <w:pPr>
              <w:pStyle w:val="Tabletext"/>
              <w:ind w:left="283" w:hanging="391"/>
              <w:rPr>
                <w:sz w:val="22"/>
                <w:szCs w:val="22"/>
              </w:rPr>
            </w:pPr>
            <w:r w:rsidRPr="007C080C">
              <w:rPr>
                <w:b/>
                <w:sz w:val="22"/>
                <w:szCs w:val="22"/>
              </w:rPr>
              <w:t>Copy to:</w:t>
            </w:r>
          </w:p>
          <w:p w14:paraId="2883B30E" w14:textId="77777777" w:rsidR="00173BB2" w:rsidRPr="00311961" w:rsidRDefault="00173BB2" w:rsidP="00D8587A">
            <w:pPr>
              <w:pStyle w:val="Tabletext"/>
              <w:spacing w:before="0" w:after="0" w:line="259" w:lineRule="auto"/>
              <w:ind w:left="283" w:hanging="283"/>
              <w:rPr>
                <w:rFonts w:cstheme="minorBidi"/>
                <w:sz w:val="22"/>
                <w:szCs w:val="22"/>
              </w:rPr>
            </w:pPr>
            <w:r w:rsidRPr="5DA94F55">
              <w:rPr>
                <w:rFonts w:cstheme="minorBidi"/>
                <w:sz w:val="22"/>
                <w:szCs w:val="22"/>
              </w:rPr>
              <w:t>-</w:t>
            </w:r>
            <w:r>
              <w:rPr>
                <w:rFonts w:cstheme="minorBidi"/>
                <w:sz w:val="22"/>
                <w:szCs w:val="22"/>
              </w:rPr>
              <w:tab/>
            </w:r>
            <w:r>
              <w:tab/>
            </w:r>
            <w:r w:rsidRPr="5DA94F55">
              <w:rPr>
                <w:rFonts w:cstheme="minorBidi"/>
                <w:sz w:val="22"/>
                <w:szCs w:val="22"/>
              </w:rPr>
              <w:t>Chairs and Vice-Chairs of ITU-T Study Groups/</w:t>
            </w:r>
            <w:proofErr w:type="gramStart"/>
            <w:r w:rsidRPr="5DA94F55">
              <w:rPr>
                <w:rFonts w:cstheme="minorBidi"/>
                <w:sz w:val="22"/>
                <w:szCs w:val="22"/>
              </w:rPr>
              <w:t>TSAG;</w:t>
            </w:r>
            <w:proofErr w:type="gramEnd"/>
          </w:p>
          <w:p w14:paraId="5F78F1E8" w14:textId="77777777" w:rsidR="00173BB2" w:rsidRPr="00311961" w:rsidRDefault="00173BB2" w:rsidP="00D8587A">
            <w:pPr>
              <w:pStyle w:val="Tabletext"/>
              <w:tabs>
                <w:tab w:val="clear" w:pos="284"/>
                <w:tab w:val="left" w:pos="283"/>
              </w:tabs>
              <w:spacing w:before="0" w:after="0"/>
              <w:ind w:left="283" w:hanging="283"/>
              <w:rPr>
                <w:rFonts w:cstheme="minorBidi"/>
                <w:sz w:val="22"/>
                <w:szCs w:val="22"/>
              </w:rPr>
            </w:pPr>
            <w:r w:rsidRPr="5DA94F55">
              <w:rPr>
                <w:rFonts w:cstheme="minorBidi"/>
                <w:sz w:val="22"/>
                <w:szCs w:val="22"/>
              </w:rPr>
              <w:t>-</w:t>
            </w:r>
            <w:r>
              <w:rPr>
                <w:rFonts w:cstheme="minorBidi"/>
                <w:sz w:val="22"/>
                <w:szCs w:val="22"/>
              </w:rPr>
              <w:tab/>
            </w:r>
            <w:r w:rsidRPr="5DA94F55">
              <w:rPr>
                <w:rFonts w:cstheme="minorBidi"/>
                <w:sz w:val="22"/>
                <w:szCs w:val="22"/>
              </w:rPr>
              <w:t xml:space="preserve">Director of the Telecommunication Development </w:t>
            </w:r>
            <w:proofErr w:type="gramStart"/>
            <w:r w:rsidRPr="5DA94F55">
              <w:rPr>
                <w:rFonts w:cstheme="minorBidi"/>
                <w:sz w:val="22"/>
                <w:szCs w:val="22"/>
              </w:rPr>
              <w:t>Bureau;</w:t>
            </w:r>
            <w:proofErr w:type="gramEnd"/>
          </w:p>
          <w:p w14:paraId="3DE5389C" w14:textId="77777777" w:rsidR="00173BB2" w:rsidRDefault="00173BB2" w:rsidP="006E1D97">
            <w:pPr>
              <w:pStyle w:val="Tabletext"/>
              <w:tabs>
                <w:tab w:val="clear" w:pos="284"/>
              </w:tabs>
              <w:spacing w:before="0" w:after="0" w:line="259" w:lineRule="auto"/>
              <w:ind w:left="283" w:hanging="283"/>
              <w:rPr>
                <w:rFonts w:cstheme="minorBidi"/>
                <w:sz w:val="22"/>
                <w:szCs w:val="22"/>
              </w:rPr>
            </w:pPr>
            <w:r w:rsidRPr="5DA94F55">
              <w:rPr>
                <w:rFonts w:cstheme="minorBidi"/>
                <w:sz w:val="22"/>
                <w:szCs w:val="22"/>
              </w:rPr>
              <w:t>-</w:t>
            </w:r>
            <w:r>
              <w:rPr>
                <w:rFonts w:cstheme="minorBidi"/>
                <w:sz w:val="22"/>
                <w:szCs w:val="22"/>
              </w:rPr>
              <w:tab/>
            </w:r>
            <w:r w:rsidRPr="5DA94F55">
              <w:rPr>
                <w:rFonts w:cstheme="minorBidi"/>
                <w:sz w:val="22"/>
                <w:szCs w:val="22"/>
              </w:rPr>
              <w:t>Director of the Radiocommunication Bureau</w:t>
            </w:r>
          </w:p>
          <w:p w14:paraId="1DB97EA8" w14:textId="77777777" w:rsidR="00173BB2" w:rsidRDefault="00173BB2" w:rsidP="006E1D97">
            <w:pPr>
              <w:pStyle w:val="Tabletext"/>
              <w:tabs>
                <w:tab w:val="clear" w:pos="284"/>
              </w:tabs>
              <w:spacing w:before="0" w:after="0" w:line="259" w:lineRule="auto"/>
              <w:ind w:left="283" w:hanging="283"/>
              <w:rPr>
                <w:rFonts w:asciiTheme="minorHAnsi" w:hAnsiTheme="minorHAnsi" w:cstheme="minorHAnsi"/>
                <w:sz w:val="22"/>
                <w:szCs w:val="22"/>
              </w:rPr>
            </w:pPr>
            <w:r>
              <w:rPr>
                <w:rFonts w:cstheme="minorBidi"/>
                <w:sz w:val="22"/>
                <w:szCs w:val="22"/>
              </w:rPr>
              <w:t>-</w:t>
            </w:r>
            <w:r>
              <w:rPr>
                <w:rFonts w:cstheme="minorBidi"/>
                <w:sz w:val="22"/>
                <w:szCs w:val="22"/>
              </w:rPr>
              <w:tab/>
            </w:r>
            <w:r w:rsidRPr="00750D03">
              <w:rPr>
                <w:rFonts w:asciiTheme="minorHAnsi" w:hAnsiTheme="minorHAnsi" w:cstheme="minorHAnsi"/>
                <w:sz w:val="22"/>
                <w:szCs w:val="22"/>
              </w:rPr>
              <w:t>ITU Regional Office for Africa</w:t>
            </w:r>
          </w:p>
          <w:p w14:paraId="39C31F45" w14:textId="42C6812B" w:rsidR="00FE7752" w:rsidRDefault="00173BB2" w:rsidP="002A6F34">
            <w:pPr>
              <w:pStyle w:val="Tabletext"/>
              <w:tabs>
                <w:tab w:val="clear" w:pos="284"/>
              </w:tabs>
              <w:spacing w:before="0" w:after="0" w:line="259" w:lineRule="auto"/>
              <w:ind w:left="283" w:hanging="283"/>
              <w:rPr>
                <w:rFonts w:cstheme="minorBidi"/>
                <w:sz w:val="22"/>
                <w:szCs w:val="22"/>
              </w:rPr>
            </w:pPr>
            <w:r>
              <w:rPr>
                <w:rFonts w:cstheme="minorBidi"/>
                <w:sz w:val="22"/>
                <w:szCs w:val="22"/>
              </w:rPr>
              <w:t>-</w:t>
            </w:r>
            <w:r>
              <w:rPr>
                <w:rFonts w:cstheme="minorBidi"/>
                <w:sz w:val="22"/>
                <w:szCs w:val="22"/>
              </w:rPr>
              <w:tab/>
            </w:r>
            <w:r w:rsidR="00FE7752">
              <w:rPr>
                <w:rFonts w:cstheme="minorBidi"/>
                <w:sz w:val="22"/>
                <w:szCs w:val="22"/>
              </w:rPr>
              <w:t xml:space="preserve">ITU </w:t>
            </w:r>
            <w:r w:rsidR="00FE7752" w:rsidRPr="00FE7752">
              <w:rPr>
                <w:rFonts w:cstheme="minorBidi"/>
                <w:sz w:val="22"/>
                <w:szCs w:val="22"/>
              </w:rPr>
              <w:t>Regional Office for Asia and the Pacific</w:t>
            </w:r>
          </w:p>
          <w:p w14:paraId="703CBF88" w14:textId="6C486329" w:rsidR="00173BB2" w:rsidRDefault="00FE7752" w:rsidP="002A6F34">
            <w:pPr>
              <w:pStyle w:val="Tabletext"/>
              <w:tabs>
                <w:tab w:val="clear" w:pos="284"/>
              </w:tabs>
              <w:spacing w:before="0" w:after="0" w:line="259" w:lineRule="auto"/>
              <w:ind w:left="283" w:hanging="283"/>
              <w:rPr>
                <w:rFonts w:asciiTheme="minorHAnsi" w:hAnsiTheme="minorHAnsi" w:cstheme="minorHAnsi"/>
                <w:sz w:val="22"/>
                <w:szCs w:val="22"/>
              </w:rPr>
            </w:pPr>
            <w:r>
              <w:rPr>
                <w:rFonts w:cstheme="minorBidi"/>
                <w:sz w:val="22"/>
                <w:szCs w:val="22"/>
              </w:rPr>
              <w:t>-</w:t>
            </w:r>
            <w:r>
              <w:rPr>
                <w:rFonts w:cstheme="minorBidi"/>
                <w:sz w:val="22"/>
                <w:szCs w:val="22"/>
              </w:rPr>
              <w:tab/>
            </w:r>
            <w:r w:rsidR="00173BB2" w:rsidRPr="00750D03">
              <w:rPr>
                <w:rFonts w:asciiTheme="minorHAnsi" w:hAnsiTheme="minorHAnsi" w:cstheme="minorHAnsi"/>
                <w:sz w:val="22"/>
                <w:szCs w:val="22"/>
              </w:rPr>
              <w:t xml:space="preserve">ITU Regional Office for </w:t>
            </w:r>
            <w:r w:rsidR="00173BB2">
              <w:rPr>
                <w:rFonts w:asciiTheme="minorHAnsi" w:hAnsiTheme="minorHAnsi" w:cstheme="minorHAnsi"/>
                <w:sz w:val="22"/>
                <w:szCs w:val="22"/>
              </w:rPr>
              <w:t>Americas</w:t>
            </w:r>
          </w:p>
          <w:p w14:paraId="658CAFB4" w14:textId="77777777" w:rsidR="00173BB2" w:rsidRDefault="00173BB2" w:rsidP="002A6F34">
            <w:pPr>
              <w:pStyle w:val="Tabletext"/>
              <w:tabs>
                <w:tab w:val="clear" w:pos="284"/>
              </w:tabs>
              <w:spacing w:before="0" w:after="0" w:line="259" w:lineRule="auto"/>
              <w:ind w:left="283" w:hanging="283"/>
              <w:rPr>
                <w:rFonts w:asciiTheme="minorHAnsi" w:hAnsiTheme="minorHAnsi" w:cstheme="minorHAnsi"/>
                <w:sz w:val="22"/>
                <w:szCs w:val="22"/>
              </w:rPr>
            </w:pPr>
            <w:r>
              <w:rPr>
                <w:rFonts w:cstheme="minorBidi"/>
                <w:sz w:val="22"/>
                <w:szCs w:val="22"/>
              </w:rPr>
              <w:t>-</w:t>
            </w:r>
            <w:r>
              <w:rPr>
                <w:rFonts w:cstheme="minorBidi"/>
                <w:sz w:val="22"/>
                <w:szCs w:val="22"/>
              </w:rPr>
              <w:tab/>
            </w:r>
            <w:r w:rsidRPr="00750D03">
              <w:rPr>
                <w:rFonts w:asciiTheme="minorHAnsi" w:hAnsiTheme="minorHAnsi" w:cstheme="minorHAnsi"/>
                <w:sz w:val="22"/>
                <w:szCs w:val="22"/>
              </w:rPr>
              <w:t>ITU Regional Office for A</w:t>
            </w:r>
            <w:r>
              <w:rPr>
                <w:rFonts w:asciiTheme="minorHAnsi" w:hAnsiTheme="minorHAnsi" w:cstheme="minorHAnsi"/>
                <w:sz w:val="22"/>
                <w:szCs w:val="22"/>
              </w:rPr>
              <w:t>rab States</w:t>
            </w:r>
          </w:p>
          <w:p w14:paraId="613D6A6D" w14:textId="77777777" w:rsidR="00173BB2" w:rsidRDefault="00173BB2" w:rsidP="002A6F34">
            <w:pPr>
              <w:pStyle w:val="Tabletext"/>
              <w:tabs>
                <w:tab w:val="clear" w:pos="284"/>
              </w:tabs>
              <w:spacing w:before="0" w:after="0" w:line="259" w:lineRule="auto"/>
              <w:ind w:left="283" w:hanging="283"/>
              <w:rPr>
                <w:rFonts w:asciiTheme="minorHAnsi" w:hAnsiTheme="minorHAnsi" w:cstheme="minorHAnsi"/>
                <w:sz w:val="22"/>
                <w:szCs w:val="22"/>
              </w:rPr>
            </w:pPr>
            <w:r>
              <w:rPr>
                <w:rFonts w:cstheme="minorBidi"/>
                <w:sz w:val="22"/>
                <w:szCs w:val="22"/>
              </w:rPr>
              <w:t>-</w:t>
            </w:r>
            <w:r>
              <w:rPr>
                <w:rFonts w:cstheme="minorBidi"/>
                <w:sz w:val="22"/>
                <w:szCs w:val="22"/>
              </w:rPr>
              <w:tab/>
            </w:r>
            <w:r w:rsidRPr="00750D03">
              <w:rPr>
                <w:rFonts w:asciiTheme="minorHAnsi" w:hAnsiTheme="minorHAnsi" w:cstheme="minorHAnsi"/>
                <w:sz w:val="22"/>
                <w:szCs w:val="22"/>
              </w:rPr>
              <w:t xml:space="preserve">ITU Regional Office for </w:t>
            </w:r>
            <w:r>
              <w:rPr>
                <w:rFonts w:asciiTheme="minorHAnsi" w:hAnsiTheme="minorHAnsi" w:cstheme="minorHAnsi"/>
                <w:sz w:val="22"/>
                <w:szCs w:val="22"/>
              </w:rPr>
              <w:t>CIS</w:t>
            </w:r>
          </w:p>
          <w:p w14:paraId="771591D6" w14:textId="0FEF8A14" w:rsidR="00173BB2" w:rsidRPr="00173BB2" w:rsidRDefault="00173BB2" w:rsidP="00173BB2">
            <w:pPr>
              <w:pStyle w:val="Tabletext"/>
              <w:tabs>
                <w:tab w:val="clear" w:pos="284"/>
              </w:tabs>
              <w:spacing w:before="0" w:after="0" w:line="259" w:lineRule="auto"/>
              <w:ind w:left="283" w:hanging="283"/>
              <w:rPr>
                <w:rFonts w:asciiTheme="minorHAnsi" w:hAnsiTheme="minorHAnsi" w:cstheme="minorHAnsi"/>
                <w:sz w:val="22"/>
                <w:szCs w:val="22"/>
              </w:rPr>
            </w:pPr>
            <w:r>
              <w:rPr>
                <w:rFonts w:cstheme="minorBidi"/>
                <w:sz w:val="22"/>
                <w:szCs w:val="22"/>
              </w:rPr>
              <w:t>-</w:t>
            </w:r>
            <w:r>
              <w:rPr>
                <w:rFonts w:cstheme="minorBidi"/>
                <w:sz w:val="22"/>
                <w:szCs w:val="22"/>
              </w:rPr>
              <w:tab/>
            </w:r>
            <w:r w:rsidRPr="00750D03">
              <w:rPr>
                <w:rFonts w:asciiTheme="minorHAnsi" w:hAnsiTheme="minorHAnsi" w:cstheme="minorHAnsi"/>
                <w:sz w:val="22"/>
                <w:szCs w:val="22"/>
              </w:rPr>
              <w:t xml:space="preserve">ITU Regional Office for </w:t>
            </w:r>
            <w:r>
              <w:rPr>
                <w:rFonts w:asciiTheme="minorHAnsi" w:hAnsiTheme="minorHAnsi" w:cstheme="minorHAnsi"/>
                <w:sz w:val="22"/>
                <w:szCs w:val="22"/>
              </w:rPr>
              <w:t>Europe</w:t>
            </w:r>
          </w:p>
        </w:tc>
      </w:tr>
      <w:tr w:rsidR="00173BB2" w:rsidRPr="007C080C" w14:paraId="784A0EFC" w14:textId="77777777" w:rsidTr="00173BB2">
        <w:trPr>
          <w:cantSplit/>
          <w:trHeight w:val="326"/>
        </w:trPr>
        <w:tc>
          <w:tcPr>
            <w:tcW w:w="1418" w:type="dxa"/>
          </w:tcPr>
          <w:p w14:paraId="153B0ACF" w14:textId="21DB13F7" w:rsidR="00173BB2" w:rsidRPr="007C080C" w:rsidRDefault="00173BB2" w:rsidP="00D8587A">
            <w:pPr>
              <w:pStyle w:val="Tabletext"/>
              <w:rPr>
                <w:b/>
                <w:sz w:val="22"/>
                <w:szCs w:val="22"/>
              </w:rPr>
            </w:pPr>
            <w:r w:rsidRPr="00311961">
              <w:rPr>
                <w:rFonts w:asciiTheme="minorHAnsi" w:hAnsiTheme="minorHAnsi" w:cstheme="minorHAnsi"/>
                <w:b/>
                <w:sz w:val="22"/>
                <w:szCs w:val="22"/>
              </w:rPr>
              <w:t>Contact:</w:t>
            </w:r>
          </w:p>
        </w:tc>
        <w:tc>
          <w:tcPr>
            <w:tcW w:w="3544" w:type="dxa"/>
          </w:tcPr>
          <w:p w14:paraId="151A586E" w14:textId="6C99BF66" w:rsidR="00173BB2" w:rsidRPr="007C080C" w:rsidRDefault="00173BB2" w:rsidP="00D8587A">
            <w:pPr>
              <w:pStyle w:val="Tabletext"/>
              <w:rPr>
                <w:b/>
                <w:bCs/>
                <w:sz w:val="22"/>
                <w:szCs w:val="22"/>
              </w:rPr>
            </w:pPr>
            <w:r w:rsidRPr="00311961">
              <w:rPr>
                <w:rFonts w:cstheme="minorHAnsi"/>
                <w:sz w:val="22"/>
                <w:szCs w:val="22"/>
              </w:rPr>
              <w:t>Mr Bilel Jamoussi</w:t>
            </w:r>
          </w:p>
        </w:tc>
        <w:tc>
          <w:tcPr>
            <w:tcW w:w="5103" w:type="dxa"/>
            <w:gridSpan w:val="2"/>
            <w:vMerge/>
          </w:tcPr>
          <w:p w14:paraId="2EBF3467" w14:textId="77777777" w:rsidR="00173BB2" w:rsidRPr="007C080C" w:rsidRDefault="00173BB2" w:rsidP="00074A8A">
            <w:pPr>
              <w:pStyle w:val="Tabletext"/>
              <w:spacing w:before="0" w:after="0" w:line="259" w:lineRule="auto"/>
              <w:ind w:left="283" w:hanging="283"/>
              <w:rPr>
                <w:b/>
                <w:sz w:val="22"/>
                <w:szCs w:val="22"/>
              </w:rPr>
            </w:pPr>
          </w:p>
        </w:tc>
      </w:tr>
      <w:tr w:rsidR="00173BB2" w:rsidRPr="007C080C" w14:paraId="4B512585" w14:textId="77777777" w:rsidTr="00173BB2">
        <w:trPr>
          <w:cantSplit/>
          <w:trHeight w:val="221"/>
        </w:trPr>
        <w:tc>
          <w:tcPr>
            <w:tcW w:w="1418" w:type="dxa"/>
          </w:tcPr>
          <w:p w14:paraId="45FB1CB2" w14:textId="77777777" w:rsidR="00173BB2" w:rsidRPr="007C080C" w:rsidRDefault="00173BB2">
            <w:pPr>
              <w:pStyle w:val="Tabletext"/>
              <w:rPr>
                <w:sz w:val="22"/>
                <w:szCs w:val="22"/>
              </w:rPr>
            </w:pPr>
            <w:r w:rsidRPr="007C080C">
              <w:rPr>
                <w:b/>
                <w:sz w:val="22"/>
                <w:szCs w:val="22"/>
              </w:rPr>
              <w:t>Tel:</w:t>
            </w:r>
          </w:p>
        </w:tc>
        <w:tc>
          <w:tcPr>
            <w:tcW w:w="3544" w:type="dxa"/>
          </w:tcPr>
          <w:p w14:paraId="4D88B3A0" w14:textId="58A2ECAA" w:rsidR="00173BB2" w:rsidRPr="007C080C" w:rsidRDefault="00173BB2" w:rsidP="00C95BF6">
            <w:pPr>
              <w:pStyle w:val="Tabletext"/>
              <w:rPr>
                <w:b/>
                <w:sz w:val="22"/>
                <w:szCs w:val="22"/>
              </w:rPr>
            </w:pPr>
            <w:r w:rsidRPr="00311961">
              <w:rPr>
                <w:rFonts w:asciiTheme="minorHAnsi" w:hAnsiTheme="minorHAnsi" w:cstheme="minorHAnsi"/>
                <w:sz w:val="22"/>
                <w:szCs w:val="22"/>
              </w:rPr>
              <w:t>+41 22 730 6311</w:t>
            </w:r>
          </w:p>
        </w:tc>
        <w:tc>
          <w:tcPr>
            <w:tcW w:w="5103" w:type="dxa"/>
            <w:gridSpan w:val="2"/>
            <w:vMerge/>
          </w:tcPr>
          <w:p w14:paraId="105FEE99" w14:textId="77777777" w:rsidR="00173BB2" w:rsidRPr="007C080C" w:rsidRDefault="00173BB2" w:rsidP="00074A8A">
            <w:pPr>
              <w:pStyle w:val="Tabletext"/>
              <w:spacing w:before="0" w:after="0" w:line="259" w:lineRule="auto"/>
              <w:ind w:left="283" w:hanging="283"/>
              <w:rPr>
                <w:sz w:val="22"/>
                <w:szCs w:val="22"/>
              </w:rPr>
            </w:pPr>
          </w:p>
        </w:tc>
      </w:tr>
      <w:tr w:rsidR="00173BB2" w:rsidRPr="007C080C" w14:paraId="1E8DC1E2" w14:textId="77777777" w:rsidTr="00173BB2">
        <w:trPr>
          <w:cantSplit/>
          <w:trHeight w:val="221"/>
        </w:trPr>
        <w:tc>
          <w:tcPr>
            <w:tcW w:w="1418" w:type="dxa"/>
          </w:tcPr>
          <w:p w14:paraId="5A984500" w14:textId="15AB3216" w:rsidR="00173BB2" w:rsidRPr="007C080C" w:rsidRDefault="00173BB2" w:rsidP="00D8587A">
            <w:pPr>
              <w:pStyle w:val="Tabletext"/>
              <w:rPr>
                <w:b/>
                <w:sz w:val="22"/>
                <w:szCs w:val="22"/>
              </w:rPr>
            </w:pPr>
            <w:r w:rsidRPr="007C080C">
              <w:rPr>
                <w:b/>
                <w:sz w:val="22"/>
                <w:szCs w:val="22"/>
              </w:rPr>
              <w:t>Fax:</w:t>
            </w:r>
          </w:p>
        </w:tc>
        <w:tc>
          <w:tcPr>
            <w:tcW w:w="3544" w:type="dxa"/>
          </w:tcPr>
          <w:p w14:paraId="1E9C0152" w14:textId="63AD3F1F" w:rsidR="00173BB2" w:rsidRPr="00311961" w:rsidRDefault="00173BB2" w:rsidP="00D8587A">
            <w:pPr>
              <w:pStyle w:val="Tabletext"/>
              <w:rPr>
                <w:rFonts w:asciiTheme="minorHAnsi" w:hAnsiTheme="minorHAnsi" w:cstheme="minorHAnsi"/>
                <w:sz w:val="22"/>
                <w:szCs w:val="22"/>
              </w:rPr>
            </w:pPr>
            <w:r w:rsidRPr="007C080C">
              <w:rPr>
                <w:sz w:val="22"/>
                <w:szCs w:val="22"/>
              </w:rPr>
              <w:t>+41 22 730 5853</w:t>
            </w:r>
          </w:p>
        </w:tc>
        <w:tc>
          <w:tcPr>
            <w:tcW w:w="5103" w:type="dxa"/>
            <w:gridSpan w:val="2"/>
            <w:vMerge/>
          </w:tcPr>
          <w:p w14:paraId="61EB64FA" w14:textId="77777777" w:rsidR="00173BB2" w:rsidRPr="007C080C" w:rsidRDefault="00173BB2" w:rsidP="00074A8A">
            <w:pPr>
              <w:pStyle w:val="Tabletext"/>
              <w:spacing w:before="0" w:after="0" w:line="259" w:lineRule="auto"/>
              <w:ind w:left="283" w:hanging="283"/>
              <w:rPr>
                <w:sz w:val="22"/>
                <w:szCs w:val="22"/>
              </w:rPr>
            </w:pPr>
          </w:p>
        </w:tc>
      </w:tr>
      <w:tr w:rsidR="00173BB2" w:rsidRPr="007C080C" w14:paraId="0E71A02B" w14:textId="77777777" w:rsidTr="00173BB2">
        <w:trPr>
          <w:cantSplit/>
          <w:trHeight w:val="282"/>
        </w:trPr>
        <w:tc>
          <w:tcPr>
            <w:tcW w:w="1418" w:type="dxa"/>
          </w:tcPr>
          <w:p w14:paraId="0319332A" w14:textId="49774480" w:rsidR="00173BB2" w:rsidRPr="007C080C" w:rsidRDefault="00173BB2" w:rsidP="00D8587A">
            <w:pPr>
              <w:pStyle w:val="Tabletext"/>
              <w:rPr>
                <w:sz w:val="22"/>
                <w:szCs w:val="22"/>
              </w:rPr>
            </w:pPr>
            <w:r w:rsidRPr="007C080C">
              <w:rPr>
                <w:b/>
                <w:sz w:val="22"/>
                <w:szCs w:val="22"/>
              </w:rPr>
              <w:t>E-mail:</w:t>
            </w:r>
          </w:p>
        </w:tc>
        <w:tc>
          <w:tcPr>
            <w:tcW w:w="3544" w:type="dxa"/>
          </w:tcPr>
          <w:p w14:paraId="78CC8F8C" w14:textId="796028EF" w:rsidR="00173BB2" w:rsidRPr="007C080C" w:rsidRDefault="009C6D83" w:rsidP="00D8587A">
            <w:pPr>
              <w:pStyle w:val="Tabletext"/>
              <w:rPr>
                <w:b/>
                <w:sz w:val="22"/>
                <w:szCs w:val="22"/>
              </w:rPr>
            </w:pPr>
            <w:hyperlink r:id="rId12" w:history="1">
              <w:r w:rsidR="00173BB2" w:rsidRPr="00311961">
                <w:rPr>
                  <w:rStyle w:val="Hyperlink"/>
                  <w:rFonts w:cstheme="minorHAnsi"/>
                  <w:sz w:val="22"/>
                  <w:szCs w:val="22"/>
                </w:rPr>
                <w:t>gss@itu.int</w:t>
              </w:r>
            </w:hyperlink>
          </w:p>
        </w:tc>
        <w:tc>
          <w:tcPr>
            <w:tcW w:w="5103" w:type="dxa"/>
            <w:gridSpan w:val="2"/>
            <w:vMerge/>
          </w:tcPr>
          <w:p w14:paraId="5AABDE07" w14:textId="77777777" w:rsidR="00173BB2" w:rsidRPr="007C080C" w:rsidRDefault="00173BB2" w:rsidP="00074A8A">
            <w:pPr>
              <w:pStyle w:val="Tabletext"/>
              <w:spacing w:before="0" w:after="0" w:line="259" w:lineRule="auto"/>
              <w:ind w:left="283" w:hanging="283"/>
              <w:rPr>
                <w:sz w:val="22"/>
                <w:szCs w:val="22"/>
              </w:rPr>
            </w:pPr>
          </w:p>
        </w:tc>
      </w:tr>
      <w:tr w:rsidR="00173BB2" w:rsidRPr="007C080C" w14:paraId="5EBD4325" w14:textId="77777777" w:rsidTr="00796D95">
        <w:trPr>
          <w:cantSplit/>
          <w:trHeight w:val="2390"/>
        </w:trPr>
        <w:tc>
          <w:tcPr>
            <w:tcW w:w="1418" w:type="dxa"/>
          </w:tcPr>
          <w:p w14:paraId="381A3B22" w14:textId="111498B7" w:rsidR="00173BB2" w:rsidRPr="007C080C" w:rsidRDefault="00173BB2" w:rsidP="00D8587A">
            <w:pPr>
              <w:pStyle w:val="Tabletext"/>
              <w:rPr>
                <w:sz w:val="22"/>
                <w:szCs w:val="22"/>
              </w:rPr>
            </w:pPr>
          </w:p>
        </w:tc>
        <w:tc>
          <w:tcPr>
            <w:tcW w:w="3544" w:type="dxa"/>
          </w:tcPr>
          <w:p w14:paraId="615B52F4" w14:textId="0C9DDBAB" w:rsidR="00173BB2" w:rsidRPr="007C080C" w:rsidRDefault="00173BB2" w:rsidP="00D8587A">
            <w:pPr>
              <w:pStyle w:val="Tabletext"/>
              <w:rPr>
                <w:sz w:val="22"/>
                <w:szCs w:val="22"/>
                <w:lang w:val="en-US"/>
              </w:rPr>
            </w:pPr>
          </w:p>
        </w:tc>
        <w:tc>
          <w:tcPr>
            <w:tcW w:w="5103" w:type="dxa"/>
            <w:gridSpan w:val="2"/>
            <w:vMerge/>
          </w:tcPr>
          <w:p w14:paraId="4B498698" w14:textId="1E9C914C" w:rsidR="00173BB2" w:rsidRPr="006E1D97" w:rsidRDefault="00173BB2" w:rsidP="006E1D97">
            <w:pPr>
              <w:pStyle w:val="Tabletext"/>
              <w:tabs>
                <w:tab w:val="clear" w:pos="284"/>
              </w:tabs>
              <w:spacing w:before="0" w:after="0" w:line="259" w:lineRule="auto"/>
              <w:ind w:left="283" w:hanging="283"/>
              <w:rPr>
                <w:rFonts w:cstheme="minorBidi"/>
                <w:sz w:val="22"/>
                <w:szCs w:val="22"/>
              </w:rPr>
            </w:pPr>
          </w:p>
        </w:tc>
      </w:tr>
      <w:tr w:rsidR="00D8587A" w:rsidRPr="007C080C" w14:paraId="669AAEA7" w14:textId="77777777" w:rsidTr="00173BB2">
        <w:trPr>
          <w:cantSplit/>
          <w:trHeight w:val="1041"/>
        </w:trPr>
        <w:tc>
          <w:tcPr>
            <w:tcW w:w="1418" w:type="dxa"/>
          </w:tcPr>
          <w:p w14:paraId="1DC5B8B0" w14:textId="77777777" w:rsidR="00D8587A" w:rsidRPr="007C080C" w:rsidRDefault="00D8587A" w:rsidP="00D8587A">
            <w:pPr>
              <w:pStyle w:val="Tabletext"/>
              <w:rPr>
                <w:sz w:val="22"/>
                <w:szCs w:val="22"/>
              </w:rPr>
            </w:pPr>
            <w:r w:rsidRPr="007C080C">
              <w:rPr>
                <w:b/>
                <w:sz w:val="22"/>
                <w:szCs w:val="22"/>
              </w:rPr>
              <w:t>Subject:</w:t>
            </w:r>
          </w:p>
        </w:tc>
        <w:tc>
          <w:tcPr>
            <w:tcW w:w="8647" w:type="dxa"/>
            <w:gridSpan w:val="3"/>
          </w:tcPr>
          <w:p w14:paraId="642F542D" w14:textId="366246DD" w:rsidR="00B4651B" w:rsidRDefault="00187DB7" w:rsidP="00D8587A">
            <w:pPr>
              <w:pStyle w:val="Tabletext"/>
              <w:rPr>
                <w:rFonts w:cstheme="minorHAnsi"/>
                <w:b/>
                <w:bCs/>
                <w:color w:val="000000"/>
                <w:sz w:val="22"/>
                <w:szCs w:val="22"/>
              </w:rPr>
            </w:pPr>
            <w:r>
              <w:rPr>
                <w:b/>
                <w:bCs/>
                <w:sz w:val="22"/>
                <w:szCs w:val="22"/>
              </w:rPr>
              <w:t xml:space="preserve">Travel grant for the </w:t>
            </w:r>
            <w:r w:rsidRPr="00311961">
              <w:rPr>
                <w:rFonts w:cstheme="minorHAnsi"/>
                <w:b/>
                <w:bCs/>
                <w:color w:val="000000"/>
                <w:sz w:val="22"/>
                <w:szCs w:val="22"/>
              </w:rPr>
              <w:t xml:space="preserve">Global Standards Symposium (GSS-24): </w:t>
            </w:r>
            <w:r w:rsidR="00B4651B">
              <w:rPr>
                <w:rFonts w:cstheme="minorHAnsi"/>
                <w:b/>
                <w:bCs/>
                <w:color w:val="000000"/>
                <w:sz w:val="22"/>
                <w:szCs w:val="22"/>
              </w:rPr>
              <w:t>“</w:t>
            </w:r>
            <w:r w:rsidRPr="00311961">
              <w:rPr>
                <w:rFonts w:cstheme="minorHAnsi"/>
                <w:b/>
                <w:bCs/>
                <w:color w:val="000000"/>
                <w:sz w:val="22"/>
                <w:szCs w:val="22"/>
              </w:rPr>
              <w:t>Charting the Next Digital Wave: Emerging Technologies, Innovation, and International Standards</w:t>
            </w:r>
            <w:r w:rsidR="00B4651B">
              <w:rPr>
                <w:rFonts w:cstheme="minorHAnsi"/>
                <w:b/>
                <w:bCs/>
                <w:color w:val="000000"/>
                <w:sz w:val="22"/>
                <w:szCs w:val="22"/>
              </w:rPr>
              <w:t>”</w:t>
            </w:r>
          </w:p>
          <w:p w14:paraId="454AEE09" w14:textId="207D97BC" w:rsidR="00D8587A" w:rsidRPr="00FD64E8" w:rsidRDefault="00187DB7" w:rsidP="00D8587A">
            <w:pPr>
              <w:pStyle w:val="Tabletext"/>
              <w:rPr>
                <w:b/>
                <w:bCs/>
                <w:sz w:val="22"/>
                <w:szCs w:val="22"/>
              </w:rPr>
            </w:pPr>
            <w:r w:rsidRPr="00311961">
              <w:rPr>
                <w:rFonts w:cstheme="minorHAnsi"/>
                <w:b/>
                <w:bCs/>
                <w:color w:val="000000"/>
                <w:sz w:val="22"/>
                <w:szCs w:val="22"/>
              </w:rPr>
              <w:t>New Delhi, India, 14 October 2024</w:t>
            </w:r>
          </w:p>
        </w:tc>
      </w:tr>
    </w:tbl>
    <w:p w14:paraId="51739827" w14:textId="5EA78D96" w:rsidR="00FA46A0" w:rsidRPr="007D77D3" w:rsidRDefault="00B61012">
      <w:pPr>
        <w:rPr>
          <w:rFonts w:asciiTheme="minorHAnsi" w:hAnsiTheme="minorHAnsi" w:cstheme="minorHAnsi"/>
          <w:sz w:val="22"/>
          <w:szCs w:val="22"/>
        </w:rPr>
      </w:pPr>
      <w:r w:rsidRPr="007D77D3">
        <w:rPr>
          <w:rFonts w:asciiTheme="minorHAnsi" w:hAnsiTheme="minorHAnsi" w:cstheme="minorHAnsi"/>
          <w:sz w:val="22"/>
          <w:szCs w:val="22"/>
        </w:rPr>
        <w:t>Dear Sir</w:t>
      </w:r>
      <w:r w:rsidR="00330C27" w:rsidRPr="007D77D3">
        <w:rPr>
          <w:rFonts w:asciiTheme="minorHAnsi" w:hAnsiTheme="minorHAnsi" w:cstheme="minorHAnsi"/>
          <w:sz w:val="22"/>
          <w:szCs w:val="22"/>
        </w:rPr>
        <w:t>/</w:t>
      </w:r>
      <w:r w:rsidRPr="007D77D3">
        <w:rPr>
          <w:rFonts w:asciiTheme="minorHAnsi" w:hAnsiTheme="minorHAnsi" w:cstheme="minorHAnsi"/>
          <w:sz w:val="22"/>
          <w:szCs w:val="22"/>
        </w:rPr>
        <w:t>Madam,</w:t>
      </w:r>
    </w:p>
    <w:p w14:paraId="5AA0E3DD" w14:textId="34EEE3DA" w:rsidR="00FA46A0" w:rsidRPr="007D77D3" w:rsidRDefault="00FE253A">
      <w:pPr>
        <w:rPr>
          <w:rFonts w:asciiTheme="minorHAnsi" w:hAnsiTheme="minorHAnsi" w:cstheme="minorHAnsi"/>
          <w:sz w:val="22"/>
          <w:szCs w:val="22"/>
        </w:rPr>
      </w:pPr>
      <w:r w:rsidRPr="007D77D3">
        <w:rPr>
          <w:rFonts w:asciiTheme="minorHAnsi" w:hAnsiTheme="minorHAnsi" w:cstheme="minorHAnsi"/>
          <w:sz w:val="22"/>
          <w:szCs w:val="22"/>
        </w:rPr>
        <w:t xml:space="preserve">Further to </w:t>
      </w:r>
      <w:hyperlink r:id="rId13" w:history="1">
        <w:r w:rsidRPr="007D77D3">
          <w:rPr>
            <w:rStyle w:val="Hyperlink"/>
            <w:rFonts w:asciiTheme="minorHAnsi" w:hAnsiTheme="minorHAnsi" w:cstheme="minorHAnsi"/>
            <w:sz w:val="22"/>
            <w:szCs w:val="22"/>
          </w:rPr>
          <w:t>TSB Circular 178</w:t>
        </w:r>
      </w:hyperlink>
      <w:r w:rsidRPr="007D77D3">
        <w:rPr>
          <w:rFonts w:asciiTheme="minorHAnsi" w:hAnsiTheme="minorHAnsi" w:cstheme="minorHAnsi"/>
          <w:sz w:val="22"/>
          <w:szCs w:val="22"/>
        </w:rPr>
        <w:t xml:space="preserve">, dated 7 March 2024, it is my pleasure to inform you that </w:t>
      </w:r>
      <w:r w:rsidR="000B2B37" w:rsidRPr="007D77D3">
        <w:rPr>
          <w:rFonts w:asciiTheme="minorHAnsi" w:hAnsiTheme="minorHAnsi" w:cstheme="minorHAnsi"/>
          <w:sz w:val="22"/>
          <w:szCs w:val="22"/>
        </w:rPr>
        <w:t xml:space="preserve">a limited number of </w:t>
      </w:r>
      <w:r w:rsidRPr="007D77D3">
        <w:rPr>
          <w:rFonts w:asciiTheme="minorHAnsi" w:hAnsiTheme="minorHAnsi" w:cstheme="minorHAnsi"/>
          <w:sz w:val="22"/>
          <w:szCs w:val="22"/>
        </w:rPr>
        <w:t xml:space="preserve">travel grants will be offered </w:t>
      </w:r>
      <w:r w:rsidR="000B2B37" w:rsidRPr="007D77D3">
        <w:rPr>
          <w:rFonts w:asciiTheme="minorHAnsi" w:hAnsiTheme="minorHAnsi" w:cstheme="minorHAnsi"/>
          <w:sz w:val="22"/>
          <w:szCs w:val="22"/>
        </w:rPr>
        <w:t>to senior government representatives (e.g.</w:t>
      </w:r>
      <w:r w:rsidR="00E00492" w:rsidRPr="007D77D3">
        <w:rPr>
          <w:rFonts w:asciiTheme="minorHAnsi" w:hAnsiTheme="minorHAnsi" w:cstheme="minorHAnsi"/>
          <w:sz w:val="22"/>
          <w:szCs w:val="22"/>
        </w:rPr>
        <w:t>,</w:t>
      </w:r>
      <w:r w:rsidR="000B2B37" w:rsidRPr="007D77D3">
        <w:rPr>
          <w:rFonts w:asciiTheme="minorHAnsi" w:hAnsiTheme="minorHAnsi" w:cstheme="minorHAnsi"/>
          <w:sz w:val="22"/>
          <w:szCs w:val="22"/>
        </w:rPr>
        <w:t xml:space="preserve"> </w:t>
      </w:r>
      <w:r w:rsidR="00541490">
        <w:rPr>
          <w:rFonts w:asciiTheme="minorHAnsi" w:hAnsiTheme="minorHAnsi" w:cstheme="minorHAnsi"/>
          <w:sz w:val="22"/>
          <w:szCs w:val="22"/>
        </w:rPr>
        <w:t>m</w:t>
      </w:r>
      <w:r w:rsidR="000B2B37" w:rsidRPr="007D77D3">
        <w:rPr>
          <w:rFonts w:asciiTheme="minorHAnsi" w:hAnsiTheme="minorHAnsi" w:cstheme="minorHAnsi"/>
          <w:sz w:val="22"/>
          <w:szCs w:val="22"/>
        </w:rPr>
        <w:t>inisters</w:t>
      </w:r>
      <w:r w:rsidR="00E00492" w:rsidRPr="007D77D3">
        <w:rPr>
          <w:rFonts w:asciiTheme="minorHAnsi" w:hAnsiTheme="minorHAnsi" w:cstheme="minorHAnsi"/>
          <w:sz w:val="22"/>
          <w:szCs w:val="22"/>
        </w:rPr>
        <w:t xml:space="preserve"> and</w:t>
      </w:r>
      <w:r w:rsidR="000B2B37" w:rsidRPr="007D77D3">
        <w:rPr>
          <w:rFonts w:asciiTheme="minorHAnsi" w:hAnsiTheme="minorHAnsi" w:cstheme="minorHAnsi"/>
          <w:sz w:val="22"/>
          <w:szCs w:val="22"/>
        </w:rPr>
        <w:t xml:space="preserve"> </w:t>
      </w:r>
      <w:r w:rsidR="00541490">
        <w:rPr>
          <w:rFonts w:asciiTheme="minorHAnsi" w:hAnsiTheme="minorHAnsi" w:cstheme="minorHAnsi"/>
          <w:sz w:val="22"/>
          <w:szCs w:val="22"/>
        </w:rPr>
        <w:t>d</w:t>
      </w:r>
      <w:r w:rsidR="000B2B37" w:rsidRPr="007D77D3">
        <w:rPr>
          <w:rFonts w:asciiTheme="minorHAnsi" w:hAnsiTheme="minorHAnsi" w:cstheme="minorHAnsi"/>
          <w:sz w:val="22"/>
          <w:szCs w:val="22"/>
        </w:rPr>
        <w:t>eputy-</w:t>
      </w:r>
      <w:r w:rsidR="00541490">
        <w:rPr>
          <w:rFonts w:asciiTheme="minorHAnsi" w:hAnsiTheme="minorHAnsi" w:cstheme="minorHAnsi"/>
          <w:sz w:val="22"/>
          <w:szCs w:val="22"/>
        </w:rPr>
        <w:t>m</w:t>
      </w:r>
      <w:r w:rsidR="000B2B37" w:rsidRPr="007D77D3">
        <w:rPr>
          <w:rFonts w:asciiTheme="minorHAnsi" w:hAnsiTheme="minorHAnsi" w:cstheme="minorHAnsi"/>
          <w:sz w:val="22"/>
          <w:szCs w:val="22"/>
        </w:rPr>
        <w:t xml:space="preserve">inisters) </w:t>
      </w:r>
      <w:r w:rsidR="00643E16" w:rsidRPr="007D77D3">
        <w:rPr>
          <w:rFonts w:asciiTheme="minorHAnsi" w:hAnsiTheme="minorHAnsi" w:cstheme="minorHAnsi"/>
          <w:sz w:val="22"/>
          <w:szCs w:val="22"/>
        </w:rPr>
        <w:t xml:space="preserve">from Developing and Least Developed countries (LDCs) </w:t>
      </w:r>
      <w:r w:rsidR="000B2B37" w:rsidRPr="007D77D3">
        <w:rPr>
          <w:rFonts w:asciiTheme="minorHAnsi" w:hAnsiTheme="minorHAnsi" w:cstheme="minorHAnsi"/>
          <w:sz w:val="22"/>
          <w:szCs w:val="22"/>
        </w:rPr>
        <w:t xml:space="preserve">to </w:t>
      </w:r>
      <w:r w:rsidR="00643E16" w:rsidRPr="007D77D3">
        <w:rPr>
          <w:rFonts w:asciiTheme="minorHAnsi" w:hAnsiTheme="minorHAnsi" w:cstheme="minorHAnsi"/>
          <w:sz w:val="22"/>
          <w:szCs w:val="22"/>
        </w:rPr>
        <w:t xml:space="preserve">participate </w:t>
      </w:r>
      <w:r w:rsidR="000B2B37" w:rsidRPr="007D77D3">
        <w:rPr>
          <w:rFonts w:asciiTheme="minorHAnsi" w:hAnsiTheme="minorHAnsi" w:cstheme="minorHAnsi"/>
          <w:sz w:val="22"/>
          <w:szCs w:val="22"/>
        </w:rPr>
        <w:t xml:space="preserve">at the High Level Segment of the </w:t>
      </w:r>
      <w:r w:rsidRPr="007D77D3">
        <w:rPr>
          <w:rFonts w:asciiTheme="minorHAnsi" w:hAnsiTheme="minorHAnsi" w:cstheme="minorHAnsi"/>
          <w:sz w:val="22"/>
          <w:szCs w:val="22"/>
        </w:rPr>
        <w:t xml:space="preserve">Global Standards Symposium (GSS-24): </w:t>
      </w:r>
      <w:r w:rsidR="00541490">
        <w:rPr>
          <w:rFonts w:asciiTheme="minorHAnsi" w:hAnsiTheme="minorHAnsi" w:cstheme="minorHAnsi"/>
          <w:sz w:val="22"/>
          <w:szCs w:val="22"/>
        </w:rPr>
        <w:t>“</w:t>
      </w:r>
      <w:r w:rsidRPr="007D77D3">
        <w:rPr>
          <w:rFonts w:asciiTheme="minorHAnsi" w:hAnsiTheme="minorHAnsi" w:cstheme="minorHAnsi"/>
          <w:sz w:val="22"/>
          <w:szCs w:val="22"/>
        </w:rPr>
        <w:t>Charting the Next Digital Wave: Emerging Technologies, Innovation, and International Standards</w:t>
      </w:r>
      <w:r w:rsidR="00541490">
        <w:rPr>
          <w:rFonts w:asciiTheme="minorHAnsi" w:hAnsiTheme="minorHAnsi" w:cstheme="minorHAnsi"/>
          <w:sz w:val="22"/>
          <w:szCs w:val="22"/>
        </w:rPr>
        <w:t>”</w:t>
      </w:r>
      <w:r w:rsidRPr="007D77D3">
        <w:rPr>
          <w:rFonts w:asciiTheme="minorHAnsi" w:hAnsiTheme="minorHAnsi" w:cstheme="minorHAnsi"/>
          <w:sz w:val="22"/>
          <w:szCs w:val="22"/>
        </w:rPr>
        <w:t xml:space="preserve">, which will take place on 14 October 2024 at the Convention </w:t>
      </w:r>
      <w:proofErr w:type="spellStart"/>
      <w:r w:rsidRPr="007D77D3">
        <w:rPr>
          <w:rFonts w:asciiTheme="minorHAnsi" w:hAnsiTheme="minorHAnsi" w:cstheme="minorHAnsi"/>
          <w:sz w:val="22"/>
          <w:szCs w:val="22"/>
        </w:rPr>
        <w:t>Center</w:t>
      </w:r>
      <w:proofErr w:type="spellEnd"/>
      <w:r w:rsidRPr="007D77D3">
        <w:rPr>
          <w:rFonts w:asciiTheme="minorHAnsi" w:hAnsiTheme="minorHAnsi" w:cstheme="minorHAnsi"/>
          <w:sz w:val="22"/>
          <w:szCs w:val="22"/>
        </w:rPr>
        <w:t xml:space="preserve"> Bharat Mandapam, Pragati Maidan in New Delhi, India.</w:t>
      </w:r>
    </w:p>
    <w:p w14:paraId="6DCB95E6" w14:textId="6FBA9CAF" w:rsidR="001156C0" w:rsidRPr="007D77D3" w:rsidRDefault="001156C0" w:rsidP="001156C0">
      <w:pPr>
        <w:rPr>
          <w:rFonts w:asciiTheme="minorHAnsi" w:hAnsiTheme="minorHAnsi" w:cstheme="minorHAnsi"/>
          <w:sz w:val="22"/>
          <w:szCs w:val="22"/>
        </w:rPr>
      </w:pPr>
      <w:r w:rsidRPr="007D77D3">
        <w:rPr>
          <w:rFonts w:asciiTheme="minorHAnsi" w:hAnsiTheme="minorHAnsi" w:cstheme="minorHAnsi"/>
          <w:sz w:val="22"/>
          <w:szCs w:val="22"/>
        </w:rPr>
        <w:t>I am pleased to inform you that the travel grant</w:t>
      </w:r>
      <w:r w:rsidR="00541490">
        <w:rPr>
          <w:rFonts w:asciiTheme="minorHAnsi" w:hAnsiTheme="minorHAnsi" w:cstheme="minorHAnsi"/>
          <w:sz w:val="22"/>
          <w:szCs w:val="22"/>
        </w:rPr>
        <w:t xml:space="preserve"> (</w:t>
      </w:r>
      <w:r w:rsidR="00541490" w:rsidRPr="007D77D3">
        <w:rPr>
          <w:rFonts w:asciiTheme="minorHAnsi" w:hAnsiTheme="minorHAnsi" w:cstheme="minorHAnsi"/>
          <w:sz w:val="22"/>
          <w:szCs w:val="22"/>
        </w:rPr>
        <w:t>kindly supported by Japan</w:t>
      </w:r>
      <w:r w:rsidR="00541490">
        <w:rPr>
          <w:rFonts w:asciiTheme="minorHAnsi" w:hAnsiTheme="minorHAnsi" w:cstheme="minorHAnsi"/>
          <w:sz w:val="22"/>
          <w:szCs w:val="22"/>
        </w:rPr>
        <w:t>)</w:t>
      </w:r>
      <w:r w:rsidRPr="007D77D3">
        <w:rPr>
          <w:rFonts w:asciiTheme="minorHAnsi" w:hAnsiTheme="minorHAnsi" w:cstheme="minorHAnsi"/>
          <w:sz w:val="22"/>
          <w:szCs w:val="22"/>
        </w:rPr>
        <w:t xml:space="preserve"> for the Symposium will cover the cost of</w:t>
      </w:r>
      <w:r w:rsidR="00541490">
        <w:rPr>
          <w:rFonts w:asciiTheme="minorHAnsi" w:hAnsiTheme="minorHAnsi" w:cstheme="minorHAnsi"/>
          <w:sz w:val="22"/>
          <w:szCs w:val="22"/>
        </w:rPr>
        <w:t xml:space="preserve"> a return </w:t>
      </w:r>
      <w:r w:rsidR="00541490" w:rsidRPr="007D77D3">
        <w:rPr>
          <w:rFonts w:asciiTheme="minorHAnsi" w:hAnsiTheme="minorHAnsi" w:cstheme="minorHAnsi"/>
          <w:sz w:val="22"/>
          <w:szCs w:val="22"/>
        </w:rPr>
        <w:t>air</w:t>
      </w:r>
      <w:r w:rsidR="00541490">
        <w:rPr>
          <w:rFonts w:asciiTheme="minorHAnsi" w:hAnsiTheme="minorHAnsi" w:cstheme="minorHAnsi"/>
          <w:sz w:val="22"/>
          <w:szCs w:val="22"/>
        </w:rPr>
        <w:t>line</w:t>
      </w:r>
      <w:r w:rsidR="00541490" w:rsidRPr="007D77D3">
        <w:rPr>
          <w:rFonts w:asciiTheme="minorHAnsi" w:hAnsiTheme="minorHAnsi" w:cstheme="minorHAnsi"/>
          <w:sz w:val="22"/>
          <w:szCs w:val="22"/>
        </w:rPr>
        <w:t xml:space="preserve"> ticket for the most direct and economical route, departing from the country of domicile and arriving</w:t>
      </w:r>
      <w:r w:rsidR="00541490">
        <w:rPr>
          <w:rFonts w:asciiTheme="minorHAnsi" w:hAnsiTheme="minorHAnsi" w:cstheme="minorHAnsi"/>
          <w:sz w:val="22"/>
          <w:szCs w:val="22"/>
        </w:rPr>
        <w:t xml:space="preserve"> in New Delhi</w:t>
      </w:r>
      <w:r w:rsidR="000B2B37" w:rsidRPr="007D77D3">
        <w:rPr>
          <w:rFonts w:asciiTheme="minorHAnsi" w:hAnsiTheme="minorHAnsi" w:cstheme="minorHAnsi"/>
          <w:sz w:val="22"/>
          <w:szCs w:val="22"/>
        </w:rPr>
        <w:t>.</w:t>
      </w:r>
    </w:p>
    <w:p w14:paraId="2F57BE48" w14:textId="3A7BD9B6" w:rsidR="00307ED7" w:rsidRPr="007D77D3" w:rsidRDefault="001156C0" w:rsidP="001156C0">
      <w:pPr>
        <w:rPr>
          <w:rFonts w:asciiTheme="minorHAnsi" w:hAnsiTheme="minorHAnsi" w:cstheme="minorHAnsi"/>
          <w:sz w:val="22"/>
          <w:szCs w:val="22"/>
        </w:rPr>
      </w:pPr>
      <w:r w:rsidRPr="007D77D3">
        <w:rPr>
          <w:rFonts w:asciiTheme="minorHAnsi" w:hAnsiTheme="minorHAnsi" w:cstheme="minorHAnsi"/>
          <w:sz w:val="22"/>
          <w:szCs w:val="22"/>
        </w:rPr>
        <w:t xml:space="preserve">Regarding accommodation, the Indian Government has generously offered complimentary lodging for the period of 13 to 16 October 2024. </w:t>
      </w:r>
    </w:p>
    <w:p w14:paraId="46540A7D" w14:textId="49B50141" w:rsidR="001156C0" w:rsidRPr="007D77D3" w:rsidRDefault="001156C0" w:rsidP="001156C0">
      <w:pPr>
        <w:rPr>
          <w:rFonts w:asciiTheme="minorHAnsi" w:hAnsiTheme="minorHAnsi" w:cstheme="minorHAnsi"/>
          <w:sz w:val="22"/>
          <w:szCs w:val="22"/>
        </w:rPr>
      </w:pPr>
      <w:r w:rsidRPr="007D77D3">
        <w:rPr>
          <w:rFonts w:asciiTheme="minorHAnsi" w:hAnsiTheme="minorHAnsi" w:cstheme="minorHAnsi"/>
          <w:sz w:val="22"/>
          <w:szCs w:val="22"/>
        </w:rPr>
        <w:t>Kindly note that Member States are responsible for covering any additional costs associated with their participation in the Symposium</w:t>
      </w:r>
      <w:r w:rsidR="000B2B37" w:rsidRPr="007D77D3">
        <w:rPr>
          <w:rFonts w:asciiTheme="minorHAnsi" w:hAnsiTheme="minorHAnsi" w:cstheme="minorHAnsi"/>
          <w:sz w:val="22"/>
          <w:szCs w:val="22"/>
        </w:rPr>
        <w:t xml:space="preserve"> (e.g.</w:t>
      </w:r>
      <w:r w:rsidR="00E00492" w:rsidRPr="007D77D3">
        <w:rPr>
          <w:rFonts w:asciiTheme="minorHAnsi" w:hAnsiTheme="minorHAnsi" w:cstheme="minorHAnsi"/>
          <w:sz w:val="22"/>
          <w:szCs w:val="22"/>
        </w:rPr>
        <w:t>,</w:t>
      </w:r>
      <w:r w:rsidR="000B2B37" w:rsidRPr="007D77D3">
        <w:rPr>
          <w:rFonts w:asciiTheme="minorHAnsi" w:hAnsiTheme="minorHAnsi" w:cstheme="minorHAnsi"/>
          <w:sz w:val="22"/>
          <w:szCs w:val="22"/>
        </w:rPr>
        <w:t xml:space="preserve"> meals, transportation from the hotel to the conference venue</w:t>
      </w:r>
      <w:r w:rsidR="00541490">
        <w:rPr>
          <w:rFonts w:asciiTheme="minorHAnsi" w:hAnsiTheme="minorHAnsi" w:cstheme="minorHAnsi"/>
          <w:sz w:val="22"/>
          <w:szCs w:val="22"/>
        </w:rPr>
        <w:t>, etc</w:t>
      </w:r>
      <w:r w:rsidR="000B2B37" w:rsidRPr="007D77D3">
        <w:rPr>
          <w:rFonts w:asciiTheme="minorHAnsi" w:hAnsiTheme="minorHAnsi" w:cstheme="minorHAnsi"/>
          <w:sz w:val="22"/>
          <w:szCs w:val="22"/>
        </w:rPr>
        <w:t>)</w:t>
      </w:r>
      <w:r w:rsidRPr="007D77D3">
        <w:rPr>
          <w:rFonts w:asciiTheme="minorHAnsi" w:hAnsiTheme="minorHAnsi" w:cstheme="minorHAnsi"/>
          <w:sz w:val="22"/>
          <w:szCs w:val="22"/>
        </w:rPr>
        <w:t>.</w:t>
      </w:r>
    </w:p>
    <w:p w14:paraId="2BB4FAAB" w14:textId="55C2CB33" w:rsidR="00BB602A" w:rsidRPr="007D77D3" w:rsidRDefault="00BB602A" w:rsidP="00BB602A">
      <w:pPr>
        <w:rPr>
          <w:rFonts w:asciiTheme="minorHAnsi" w:hAnsiTheme="minorHAnsi" w:cstheme="minorHAnsi"/>
          <w:sz w:val="22"/>
          <w:szCs w:val="22"/>
        </w:rPr>
      </w:pPr>
      <w:r w:rsidRPr="007D77D3">
        <w:rPr>
          <w:rFonts w:asciiTheme="minorHAnsi" w:hAnsiTheme="minorHAnsi" w:cstheme="minorHAnsi"/>
          <w:sz w:val="22"/>
          <w:szCs w:val="22"/>
        </w:rPr>
        <w:t xml:space="preserve">More information on the GSS-24, including the draft programme, is available on the </w:t>
      </w:r>
      <w:hyperlink r:id="rId14">
        <w:r w:rsidRPr="007D77D3">
          <w:rPr>
            <w:rFonts w:asciiTheme="minorHAnsi" w:hAnsiTheme="minorHAnsi" w:cstheme="minorHAnsi"/>
            <w:color w:val="0000FF"/>
            <w:sz w:val="22"/>
            <w:szCs w:val="22"/>
            <w:u w:val="single"/>
          </w:rPr>
          <w:t>GSS website</w:t>
        </w:r>
      </w:hyperlink>
      <w:r w:rsidRPr="007D77D3">
        <w:rPr>
          <w:rFonts w:asciiTheme="minorHAnsi" w:hAnsiTheme="minorHAnsi" w:cstheme="minorHAnsi"/>
          <w:sz w:val="22"/>
          <w:szCs w:val="22"/>
        </w:rPr>
        <w:t>.</w:t>
      </w:r>
      <w:r w:rsidR="00541490">
        <w:rPr>
          <w:rFonts w:asciiTheme="minorHAnsi" w:hAnsiTheme="minorHAnsi" w:cstheme="minorHAnsi"/>
          <w:sz w:val="22"/>
          <w:szCs w:val="22"/>
        </w:rPr>
        <w:t xml:space="preserve"> </w:t>
      </w:r>
    </w:p>
    <w:p w14:paraId="69526B00" w14:textId="14881BBF" w:rsidR="00FC1C19" w:rsidRPr="007D77D3" w:rsidRDefault="001156C0" w:rsidP="00173BB2">
      <w:pPr>
        <w:rPr>
          <w:rFonts w:asciiTheme="minorHAnsi" w:hAnsiTheme="minorHAnsi" w:cstheme="minorHAnsi"/>
          <w:sz w:val="22"/>
          <w:szCs w:val="22"/>
        </w:rPr>
      </w:pPr>
      <w:r w:rsidRPr="007D77D3">
        <w:rPr>
          <w:rFonts w:asciiTheme="minorHAnsi" w:hAnsiTheme="minorHAnsi" w:cstheme="minorHAnsi"/>
          <w:sz w:val="22"/>
          <w:szCs w:val="22"/>
        </w:rPr>
        <w:t>The c</w:t>
      </w:r>
      <w:r w:rsidR="00BB602A" w:rsidRPr="007D77D3">
        <w:rPr>
          <w:rFonts w:asciiTheme="minorHAnsi" w:hAnsiTheme="minorHAnsi" w:cstheme="minorHAnsi"/>
          <w:sz w:val="22"/>
          <w:szCs w:val="22"/>
        </w:rPr>
        <w:t xml:space="preserve">riteria and other information are available in the </w:t>
      </w:r>
      <w:r w:rsidR="00BB602A" w:rsidRPr="007D77D3">
        <w:rPr>
          <w:rFonts w:asciiTheme="minorHAnsi" w:hAnsiTheme="minorHAnsi" w:cstheme="minorHAnsi"/>
          <w:b/>
          <w:bCs/>
          <w:sz w:val="22"/>
          <w:szCs w:val="22"/>
        </w:rPr>
        <w:t>Annex 1.</w:t>
      </w:r>
    </w:p>
    <w:p w14:paraId="3B57AD03" w14:textId="449D2F6D" w:rsidR="00FA46A0" w:rsidRPr="00173BB2" w:rsidRDefault="00B0513A" w:rsidP="00173BB2">
      <w:pPr>
        <w:spacing w:after="8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824" behindDoc="1" locked="0" layoutInCell="1" allowOverlap="1" wp14:anchorId="1386249C" wp14:editId="6BD8D3D6">
            <wp:simplePos x="0" y="0"/>
            <wp:positionH relativeFrom="column">
              <wp:posOffset>0</wp:posOffset>
            </wp:positionH>
            <wp:positionV relativeFrom="paragraph">
              <wp:posOffset>393700</wp:posOffset>
            </wp:positionV>
            <wp:extent cx="668953" cy="282575"/>
            <wp:effectExtent l="0" t="0" r="0" b="3175"/>
            <wp:wrapNone/>
            <wp:docPr id="6624664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466401" name="Picture 662466401"/>
                    <pic:cNvPicPr/>
                  </pic:nvPicPr>
                  <pic:blipFill>
                    <a:blip r:embed="rId15">
                      <a:extLst>
                        <a:ext uri="{28A0092B-C50C-407E-A947-70E740481C1C}">
                          <a14:useLocalDpi xmlns:a14="http://schemas.microsoft.com/office/drawing/2010/main" val="0"/>
                        </a:ext>
                      </a:extLst>
                    </a:blip>
                    <a:stretch>
                      <a:fillRect/>
                    </a:stretch>
                  </pic:blipFill>
                  <pic:spPr>
                    <a:xfrm>
                      <a:off x="0" y="0"/>
                      <a:ext cx="668953" cy="282575"/>
                    </a:xfrm>
                    <a:prstGeom prst="rect">
                      <a:avLst/>
                    </a:prstGeom>
                  </pic:spPr>
                </pic:pic>
              </a:graphicData>
            </a:graphic>
            <wp14:sizeRelH relativeFrom="margin">
              <wp14:pctWidth>0</wp14:pctWidth>
            </wp14:sizeRelH>
            <wp14:sizeRelV relativeFrom="margin">
              <wp14:pctHeight>0</wp14:pctHeight>
            </wp14:sizeRelV>
          </wp:anchor>
        </w:drawing>
      </w:r>
      <w:r w:rsidR="00B61012" w:rsidRPr="007D77D3">
        <w:rPr>
          <w:rFonts w:asciiTheme="minorHAnsi" w:hAnsiTheme="minorHAnsi" w:cstheme="minorHAnsi"/>
          <w:sz w:val="22"/>
          <w:szCs w:val="22"/>
        </w:rPr>
        <w:t>Yours faithfully,</w:t>
      </w:r>
    </w:p>
    <w:p w14:paraId="0C0B3C0C" w14:textId="68C36B4A" w:rsidR="00173BB2" w:rsidRDefault="00CF4EE3" w:rsidP="00307ED7">
      <w:pPr>
        <w:spacing w:before="0"/>
        <w:rPr>
          <w:rFonts w:cs="Calibri"/>
          <w:sz w:val="22"/>
          <w:szCs w:val="22"/>
        </w:rPr>
      </w:pPr>
      <w:r w:rsidRPr="002A6F34">
        <w:rPr>
          <w:rFonts w:cs="Calibri"/>
          <w:sz w:val="22"/>
          <w:szCs w:val="22"/>
          <w:lang w:val="en-US"/>
        </w:rPr>
        <w:t>Seizo Onoe</w:t>
      </w:r>
      <w:r w:rsidR="00B61012" w:rsidRPr="002A6F34">
        <w:rPr>
          <w:rFonts w:cs="Calibri"/>
          <w:sz w:val="22"/>
          <w:szCs w:val="22"/>
        </w:rPr>
        <w:br/>
        <w:t>Director of the Telecommunication</w:t>
      </w:r>
      <w:r w:rsidR="00B61012" w:rsidRPr="002A6F34">
        <w:rPr>
          <w:rFonts w:cs="Calibri"/>
          <w:sz w:val="22"/>
          <w:szCs w:val="22"/>
        </w:rPr>
        <w:br/>
        <w:t>Standardization Bureau</w:t>
      </w:r>
    </w:p>
    <w:p w14:paraId="1AAB3F71" w14:textId="77777777" w:rsidR="00173BB2" w:rsidRDefault="00173BB2" w:rsidP="00307ED7">
      <w:pPr>
        <w:spacing w:before="0"/>
        <w:rPr>
          <w:rFonts w:cs="Calibri"/>
          <w:sz w:val="22"/>
          <w:szCs w:val="22"/>
        </w:rPr>
      </w:pPr>
    </w:p>
    <w:p w14:paraId="22FD8991" w14:textId="781ACB19" w:rsidR="00BB602A" w:rsidRPr="002A6F34" w:rsidRDefault="00173BB2" w:rsidP="00307ED7">
      <w:pPr>
        <w:spacing w:before="0"/>
        <w:rPr>
          <w:rFonts w:cs="Calibri"/>
          <w:sz w:val="22"/>
          <w:szCs w:val="22"/>
        </w:rPr>
      </w:pPr>
      <w:r w:rsidRPr="00173BB2">
        <w:rPr>
          <w:rFonts w:cs="Calibri"/>
          <w:b/>
          <w:bCs/>
          <w:sz w:val="22"/>
          <w:szCs w:val="22"/>
        </w:rPr>
        <w:t>Annex</w:t>
      </w:r>
      <w:r>
        <w:rPr>
          <w:rFonts w:cs="Calibri"/>
          <w:sz w:val="22"/>
          <w:szCs w:val="22"/>
        </w:rPr>
        <w:t>:</w:t>
      </w:r>
      <w:r>
        <w:rPr>
          <w:rFonts w:cs="Calibri"/>
          <w:sz w:val="22"/>
          <w:szCs w:val="22"/>
        </w:rPr>
        <w:tab/>
        <w:t>1</w:t>
      </w:r>
      <w:r w:rsidR="00BB602A" w:rsidRPr="002A6F34">
        <w:rPr>
          <w:rFonts w:cs="Calibri"/>
          <w:sz w:val="22"/>
          <w:szCs w:val="22"/>
        </w:rPr>
        <w:br w:type="page"/>
      </w:r>
    </w:p>
    <w:p w14:paraId="16CE103E" w14:textId="77777777" w:rsidR="00BB602A" w:rsidRPr="00E151AE" w:rsidRDefault="00BB602A" w:rsidP="00BB602A">
      <w:pPr>
        <w:jc w:val="center"/>
        <w:rPr>
          <w:rFonts w:cs="Calibri"/>
          <w:b/>
          <w:bCs/>
          <w:sz w:val="36"/>
          <w:szCs w:val="36"/>
        </w:rPr>
      </w:pPr>
      <w:r w:rsidRPr="00E151AE">
        <w:rPr>
          <w:rFonts w:cs="Calibri"/>
          <w:b/>
          <w:bCs/>
          <w:sz w:val="36"/>
          <w:szCs w:val="36"/>
        </w:rPr>
        <w:lastRenderedPageBreak/>
        <w:t>Annex 1</w:t>
      </w:r>
    </w:p>
    <w:p w14:paraId="4577225E" w14:textId="395DDAEA" w:rsidR="00BB602A" w:rsidRPr="00E151AE" w:rsidRDefault="00BB602A" w:rsidP="00E151AE">
      <w:pPr>
        <w:spacing w:after="240"/>
        <w:jc w:val="center"/>
        <w:rPr>
          <w:rFonts w:cs="Calibri"/>
          <w:sz w:val="28"/>
          <w:szCs w:val="28"/>
        </w:rPr>
      </w:pPr>
      <w:r w:rsidRPr="00E151AE">
        <w:rPr>
          <w:rFonts w:cs="Calibri"/>
          <w:b/>
          <w:bCs/>
          <w:sz w:val="28"/>
          <w:szCs w:val="28"/>
        </w:rPr>
        <w:t>Travel grant criteria for the Global Standards Symposium (GSS-24)</w:t>
      </w:r>
    </w:p>
    <w:p w14:paraId="066E3935" w14:textId="0F6A0B3F"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b/>
          <w:bCs/>
          <w:sz w:val="22"/>
          <w:szCs w:val="22"/>
        </w:rPr>
        <w:t>1</w:t>
      </w:r>
      <w:r w:rsidRPr="003708A7">
        <w:rPr>
          <w:rFonts w:asciiTheme="minorHAnsi" w:hAnsiTheme="minorHAnsi" w:cstheme="minorHAnsi"/>
          <w:b/>
          <w:bCs/>
          <w:sz w:val="22"/>
          <w:szCs w:val="22"/>
        </w:rPr>
        <w:tab/>
        <w:t>Introduction</w:t>
      </w:r>
    </w:p>
    <w:p w14:paraId="4D955D8D" w14:textId="02E7AC7C"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sz w:val="22"/>
          <w:szCs w:val="22"/>
        </w:rPr>
        <w:t xml:space="preserve">Travel grants may be </w:t>
      </w:r>
      <w:r w:rsidR="004B360C" w:rsidRPr="003708A7">
        <w:rPr>
          <w:rFonts w:asciiTheme="minorHAnsi" w:hAnsiTheme="minorHAnsi" w:cstheme="minorHAnsi"/>
          <w:sz w:val="22"/>
          <w:szCs w:val="22"/>
        </w:rPr>
        <w:t xml:space="preserve">granted to senior leaders </w:t>
      </w:r>
      <w:r w:rsidRPr="003708A7">
        <w:rPr>
          <w:rFonts w:asciiTheme="minorHAnsi" w:hAnsiTheme="minorHAnsi" w:cstheme="minorHAnsi"/>
          <w:sz w:val="22"/>
          <w:szCs w:val="22"/>
        </w:rPr>
        <w:t>from developing countries</w:t>
      </w:r>
      <w:r w:rsidR="004B360C" w:rsidRPr="003708A7">
        <w:rPr>
          <w:rStyle w:val="FootnoteReference"/>
          <w:rFonts w:asciiTheme="minorHAnsi" w:hAnsiTheme="minorHAnsi" w:cstheme="minorHAnsi"/>
          <w:sz w:val="22"/>
          <w:szCs w:val="22"/>
        </w:rPr>
        <w:footnoteReference w:id="1"/>
      </w:r>
      <w:r w:rsidRPr="003708A7">
        <w:rPr>
          <w:rFonts w:asciiTheme="minorHAnsi" w:hAnsiTheme="minorHAnsi" w:cstheme="minorHAnsi"/>
          <w:sz w:val="22"/>
          <w:szCs w:val="22"/>
        </w:rPr>
        <w:t xml:space="preserve"> to attend the Global Standards Symposium (GSS-24) </w:t>
      </w:r>
      <w:r w:rsidR="004B360C" w:rsidRPr="003708A7">
        <w:rPr>
          <w:rFonts w:asciiTheme="minorHAnsi" w:hAnsiTheme="minorHAnsi" w:cstheme="minorHAnsi"/>
          <w:sz w:val="22"/>
          <w:szCs w:val="22"/>
        </w:rPr>
        <w:t xml:space="preserve">and the World Telecommunication Standardization Assembly (WTSA-24) </w:t>
      </w:r>
      <w:r w:rsidRPr="003708A7">
        <w:rPr>
          <w:rFonts w:asciiTheme="minorHAnsi" w:hAnsiTheme="minorHAnsi" w:cstheme="minorHAnsi"/>
          <w:sz w:val="22"/>
          <w:szCs w:val="22"/>
        </w:rPr>
        <w:t xml:space="preserve">(subject to availability of funds). </w:t>
      </w:r>
    </w:p>
    <w:p w14:paraId="7632C602" w14:textId="6C85BB27"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b/>
          <w:bCs/>
          <w:sz w:val="22"/>
          <w:szCs w:val="22"/>
        </w:rPr>
        <w:t xml:space="preserve">Note: </w:t>
      </w:r>
      <w:r w:rsidRPr="003708A7">
        <w:rPr>
          <w:rFonts w:asciiTheme="minorHAnsi" w:hAnsiTheme="minorHAnsi" w:cstheme="minorHAnsi"/>
          <w:sz w:val="22"/>
          <w:szCs w:val="22"/>
        </w:rPr>
        <w:t xml:space="preserve">All travel grant requests should be received </w:t>
      </w:r>
      <w:r w:rsidRPr="003708A7">
        <w:rPr>
          <w:rFonts w:asciiTheme="minorHAnsi" w:hAnsiTheme="minorHAnsi" w:cstheme="minorHAnsi"/>
          <w:b/>
          <w:bCs/>
          <w:sz w:val="22"/>
          <w:szCs w:val="22"/>
        </w:rPr>
        <w:t xml:space="preserve">before </w:t>
      </w:r>
      <w:r w:rsidR="004B360C" w:rsidRPr="003708A7">
        <w:rPr>
          <w:rFonts w:asciiTheme="minorHAnsi" w:hAnsiTheme="minorHAnsi" w:cstheme="minorHAnsi"/>
          <w:b/>
          <w:bCs/>
          <w:sz w:val="22"/>
          <w:szCs w:val="22"/>
        </w:rPr>
        <w:t xml:space="preserve">28 </w:t>
      </w:r>
      <w:r w:rsidR="00801E02" w:rsidRPr="003708A7">
        <w:rPr>
          <w:rFonts w:asciiTheme="minorHAnsi" w:hAnsiTheme="minorHAnsi" w:cstheme="minorHAnsi"/>
          <w:b/>
          <w:bCs/>
          <w:sz w:val="22"/>
          <w:szCs w:val="22"/>
        </w:rPr>
        <w:t xml:space="preserve">August </w:t>
      </w:r>
      <w:r w:rsidR="004B360C" w:rsidRPr="003708A7">
        <w:rPr>
          <w:rFonts w:asciiTheme="minorHAnsi" w:hAnsiTheme="minorHAnsi" w:cstheme="minorHAnsi"/>
          <w:b/>
          <w:bCs/>
          <w:sz w:val="22"/>
          <w:szCs w:val="22"/>
        </w:rPr>
        <w:t>2024</w:t>
      </w:r>
      <w:r w:rsidRPr="003708A7">
        <w:rPr>
          <w:rFonts w:asciiTheme="minorHAnsi" w:hAnsiTheme="minorHAnsi" w:cstheme="minorHAnsi"/>
          <w:sz w:val="22"/>
          <w:szCs w:val="22"/>
        </w:rPr>
        <w:t xml:space="preserve">, after which applications will not be considered. </w:t>
      </w:r>
    </w:p>
    <w:p w14:paraId="14E32820" w14:textId="4E16BB75"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b/>
          <w:bCs/>
          <w:sz w:val="22"/>
          <w:szCs w:val="22"/>
        </w:rPr>
        <w:t>2</w:t>
      </w:r>
      <w:r w:rsidR="004B360C" w:rsidRPr="003708A7">
        <w:rPr>
          <w:rFonts w:asciiTheme="minorHAnsi" w:hAnsiTheme="minorHAnsi" w:cstheme="minorHAnsi"/>
          <w:b/>
          <w:bCs/>
          <w:sz w:val="22"/>
          <w:szCs w:val="22"/>
        </w:rPr>
        <w:tab/>
      </w:r>
      <w:r w:rsidRPr="003708A7">
        <w:rPr>
          <w:rFonts w:asciiTheme="minorHAnsi" w:hAnsiTheme="minorHAnsi" w:cstheme="minorHAnsi"/>
          <w:b/>
          <w:bCs/>
          <w:sz w:val="22"/>
          <w:szCs w:val="22"/>
        </w:rPr>
        <w:t>Eligibility</w:t>
      </w:r>
    </w:p>
    <w:p w14:paraId="69870E97" w14:textId="050B7081"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sz w:val="22"/>
          <w:szCs w:val="22"/>
        </w:rPr>
        <w:t>Priority will be given to participants from developing countries</w:t>
      </w:r>
      <w:r w:rsidR="004B360C" w:rsidRPr="003708A7">
        <w:rPr>
          <w:rStyle w:val="FootnoteReference"/>
          <w:rFonts w:asciiTheme="minorHAnsi" w:hAnsiTheme="minorHAnsi" w:cstheme="minorHAnsi"/>
          <w:sz w:val="22"/>
          <w:szCs w:val="22"/>
        </w:rPr>
        <w:t>1</w:t>
      </w:r>
      <w:r w:rsidRPr="003708A7">
        <w:rPr>
          <w:rFonts w:asciiTheme="minorHAnsi" w:hAnsiTheme="minorHAnsi" w:cstheme="minorHAnsi"/>
          <w:sz w:val="22"/>
          <w:szCs w:val="22"/>
        </w:rPr>
        <w:t xml:space="preserve"> and least developing countries when awarding these travel grants. </w:t>
      </w:r>
    </w:p>
    <w:p w14:paraId="7D47B52E" w14:textId="77777777"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sz w:val="22"/>
          <w:szCs w:val="22"/>
        </w:rPr>
        <w:t xml:space="preserve">The main decision criteria to provide a travel grant include (but are not limited to) the following: </w:t>
      </w:r>
    </w:p>
    <w:p w14:paraId="42FEAF5B" w14:textId="3934DE8D" w:rsidR="00BB602A" w:rsidRPr="003708A7" w:rsidRDefault="00BB602A" w:rsidP="008E5F1E">
      <w:pPr>
        <w:pStyle w:val="ListParagraph"/>
        <w:numPr>
          <w:ilvl w:val="0"/>
          <w:numId w:val="13"/>
        </w:numPr>
        <w:rPr>
          <w:rFonts w:asciiTheme="minorHAnsi" w:hAnsiTheme="minorHAnsi" w:cstheme="minorHAnsi"/>
          <w:sz w:val="22"/>
          <w:szCs w:val="22"/>
        </w:rPr>
      </w:pPr>
      <w:r w:rsidRPr="003708A7">
        <w:rPr>
          <w:rFonts w:asciiTheme="minorHAnsi" w:hAnsiTheme="minorHAnsi" w:cstheme="minorHAnsi"/>
          <w:sz w:val="22"/>
          <w:szCs w:val="22"/>
        </w:rPr>
        <w:t xml:space="preserve">Available budget: Travel grants will only be granted once the funds are adequately received from the funding </w:t>
      </w:r>
      <w:proofErr w:type="gramStart"/>
      <w:r w:rsidRPr="003708A7">
        <w:rPr>
          <w:rFonts w:asciiTheme="minorHAnsi" w:hAnsiTheme="minorHAnsi" w:cstheme="minorHAnsi"/>
          <w:sz w:val="22"/>
          <w:szCs w:val="22"/>
        </w:rPr>
        <w:t>partners;</w:t>
      </w:r>
      <w:proofErr w:type="gramEnd"/>
      <w:r w:rsidRPr="003708A7">
        <w:rPr>
          <w:rFonts w:asciiTheme="minorHAnsi" w:hAnsiTheme="minorHAnsi" w:cstheme="minorHAnsi"/>
          <w:sz w:val="22"/>
          <w:szCs w:val="22"/>
        </w:rPr>
        <w:t xml:space="preserve"> </w:t>
      </w:r>
    </w:p>
    <w:p w14:paraId="128391B3" w14:textId="4102FF6D" w:rsidR="00BB602A" w:rsidRPr="003708A7" w:rsidRDefault="00BB602A" w:rsidP="008E5F1E">
      <w:pPr>
        <w:pStyle w:val="ListParagraph"/>
        <w:numPr>
          <w:ilvl w:val="0"/>
          <w:numId w:val="13"/>
        </w:numPr>
        <w:rPr>
          <w:rFonts w:asciiTheme="minorHAnsi" w:hAnsiTheme="minorHAnsi" w:cstheme="minorHAnsi"/>
          <w:sz w:val="22"/>
          <w:szCs w:val="22"/>
        </w:rPr>
      </w:pPr>
      <w:r w:rsidRPr="003708A7">
        <w:rPr>
          <w:rFonts w:asciiTheme="minorHAnsi" w:hAnsiTheme="minorHAnsi" w:cstheme="minorHAnsi"/>
          <w:sz w:val="22"/>
          <w:szCs w:val="22"/>
        </w:rPr>
        <w:t>Expertise and role of the applicant</w:t>
      </w:r>
      <w:r w:rsidR="00E00492" w:rsidRPr="003708A7">
        <w:rPr>
          <w:rFonts w:asciiTheme="minorHAnsi" w:hAnsiTheme="minorHAnsi" w:cstheme="minorHAnsi"/>
          <w:sz w:val="22"/>
          <w:szCs w:val="22"/>
        </w:rPr>
        <w:t>s</w:t>
      </w:r>
      <w:r w:rsidRPr="003708A7">
        <w:rPr>
          <w:rFonts w:asciiTheme="minorHAnsi" w:hAnsiTheme="minorHAnsi" w:cstheme="minorHAnsi"/>
          <w:sz w:val="22"/>
          <w:szCs w:val="22"/>
        </w:rPr>
        <w:t xml:space="preserve">: The domain expertise of the applicant and the proposed activities related to </w:t>
      </w:r>
      <w:r w:rsidR="00E00492" w:rsidRPr="003708A7">
        <w:rPr>
          <w:rFonts w:asciiTheme="minorHAnsi" w:hAnsiTheme="minorHAnsi" w:cstheme="minorHAnsi"/>
          <w:sz w:val="22"/>
          <w:szCs w:val="22"/>
        </w:rPr>
        <w:t>their</w:t>
      </w:r>
      <w:r w:rsidRPr="003708A7">
        <w:rPr>
          <w:rFonts w:asciiTheme="minorHAnsi" w:hAnsiTheme="minorHAnsi" w:cstheme="minorHAnsi"/>
          <w:sz w:val="22"/>
          <w:szCs w:val="22"/>
        </w:rPr>
        <w:t xml:space="preserve"> participation should be covered under the </w:t>
      </w:r>
      <w:r w:rsidR="004B360C" w:rsidRPr="003708A7">
        <w:rPr>
          <w:rFonts w:asciiTheme="minorHAnsi" w:hAnsiTheme="minorHAnsi" w:cstheme="minorHAnsi"/>
          <w:sz w:val="22"/>
          <w:szCs w:val="22"/>
        </w:rPr>
        <w:t>topics of the Global Standards Symposium (GSS-24</w:t>
      </w:r>
      <w:proofErr w:type="gramStart"/>
      <w:r w:rsidR="004B360C" w:rsidRPr="003708A7">
        <w:rPr>
          <w:rFonts w:asciiTheme="minorHAnsi" w:hAnsiTheme="minorHAnsi" w:cstheme="minorHAnsi"/>
          <w:sz w:val="22"/>
          <w:szCs w:val="22"/>
        </w:rPr>
        <w:t>)</w:t>
      </w:r>
      <w:r w:rsidRPr="003708A7">
        <w:rPr>
          <w:rFonts w:asciiTheme="minorHAnsi" w:hAnsiTheme="minorHAnsi" w:cstheme="minorHAnsi"/>
          <w:sz w:val="22"/>
          <w:szCs w:val="22"/>
        </w:rPr>
        <w:t>;</w:t>
      </w:r>
      <w:proofErr w:type="gramEnd"/>
      <w:r w:rsidRPr="003708A7">
        <w:rPr>
          <w:rFonts w:asciiTheme="minorHAnsi" w:hAnsiTheme="minorHAnsi" w:cstheme="minorHAnsi"/>
          <w:sz w:val="22"/>
          <w:szCs w:val="22"/>
        </w:rPr>
        <w:t xml:space="preserve"> </w:t>
      </w:r>
    </w:p>
    <w:p w14:paraId="2FB1396F" w14:textId="07189A6C" w:rsidR="00BB602A" w:rsidRPr="003708A7" w:rsidRDefault="00BB602A" w:rsidP="008E5F1E">
      <w:pPr>
        <w:pStyle w:val="ListParagraph"/>
        <w:numPr>
          <w:ilvl w:val="0"/>
          <w:numId w:val="13"/>
        </w:numPr>
        <w:rPr>
          <w:rFonts w:asciiTheme="minorHAnsi" w:hAnsiTheme="minorHAnsi" w:cstheme="minorHAnsi"/>
          <w:sz w:val="22"/>
          <w:szCs w:val="22"/>
        </w:rPr>
      </w:pPr>
      <w:r w:rsidRPr="003708A7">
        <w:rPr>
          <w:rFonts w:asciiTheme="minorHAnsi" w:hAnsiTheme="minorHAnsi" w:cstheme="minorHAnsi"/>
          <w:sz w:val="22"/>
          <w:szCs w:val="22"/>
        </w:rPr>
        <w:t xml:space="preserve">Equitable distribution among countries and regions will be </w:t>
      </w:r>
      <w:proofErr w:type="gramStart"/>
      <w:r w:rsidRPr="003708A7">
        <w:rPr>
          <w:rFonts w:asciiTheme="minorHAnsi" w:hAnsiTheme="minorHAnsi" w:cstheme="minorHAnsi"/>
          <w:sz w:val="22"/>
          <w:szCs w:val="22"/>
        </w:rPr>
        <w:t>observed;</w:t>
      </w:r>
      <w:proofErr w:type="gramEnd"/>
      <w:r w:rsidRPr="003708A7">
        <w:rPr>
          <w:rFonts w:asciiTheme="minorHAnsi" w:hAnsiTheme="minorHAnsi" w:cstheme="minorHAnsi"/>
          <w:sz w:val="22"/>
          <w:szCs w:val="22"/>
        </w:rPr>
        <w:t xml:space="preserve"> </w:t>
      </w:r>
    </w:p>
    <w:p w14:paraId="04A19602" w14:textId="5B5F4983" w:rsidR="004B360C" w:rsidRPr="003708A7" w:rsidRDefault="00BB602A" w:rsidP="008E5F1E">
      <w:pPr>
        <w:pStyle w:val="ListParagraph"/>
        <w:numPr>
          <w:ilvl w:val="0"/>
          <w:numId w:val="13"/>
        </w:numPr>
        <w:rPr>
          <w:rFonts w:asciiTheme="minorHAnsi" w:hAnsiTheme="minorHAnsi" w:cstheme="minorHAnsi"/>
          <w:sz w:val="22"/>
          <w:szCs w:val="22"/>
        </w:rPr>
      </w:pPr>
      <w:r w:rsidRPr="003708A7">
        <w:rPr>
          <w:rFonts w:asciiTheme="minorHAnsi" w:hAnsiTheme="minorHAnsi" w:cstheme="minorHAnsi"/>
          <w:sz w:val="22"/>
          <w:szCs w:val="22"/>
        </w:rPr>
        <w:t xml:space="preserve">Gender balance among the travel grant recipients will be an important criterion. </w:t>
      </w:r>
    </w:p>
    <w:p w14:paraId="4273304F" w14:textId="741B158D" w:rsidR="004B360C" w:rsidRPr="003708A7" w:rsidRDefault="004B360C" w:rsidP="004B360C">
      <w:pPr>
        <w:rPr>
          <w:rFonts w:asciiTheme="minorHAnsi" w:hAnsiTheme="minorHAnsi" w:cstheme="minorHAnsi"/>
          <w:sz w:val="22"/>
          <w:szCs w:val="22"/>
        </w:rPr>
      </w:pPr>
      <w:r w:rsidRPr="003708A7">
        <w:rPr>
          <w:rFonts w:asciiTheme="minorHAnsi" w:hAnsiTheme="minorHAnsi" w:cstheme="minorHAnsi"/>
          <w:b/>
          <w:bCs/>
          <w:sz w:val="22"/>
          <w:szCs w:val="22"/>
        </w:rPr>
        <w:t>3</w:t>
      </w:r>
      <w:r w:rsidRPr="003708A7">
        <w:rPr>
          <w:rFonts w:asciiTheme="minorHAnsi" w:hAnsiTheme="minorHAnsi" w:cstheme="minorHAnsi"/>
          <w:b/>
          <w:bCs/>
          <w:sz w:val="22"/>
          <w:szCs w:val="22"/>
        </w:rPr>
        <w:tab/>
        <w:t>Contact</w:t>
      </w:r>
    </w:p>
    <w:p w14:paraId="24AE3278" w14:textId="50DD7EAC" w:rsidR="00BB602A" w:rsidRPr="003708A7" w:rsidRDefault="004B360C" w:rsidP="00BB602A">
      <w:pPr>
        <w:rPr>
          <w:rFonts w:asciiTheme="minorHAnsi" w:hAnsiTheme="minorHAnsi" w:cstheme="minorHAnsi"/>
          <w:sz w:val="22"/>
          <w:szCs w:val="22"/>
        </w:rPr>
      </w:pPr>
      <w:r w:rsidRPr="003708A7">
        <w:rPr>
          <w:rFonts w:asciiTheme="minorHAnsi" w:hAnsiTheme="minorHAnsi" w:cstheme="minorHAnsi"/>
          <w:sz w:val="22"/>
          <w:szCs w:val="22"/>
        </w:rPr>
        <w:t xml:space="preserve">All queries related to the travel grants are to be submitted to the </w:t>
      </w:r>
      <w:r w:rsidR="007F53F7" w:rsidRPr="003708A7">
        <w:rPr>
          <w:rFonts w:asciiTheme="minorHAnsi" w:hAnsiTheme="minorHAnsi" w:cstheme="minorHAnsi"/>
          <w:sz w:val="22"/>
          <w:szCs w:val="22"/>
        </w:rPr>
        <w:t>GSS-24</w:t>
      </w:r>
      <w:r w:rsidRPr="003708A7">
        <w:rPr>
          <w:rFonts w:asciiTheme="minorHAnsi" w:hAnsiTheme="minorHAnsi" w:cstheme="minorHAnsi"/>
          <w:sz w:val="22"/>
          <w:szCs w:val="22"/>
        </w:rPr>
        <w:t xml:space="preserve"> Secretariat (</w:t>
      </w:r>
      <w:hyperlink r:id="rId16" w:history="1">
        <w:r w:rsidR="007F53F7" w:rsidRPr="003708A7">
          <w:rPr>
            <w:rStyle w:val="Hyperlink"/>
            <w:rFonts w:asciiTheme="minorHAnsi" w:hAnsiTheme="minorHAnsi" w:cstheme="minorHAnsi"/>
            <w:sz w:val="22"/>
            <w:szCs w:val="22"/>
          </w:rPr>
          <w:t>gss@itu.int</w:t>
        </w:r>
      </w:hyperlink>
      <w:r w:rsidRPr="003708A7">
        <w:rPr>
          <w:rFonts w:asciiTheme="minorHAnsi" w:hAnsiTheme="minorHAnsi" w:cstheme="minorHAnsi"/>
          <w:sz w:val="22"/>
          <w:szCs w:val="22"/>
        </w:rPr>
        <w:t xml:space="preserve">). If the applicant requires exceptional conditions to be applied to the travel grant, the applicant must inform the </w:t>
      </w:r>
      <w:r w:rsidR="007F53F7" w:rsidRPr="003708A7">
        <w:rPr>
          <w:rFonts w:asciiTheme="minorHAnsi" w:hAnsiTheme="minorHAnsi" w:cstheme="minorHAnsi"/>
          <w:sz w:val="22"/>
          <w:szCs w:val="22"/>
        </w:rPr>
        <w:t xml:space="preserve">GSS-24 Secretariat </w:t>
      </w:r>
      <w:r w:rsidRPr="003708A7">
        <w:rPr>
          <w:rFonts w:asciiTheme="minorHAnsi" w:hAnsiTheme="minorHAnsi" w:cstheme="minorHAnsi"/>
          <w:sz w:val="22"/>
          <w:szCs w:val="22"/>
        </w:rPr>
        <w:t xml:space="preserve">a grant is awarded, ideally in the application form. </w:t>
      </w:r>
    </w:p>
    <w:p w14:paraId="1F2F6B28" w14:textId="07A23014"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b/>
          <w:bCs/>
          <w:sz w:val="22"/>
          <w:szCs w:val="22"/>
        </w:rPr>
        <w:t>4</w:t>
      </w:r>
      <w:r w:rsidR="007F53F7" w:rsidRPr="003708A7">
        <w:rPr>
          <w:rFonts w:asciiTheme="minorHAnsi" w:hAnsiTheme="minorHAnsi" w:cstheme="minorHAnsi"/>
          <w:b/>
          <w:bCs/>
          <w:sz w:val="22"/>
          <w:szCs w:val="22"/>
        </w:rPr>
        <w:tab/>
      </w:r>
      <w:r w:rsidRPr="003708A7">
        <w:rPr>
          <w:rFonts w:asciiTheme="minorHAnsi" w:hAnsiTheme="minorHAnsi" w:cstheme="minorHAnsi"/>
          <w:b/>
          <w:bCs/>
          <w:sz w:val="22"/>
          <w:szCs w:val="22"/>
        </w:rPr>
        <w:t>Terms of the travel grants</w:t>
      </w:r>
    </w:p>
    <w:p w14:paraId="4BBC18A9" w14:textId="7926923D" w:rsidR="00BB602A" w:rsidRPr="003708A7" w:rsidRDefault="00BB602A" w:rsidP="007F53F7">
      <w:pPr>
        <w:pStyle w:val="Default"/>
        <w:tabs>
          <w:tab w:val="left" w:pos="851"/>
        </w:tabs>
        <w:spacing w:before="120"/>
        <w:rPr>
          <w:rFonts w:asciiTheme="minorHAnsi" w:hAnsiTheme="minorHAnsi" w:cstheme="minorHAnsi"/>
          <w:sz w:val="22"/>
          <w:szCs w:val="22"/>
        </w:rPr>
      </w:pPr>
      <w:r w:rsidRPr="003708A7">
        <w:rPr>
          <w:rFonts w:asciiTheme="minorHAnsi" w:hAnsiTheme="minorHAnsi" w:cstheme="minorHAnsi"/>
          <w:b/>
          <w:bCs/>
          <w:sz w:val="22"/>
          <w:szCs w:val="22"/>
        </w:rPr>
        <w:t>4.</w:t>
      </w:r>
      <w:r w:rsidR="007F53F7" w:rsidRPr="003708A7">
        <w:rPr>
          <w:rFonts w:asciiTheme="minorHAnsi" w:hAnsiTheme="minorHAnsi" w:cstheme="minorHAnsi"/>
          <w:b/>
          <w:bCs/>
          <w:sz w:val="22"/>
          <w:szCs w:val="22"/>
        </w:rPr>
        <w:t>1</w:t>
      </w:r>
      <w:r w:rsidR="007F53F7" w:rsidRPr="003708A7">
        <w:rPr>
          <w:rFonts w:asciiTheme="minorHAnsi" w:hAnsiTheme="minorHAnsi" w:cstheme="minorHAnsi"/>
          <w:b/>
          <w:bCs/>
          <w:sz w:val="22"/>
          <w:szCs w:val="22"/>
        </w:rPr>
        <w:tab/>
      </w:r>
      <w:r w:rsidRPr="003708A7">
        <w:rPr>
          <w:rFonts w:asciiTheme="minorHAnsi" w:hAnsiTheme="minorHAnsi" w:cstheme="minorHAnsi"/>
          <w:b/>
          <w:bCs/>
          <w:sz w:val="22"/>
          <w:szCs w:val="22"/>
        </w:rPr>
        <w:t xml:space="preserve">Attendance </w:t>
      </w:r>
    </w:p>
    <w:p w14:paraId="0A0AE2FD" w14:textId="5A564BF5"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sz w:val="22"/>
          <w:szCs w:val="22"/>
        </w:rPr>
        <w:t xml:space="preserve">Unless agreed otherwise with the </w:t>
      </w:r>
      <w:r w:rsidR="007F53F7" w:rsidRPr="003708A7">
        <w:rPr>
          <w:rFonts w:asciiTheme="minorHAnsi" w:hAnsiTheme="minorHAnsi" w:cstheme="minorHAnsi"/>
          <w:sz w:val="22"/>
          <w:szCs w:val="22"/>
        </w:rPr>
        <w:t>GSS-24 Secretariat</w:t>
      </w:r>
      <w:r w:rsidRPr="003708A7">
        <w:rPr>
          <w:rFonts w:asciiTheme="minorHAnsi" w:hAnsiTheme="minorHAnsi" w:cstheme="minorHAnsi"/>
          <w:sz w:val="22"/>
          <w:szCs w:val="22"/>
        </w:rPr>
        <w:t xml:space="preserve">, all travel grant recipients must be present at the venue from </w:t>
      </w:r>
      <w:r w:rsidR="007F53F7" w:rsidRPr="003708A7">
        <w:rPr>
          <w:rFonts w:asciiTheme="minorHAnsi" w:hAnsiTheme="minorHAnsi" w:cstheme="minorHAnsi"/>
          <w:sz w:val="22"/>
          <w:szCs w:val="22"/>
        </w:rPr>
        <w:t xml:space="preserve">14 </w:t>
      </w:r>
      <w:r w:rsidRPr="003708A7">
        <w:rPr>
          <w:rFonts w:asciiTheme="minorHAnsi" w:hAnsiTheme="minorHAnsi" w:cstheme="minorHAnsi"/>
          <w:sz w:val="22"/>
          <w:szCs w:val="22"/>
        </w:rPr>
        <w:t xml:space="preserve">to </w:t>
      </w:r>
      <w:r w:rsidR="007F53F7" w:rsidRPr="003708A7">
        <w:rPr>
          <w:rFonts w:asciiTheme="minorHAnsi" w:hAnsiTheme="minorHAnsi" w:cstheme="minorHAnsi"/>
          <w:sz w:val="22"/>
          <w:szCs w:val="22"/>
        </w:rPr>
        <w:t>15 October 2024</w:t>
      </w:r>
      <w:r w:rsidRPr="003708A7">
        <w:rPr>
          <w:rFonts w:asciiTheme="minorHAnsi" w:hAnsiTheme="minorHAnsi" w:cstheme="minorHAnsi"/>
          <w:sz w:val="22"/>
          <w:szCs w:val="22"/>
        </w:rPr>
        <w:t xml:space="preserve">. Travel grant recipients must report to the </w:t>
      </w:r>
      <w:r w:rsidR="007F53F7" w:rsidRPr="003708A7">
        <w:rPr>
          <w:rFonts w:asciiTheme="minorHAnsi" w:hAnsiTheme="minorHAnsi" w:cstheme="minorHAnsi"/>
          <w:sz w:val="22"/>
          <w:szCs w:val="22"/>
        </w:rPr>
        <w:t xml:space="preserve">GSS-24 Secretariat </w:t>
      </w:r>
      <w:r w:rsidRPr="003708A7">
        <w:rPr>
          <w:rFonts w:asciiTheme="minorHAnsi" w:hAnsiTheme="minorHAnsi" w:cstheme="minorHAnsi"/>
          <w:sz w:val="22"/>
          <w:szCs w:val="22"/>
        </w:rPr>
        <w:t xml:space="preserve">of </w:t>
      </w:r>
      <w:r w:rsidR="00E00492" w:rsidRPr="003708A7">
        <w:rPr>
          <w:rFonts w:asciiTheme="minorHAnsi" w:hAnsiTheme="minorHAnsi" w:cstheme="minorHAnsi"/>
          <w:sz w:val="22"/>
          <w:szCs w:val="22"/>
        </w:rPr>
        <w:t>their</w:t>
      </w:r>
      <w:r w:rsidRPr="003708A7">
        <w:rPr>
          <w:rFonts w:asciiTheme="minorHAnsi" w:hAnsiTheme="minorHAnsi" w:cstheme="minorHAnsi"/>
          <w:sz w:val="22"/>
          <w:szCs w:val="22"/>
        </w:rPr>
        <w:t xml:space="preserve"> arrival and departure. </w:t>
      </w:r>
    </w:p>
    <w:p w14:paraId="5EB2C459" w14:textId="611F44E0" w:rsidR="00BB602A" w:rsidRPr="003708A7" w:rsidRDefault="00BB602A" w:rsidP="007F53F7">
      <w:pPr>
        <w:pStyle w:val="Default"/>
        <w:tabs>
          <w:tab w:val="left" w:pos="851"/>
        </w:tabs>
        <w:spacing w:before="120"/>
        <w:rPr>
          <w:rFonts w:asciiTheme="minorHAnsi" w:hAnsiTheme="minorHAnsi" w:cstheme="minorHAnsi"/>
          <w:sz w:val="22"/>
          <w:szCs w:val="22"/>
        </w:rPr>
      </w:pPr>
      <w:r w:rsidRPr="003708A7">
        <w:rPr>
          <w:rFonts w:asciiTheme="minorHAnsi" w:hAnsiTheme="minorHAnsi" w:cstheme="minorHAnsi"/>
          <w:b/>
          <w:bCs/>
          <w:sz w:val="22"/>
          <w:szCs w:val="22"/>
        </w:rPr>
        <w:t>4.</w:t>
      </w:r>
      <w:r w:rsidR="007F53F7" w:rsidRPr="003708A7">
        <w:rPr>
          <w:rFonts w:asciiTheme="minorHAnsi" w:hAnsiTheme="minorHAnsi" w:cstheme="minorHAnsi"/>
          <w:b/>
          <w:bCs/>
          <w:sz w:val="22"/>
          <w:szCs w:val="22"/>
        </w:rPr>
        <w:t>2</w:t>
      </w:r>
      <w:r w:rsidR="007F53F7" w:rsidRPr="003708A7">
        <w:rPr>
          <w:rFonts w:asciiTheme="minorHAnsi" w:hAnsiTheme="minorHAnsi" w:cstheme="minorHAnsi"/>
          <w:b/>
          <w:bCs/>
          <w:sz w:val="22"/>
          <w:szCs w:val="22"/>
        </w:rPr>
        <w:tab/>
      </w:r>
      <w:r w:rsidRPr="003708A7">
        <w:rPr>
          <w:rFonts w:asciiTheme="minorHAnsi" w:hAnsiTheme="minorHAnsi" w:cstheme="minorHAnsi"/>
          <w:b/>
          <w:bCs/>
          <w:sz w:val="22"/>
          <w:szCs w:val="22"/>
        </w:rPr>
        <w:t>Process for travel grant application</w:t>
      </w:r>
    </w:p>
    <w:p w14:paraId="0B236C44" w14:textId="77777777"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sz w:val="22"/>
          <w:szCs w:val="22"/>
        </w:rPr>
        <w:t xml:space="preserve">The following steps must be followed to submit a travel grant application: </w:t>
      </w:r>
    </w:p>
    <w:p w14:paraId="68FD2FB0" w14:textId="3BACD41D" w:rsidR="00BB602A" w:rsidRPr="003708A7" w:rsidRDefault="00BB602A" w:rsidP="007F53F7">
      <w:pPr>
        <w:pStyle w:val="Default"/>
        <w:spacing w:before="120"/>
        <w:ind w:left="360"/>
        <w:rPr>
          <w:rFonts w:asciiTheme="minorHAnsi" w:hAnsiTheme="minorHAnsi" w:cstheme="minorHAnsi"/>
          <w:sz w:val="22"/>
          <w:szCs w:val="22"/>
        </w:rPr>
      </w:pPr>
      <w:r w:rsidRPr="003708A7">
        <w:rPr>
          <w:rFonts w:asciiTheme="minorHAnsi" w:hAnsiTheme="minorHAnsi" w:cstheme="minorHAnsi"/>
          <w:sz w:val="22"/>
          <w:szCs w:val="22"/>
        </w:rPr>
        <w:t>A. Applicants must first pre-register online for the relevant meeting before applying for the travel grant</w:t>
      </w:r>
    </w:p>
    <w:p w14:paraId="541B5B9D" w14:textId="465D2EAF" w:rsidR="00BB602A" w:rsidRPr="003708A7" w:rsidRDefault="00BB602A" w:rsidP="007F53F7">
      <w:pPr>
        <w:pStyle w:val="Default"/>
        <w:spacing w:before="120"/>
        <w:ind w:left="360"/>
        <w:rPr>
          <w:rFonts w:asciiTheme="minorHAnsi" w:hAnsiTheme="minorHAnsi" w:cstheme="minorHAnsi"/>
          <w:sz w:val="22"/>
          <w:szCs w:val="22"/>
        </w:rPr>
      </w:pPr>
      <w:r w:rsidRPr="003708A7">
        <w:rPr>
          <w:rFonts w:asciiTheme="minorHAnsi" w:hAnsiTheme="minorHAnsi" w:cstheme="minorHAnsi"/>
          <w:sz w:val="22"/>
          <w:szCs w:val="22"/>
        </w:rPr>
        <w:t xml:space="preserve">B. The </w:t>
      </w:r>
      <w:hyperlink r:id="rId17" w:history="1">
        <w:r w:rsidRPr="003708A7">
          <w:rPr>
            <w:rStyle w:val="Hyperlink"/>
            <w:rFonts w:asciiTheme="minorHAnsi" w:hAnsiTheme="minorHAnsi" w:cstheme="minorHAnsi"/>
            <w:sz w:val="22"/>
            <w:szCs w:val="22"/>
          </w:rPr>
          <w:t>travel grant application form</w:t>
        </w:r>
      </w:hyperlink>
      <w:r w:rsidRPr="003708A7">
        <w:rPr>
          <w:rFonts w:asciiTheme="minorHAnsi" w:hAnsiTheme="minorHAnsi" w:cstheme="minorHAnsi"/>
          <w:sz w:val="22"/>
          <w:szCs w:val="22"/>
        </w:rPr>
        <w:t xml:space="preserve"> </w:t>
      </w:r>
      <w:r w:rsidR="00E00492" w:rsidRPr="003708A7">
        <w:rPr>
          <w:rFonts w:asciiTheme="minorHAnsi" w:hAnsiTheme="minorHAnsi" w:cstheme="minorHAnsi"/>
          <w:sz w:val="22"/>
          <w:szCs w:val="22"/>
        </w:rPr>
        <w:t xml:space="preserve">must be </w:t>
      </w:r>
      <w:r w:rsidRPr="003708A7">
        <w:rPr>
          <w:rFonts w:asciiTheme="minorHAnsi" w:hAnsiTheme="minorHAnsi" w:cstheme="minorHAnsi"/>
          <w:sz w:val="22"/>
          <w:szCs w:val="22"/>
        </w:rPr>
        <w:t xml:space="preserve">filled in </w:t>
      </w:r>
    </w:p>
    <w:p w14:paraId="572DF42A" w14:textId="2DF3E687" w:rsidR="007F53F7" w:rsidRPr="003708A7" w:rsidRDefault="00BB602A" w:rsidP="007F53F7">
      <w:pPr>
        <w:pStyle w:val="Default"/>
        <w:spacing w:before="120"/>
        <w:ind w:left="360"/>
        <w:rPr>
          <w:rFonts w:asciiTheme="minorHAnsi" w:hAnsiTheme="minorHAnsi" w:cstheme="minorHAnsi"/>
          <w:sz w:val="22"/>
          <w:szCs w:val="22"/>
        </w:rPr>
      </w:pPr>
      <w:r w:rsidRPr="003708A7">
        <w:rPr>
          <w:rFonts w:asciiTheme="minorHAnsi" w:hAnsiTheme="minorHAnsi" w:cstheme="minorHAnsi"/>
          <w:sz w:val="22"/>
          <w:szCs w:val="22"/>
        </w:rPr>
        <w:t xml:space="preserve">C. Proof of affiliation to a specific organization (if any) must be provided </w:t>
      </w:r>
    </w:p>
    <w:p w14:paraId="6151FA7A" w14:textId="366C7533" w:rsidR="007F53F7" w:rsidRPr="003708A7" w:rsidRDefault="00BB602A" w:rsidP="007F53F7">
      <w:pPr>
        <w:pStyle w:val="Default"/>
        <w:spacing w:before="120"/>
        <w:ind w:left="360"/>
        <w:rPr>
          <w:rFonts w:asciiTheme="minorHAnsi" w:hAnsiTheme="minorHAnsi" w:cstheme="minorHAnsi"/>
          <w:sz w:val="22"/>
          <w:szCs w:val="22"/>
        </w:rPr>
      </w:pPr>
      <w:r w:rsidRPr="003708A7">
        <w:rPr>
          <w:rFonts w:asciiTheme="minorHAnsi" w:hAnsiTheme="minorHAnsi" w:cstheme="minorHAnsi"/>
          <w:sz w:val="22"/>
          <w:szCs w:val="22"/>
        </w:rPr>
        <w:t xml:space="preserve">D. A copy of the information page from the applicant’s national passport. All application documents are to be sent to the </w:t>
      </w:r>
      <w:r w:rsidR="007F53F7" w:rsidRPr="003708A7">
        <w:rPr>
          <w:rFonts w:asciiTheme="minorHAnsi" w:hAnsiTheme="minorHAnsi" w:cstheme="minorHAnsi"/>
          <w:sz w:val="22"/>
          <w:szCs w:val="22"/>
        </w:rPr>
        <w:t>GSS-24 Secretariat (</w:t>
      </w:r>
      <w:hyperlink r:id="rId18" w:history="1">
        <w:r w:rsidR="007F53F7" w:rsidRPr="003708A7">
          <w:rPr>
            <w:rStyle w:val="Hyperlink"/>
            <w:rFonts w:asciiTheme="minorHAnsi" w:hAnsiTheme="minorHAnsi" w:cstheme="minorHAnsi"/>
            <w:sz w:val="22"/>
            <w:szCs w:val="22"/>
          </w:rPr>
          <w:t>gss@itu.int</w:t>
        </w:r>
      </w:hyperlink>
      <w:r w:rsidR="007F53F7" w:rsidRPr="003708A7">
        <w:rPr>
          <w:rFonts w:asciiTheme="minorHAnsi" w:hAnsiTheme="minorHAnsi" w:cstheme="minorHAnsi"/>
          <w:sz w:val="22"/>
          <w:szCs w:val="22"/>
        </w:rPr>
        <w:t>)</w:t>
      </w:r>
      <w:r w:rsidRPr="003708A7">
        <w:rPr>
          <w:rFonts w:asciiTheme="minorHAnsi" w:hAnsiTheme="minorHAnsi" w:cstheme="minorHAnsi"/>
          <w:sz w:val="22"/>
          <w:szCs w:val="22"/>
        </w:rPr>
        <w:t xml:space="preserve">. </w:t>
      </w:r>
    </w:p>
    <w:p w14:paraId="7C63AC86" w14:textId="54A88C68" w:rsidR="00BB602A" w:rsidRPr="003708A7" w:rsidRDefault="00BB602A" w:rsidP="007F53F7">
      <w:pPr>
        <w:pStyle w:val="Default"/>
        <w:tabs>
          <w:tab w:val="left" w:pos="851"/>
        </w:tabs>
        <w:spacing w:before="120"/>
        <w:rPr>
          <w:rFonts w:asciiTheme="minorHAnsi" w:hAnsiTheme="minorHAnsi" w:cstheme="minorHAnsi"/>
          <w:sz w:val="22"/>
          <w:szCs w:val="22"/>
        </w:rPr>
      </w:pPr>
      <w:r w:rsidRPr="003708A7">
        <w:rPr>
          <w:rFonts w:asciiTheme="minorHAnsi" w:hAnsiTheme="minorHAnsi" w:cstheme="minorHAnsi"/>
          <w:b/>
          <w:bCs/>
          <w:sz w:val="22"/>
          <w:szCs w:val="22"/>
        </w:rPr>
        <w:t>4.</w:t>
      </w:r>
      <w:r w:rsidR="007F53F7" w:rsidRPr="003708A7">
        <w:rPr>
          <w:rFonts w:asciiTheme="minorHAnsi" w:hAnsiTheme="minorHAnsi" w:cstheme="minorHAnsi"/>
          <w:b/>
          <w:bCs/>
          <w:sz w:val="22"/>
          <w:szCs w:val="22"/>
        </w:rPr>
        <w:t>3</w:t>
      </w:r>
      <w:r w:rsidR="007F53F7" w:rsidRPr="003708A7">
        <w:rPr>
          <w:rFonts w:asciiTheme="minorHAnsi" w:hAnsiTheme="minorHAnsi" w:cstheme="minorHAnsi"/>
          <w:b/>
          <w:bCs/>
          <w:sz w:val="22"/>
          <w:szCs w:val="22"/>
        </w:rPr>
        <w:tab/>
      </w:r>
      <w:r w:rsidRPr="003708A7">
        <w:rPr>
          <w:rFonts w:asciiTheme="minorHAnsi" w:hAnsiTheme="minorHAnsi" w:cstheme="minorHAnsi"/>
          <w:b/>
          <w:bCs/>
          <w:sz w:val="22"/>
          <w:szCs w:val="22"/>
        </w:rPr>
        <w:t>Assessment of travel grant applications</w:t>
      </w:r>
    </w:p>
    <w:p w14:paraId="16DE89EB" w14:textId="65BB4736"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sz w:val="22"/>
          <w:szCs w:val="22"/>
        </w:rPr>
        <w:t>The criteria identified in §2 are applied to consider all applications. The decision on the travel grants will generally be made available 4</w:t>
      </w:r>
      <w:r w:rsidR="00801E02" w:rsidRPr="003708A7">
        <w:rPr>
          <w:rFonts w:asciiTheme="minorHAnsi" w:hAnsiTheme="minorHAnsi" w:cstheme="minorHAnsi"/>
          <w:sz w:val="22"/>
          <w:szCs w:val="22"/>
        </w:rPr>
        <w:t>-6</w:t>
      </w:r>
      <w:r w:rsidRPr="003708A7">
        <w:rPr>
          <w:rFonts w:asciiTheme="minorHAnsi" w:hAnsiTheme="minorHAnsi" w:cstheme="minorHAnsi"/>
          <w:sz w:val="22"/>
          <w:szCs w:val="22"/>
        </w:rPr>
        <w:t xml:space="preserve"> weeks prior to the </w:t>
      </w:r>
      <w:r w:rsidR="007F53F7" w:rsidRPr="003708A7">
        <w:rPr>
          <w:rFonts w:asciiTheme="minorHAnsi" w:hAnsiTheme="minorHAnsi" w:cstheme="minorHAnsi"/>
          <w:sz w:val="22"/>
          <w:szCs w:val="22"/>
        </w:rPr>
        <w:t>Symposium</w:t>
      </w:r>
      <w:r w:rsidRPr="003708A7">
        <w:rPr>
          <w:rFonts w:asciiTheme="minorHAnsi" w:hAnsiTheme="minorHAnsi" w:cstheme="minorHAnsi"/>
          <w:sz w:val="22"/>
          <w:szCs w:val="22"/>
        </w:rPr>
        <w:t xml:space="preserve">. </w:t>
      </w:r>
    </w:p>
    <w:p w14:paraId="725DABF3" w14:textId="5D753235" w:rsidR="00BB602A" w:rsidRPr="003708A7" w:rsidRDefault="00BB602A" w:rsidP="007F53F7">
      <w:pPr>
        <w:pStyle w:val="Default"/>
        <w:tabs>
          <w:tab w:val="left" w:pos="851"/>
        </w:tabs>
        <w:spacing w:before="120"/>
        <w:rPr>
          <w:rFonts w:asciiTheme="minorHAnsi" w:hAnsiTheme="minorHAnsi" w:cstheme="minorHAnsi"/>
          <w:sz w:val="22"/>
          <w:szCs w:val="22"/>
        </w:rPr>
      </w:pPr>
      <w:r w:rsidRPr="003708A7">
        <w:rPr>
          <w:rFonts w:asciiTheme="minorHAnsi" w:hAnsiTheme="minorHAnsi" w:cstheme="minorHAnsi"/>
          <w:b/>
          <w:bCs/>
          <w:sz w:val="22"/>
          <w:szCs w:val="22"/>
        </w:rPr>
        <w:lastRenderedPageBreak/>
        <w:t>4.</w:t>
      </w:r>
      <w:r w:rsidR="007F53F7" w:rsidRPr="003708A7">
        <w:rPr>
          <w:rFonts w:asciiTheme="minorHAnsi" w:hAnsiTheme="minorHAnsi" w:cstheme="minorHAnsi"/>
          <w:b/>
          <w:bCs/>
          <w:sz w:val="22"/>
          <w:szCs w:val="22"/>
        </w:rPr>
        <w:t>4</w:t>
      </w:r>
      <w:r w:rsidR="007F53F7" w:rsidRPr="003708A7">
        <w:rPr>
          <w:rFonts w:asciiTheme="minorHAnsi" w:hAnsiTheme="minorHAnsi" w:cstheme="minorHAnsi"/>
          <w:b/>
          <w:bCs/>
          <w:sz w:val="22"/>
          <w:szCs w:val="22"/>
        </w:rPr>
        <w:tab/>
      </w:r>
      <w:r w:rsidRPr="003708A7">
        <w:rPr>
          <w:rFonts w:asciiTheme="minorHAnsi" w:hAnsiTheme="minorHAnsi" w:cstheme="minorHAnsi"/>
          <w:b/>
          <w:bCs/>
          <w:sz w:val="22"/>
          <w:szCs w:val="22"/>
        </w:rPr>
        <w:t>Final decision on the travel grants</w:t>
      </w:r>
    </w:p>
    <w:p w14:paraId="0E9A703B" w14:textId="50312AAD"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sz w:val="22"/>
          <w:szCs w:val="22"/>
        </w:rPr>
        <w:t>The decision to award the funding is taken by ITU</w:t>
      </w:r>
      <w:r w:rsidR="000B2B37" w:rsidRPr="003708A7">
        <w:rPr>
          <w:rFonts w:asciiTheme="minorHAnsi" w:hAnsiTheme="minorHAnsi" w:cstheme="minorHAnsi"/>
          <w:sz w:val="22"/>
          <w:szCs w:val="22"/>
        </w:rPr>
        <w:t xml:space="preserve"> Secretariat</w:t>
      </w:r>
      <w:r w:rsidRPr="003708A7">
        <w:rPr>
          <w:rFonts w:asciiTheme="minorHAnsi" w:hAnsiTheme="minorHAnsi" w:cstheme="minorHAnsi"/>
          <w:sz w:val="22"/>
          <w:szCs w:val="22"/>
        </w:rPr>
        <w:t xml:space="preserve">. </w:t>
      </w:r>
    </w:p>
    <w:p w14:paraId="55D05116" w14:textId="7B538416"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sz w:val="22"/>
          <w:szCs w:val="22"/>
        </w:rPr>
        <w:t xml:space="preserve">ITU's Telecommunication Standardization Bureau (TSB) will inform the applicants about the outcome of their funding request. </w:t>
      </w:r>
    </w:p>
    <w:p w14:paraId="33C3A809" w14:textId="741403A0"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b/>
          <w:bCs/>
          <w:sz w:val="22"/>
          <w:szCs w:val="22"/>
        </w:rPr>
        <w:t>5</w:t>
      </w:r>
      <w:r w:rsidR="007F53F7" w:rsidRPr="003708A7">
        <w:rPr>
          <w:rFonts w:asciiTheme="minorHAnsi" w:hAnsiTheme="minorHAnsi" w:cstheme="minorHAnsi"/>
          <w:b/>
          <w:bCs/>
          <w:sz w:val="22"/>
          <w:szCs w:val="22"/>
        </w:rPr>
        <w:tab/>
      </w:r>
      <w:r w:rsidRPr="003708A7">
        <w:rPr>
          <w:rFonts w:asciiTheme="minorHAnsi" w:hAnsiTheme="minorHAnsi" w:cstheme="minorHAnsi"/>
          <w:b/>
          <w:bCs/>
          <w:sz w:val="22"/>
          <w:szCs w:val="22"/>
        </w:rPr>
        <w:t>Financial arrangements</w:t>
      </w:r>
    </w:p>
    <w:p w14:paraId="7B8C262B" w14:textId="3EDC124D" w:rsidR="00BB602A" w:rsidRPr="003708A7" w:rsidRDefault="00BB602A" w:rsidP="00C7449D">
      <w:pPr>
        <w:pStyle w:val="Default"/>
        <w:tabs>
          <w:tab w:val="left" w:pos="709"/>
        </w:tabs>
        <w:spacing w:before="120"/>
        <w:rPr>
          <w:rFonts w:asciiTheme="minorHAnsi" w:hAnsiTheme="minorHAnsi" w:cstheme="minorHAnsi"/>
          <w:sz w:val="22"/>
          <w:szCs w:val="22"/>
        </w:rPr>
      </w:pPr>
      <w:r w:rsidRPr="003708A7">
        <w:rPr>
          <w:rFonts w:asciiTheme="minorHAnsi" w:hAnsiTheme="minorHAnsi" w:cstheme="minorHAnsi"/>
          <w:b/>
          <w:bCs/>
          <w:sz w:val="22"/>
          <w:szCs w:val="22"/>
        </w:rPr>
        <w:t>5.</w:t>
      </w:r>
      <w:r w:rsidR="00C7449D" w:rsidRPr="003708A7">
        <w:rPr>
          <w:rFonts w:asciiTheme="minorHAnsi" w:hAnsiTheme="minorHAnsi" w:cstheme="minorHAnsi"/>
          <w:b/>
          <w:bCs/>
          <w:sz w:val="22"/>
          <w:szCs w:val="22"/>
        </w:rPr>
        <w:t>1</w:t>
      </w:r>
      <w:r w:rsidR="007F53F7" w:rsidRPr="003708A7">
        <w:rPr>
          <w:rFonts w:asciiTheme="minorHAnsi" w:hAnsiTheme="minorHAnsi" w:cstheme="minorHAnsi"/>
          <w:b/>
          <w:bCs/>
          <w:sz w:val="22"/>
          <w:szCs w:val="22"/>
        </w:rPr>
        <w:tab/>
      </w:r>
      <w:r w:rsidRPr="003708A7">
        <w:rPr>
          <w:rFonts w:asciiTheme="minorHAnsi" w:hAnsiTheme="minorHAnsi" w:cstheme="minorHAnsi"/>
          <w:b/>
          <w:bCs/>
          <w:sz w:val="22"/>
          <w:szCs w:val="22"/>
        </w:rPr>
        <w:t>Flight tickets</w:t>
      </w:r>
    </w:p>
    <w:p w14:paraId="5C5264AE" w14:textId="0CAC1751" w:rsidR="00BB602A" w:rsidRPr="003708A7" w:rsidRDefault="00BB602A" w:rsidP="00BB602A">
      <w:pPr>
        <w:rPr>
          <w:rFonts w:asciiTheme="minorHAnsi" w:hAnsiTheme="minorHAnsi" w:cstheme="minorHAnsi"/>
          <w:sz w:val="22"/>
          <w:szCs w:val="22"/>
        </w:rPr>
      </w:pPr>
      <w:r w:rsidRPr="003708A7">
        <w:rPr>
          <w:rFonts w:asciiTheme="minorHAnsi" w:hAnsiTheme="minorHAnsi" w:cstheme="minorHAnsi"/>
          <w:sz w:val="22"/>
          <w:szCs w:val="22"/>
        </w:rPr>
        <w:t xml:space="preserve">A travel </w:t>
      </w:r>
      <w:proofErr w:type="gramStart"/>
      <w:r w:rsidRPr="003708A7">
        <w:rPr>
          <w:rFonts w:asciiTheme="minorHAnsi" w:hAnsiTheme="minorHAnsi" w:cstheme="minorHAnsi"/>
          <w:sz w:val="22"/>
          <w:szCs w:val="22"/>
        </w:rPr>
        <w:t>grant</w:t>
      </w:r>
      <w:proofErr w:type="gramEnd"/>
      <w:r w:rsidRPr="003708A7">
        <w:rPr>
          <w:rFonts w:asciiTheme="minorHAnsi" w:hAnsiTheme="minorHAnsi" w:cstheme="minorHAnsi"/>
          <w:sz w:val="22"/>
          <w:szCs w:val="22"/>
        </w:rPr>
        <w:t xml:space="preserve"> to attend </w:t>
      </w:r>
      <w:r w:rsidR="00C7449D" w:rsidRPr="003708A7">
        <w:rPr>
          <w:rFonts w:asciiTheme="minorHAnsi" w:hAnsiTheme="minorHAnsi" w:cstheme="minorHAnsi"/>
          <w:sz w:val="22"/>
          <w:szCs w:val="22"/>
        </w:rPr>
        <w:t xml:space="preserve">the Global Standards Symposium (GSS-24) </w:t>
      </w:r>
      <w:r w:rsidRPr="003708A7">
        <w:rPr>
          <w:rFonts w:asciiTheme="minorHAnsi" w:hAnsiTheme="minorHAnsi" w:cstheme="minorHAnsi"/>
          <w:sz w:val="22"/>
          <w:szCs w:val="22"/>
        </w:rPr>
        <w:t>would include one return</w:t>
      </w:r>
      <w:r w:rsidR="00E00492" w:rsidRPr="003708A7">
        <w:rPr>
          <w:rFonts w:asciiTheme="minorHAnsi" w:hAnsiTheme="minorHAnsi" w:cstheme="minorHAnsi"/>
          <w:sz w:val="22"/>
          <w:szCs w:val="22"/>
        </w:rPr>
        <w:t>,</w:t>
      </w:r>
      <w:r w:rsidRPr="003708A7">
        <w:rPr>
          <w:rFonts w:asciiTheme="minorHAnsi" w:hAnsiTheme="minorHAnsi" w:cstheme="minorHAnsi"/>
          <w:sz w:val="22"/>
          <w:szCs w:val="22"/>
        </w:rPr>
        <w:t xml:space="preserve"> economy class air ticket for one person by the most direct/economical route from the country of domicile to the location of the </w:t>
      </w:r>
      <w:r w:rsidR="00C7449D" w:rsidRPr="003708A7">
        <w:rPr>
          <w:rFonts w:asciiTheme="minorHAnsi" w:hAnsiTheme="minorHAnsi" w:cstheme="minorHAnsi"/>
          <w:sz w:val="22"/>
          <w:szCs w:val="22"/>
        </w:rPr>
        <w:t>Symposium</w:t>
      </w:r>
      <w:r w:rsidRPr="003708A7">
        <w:rPr>
          <w:rFonts w:asciiTheme="minorHAnsi" w:hAnsiTheme="minorHAnsi" w:cstheme="minorHAnsi"/>
          <w:sz w:val="22"/>
          <w:szCs w:val="22"/>
        </w:rPr>
        <w:t xml:space="preserve">. The maximum amount of the flight cost reimbursement will be determined by ITU. </w:t>
      </w:r>
    </w:p>
    <w:p w14:paraId="7BDD5362" w14:textId="41073E31"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sz w:val="22"/>
          <w:szCs w:val="22"/>
        </w:rPr>
        <w:t xml:space="preserve">Travel and medical insurance for the duration of travel will </w:t>
      </w:r>
      <w:r w:rsidRPr="003708A7">
        <w:rPr>
          <w:rFonts w:asciiTheme="minorHAnsi" w:hAnsiTheme="minorHAnsi" w:cstheme="minorHAnsi"/>
          <w:b/>
          <w:bCs/>
          <w:sz w:val="22"/>
          <w:szCs w:val="22"/>
        </w:rPr>
        <w:t xml:space="preserve">not </w:t>
      </w:r>
      <w:r w:rsidRPr="003708A7">
        <w:rPr>
          <w:rFonts w:asciiTheme="minorHAnsi" w:hAnsiTheme="minorHAnsi" w:cstheme="minorHAnsi"/>
          <w:sz w:val="22"/>
          <w:szCs w:val="22"/>
        </w:rPr>
        <w:t>be covered under the travel grant. Nor will any costs of other travel expenses like visa application costs, COVID-19 or other medical tests or vaccinations, etc</w:t>
      </w:r>
      <w:r w:rsidR="00E00492" w:rsidRPr="003708A7">
        <w:rPr>
          <w:rFonts w:asciiTheme="minorHAnsi" w:hAnsiTheme="minorHAnsi" w:cstheme="minorHAnsi"/>
          <w:sz w:val="22"/>
          <w:szCs w:val="22"/>
        </w:rPr>
        <w:t>.</w:t>
      </w:r>
      <w:r w:rsidRPr="003708A7">
        <w:rPr>
          <w:rFonts w:asciiTheme="minorHAnsi" w:hAnsiTheme="minorHAnsi" w:cstheme="minorHAnsi"/>
          <w:sz w:val="22"/>
          <w:szCs w:val="22"/>
        </w:rPr>
        <w:t xml:space="preserve"> be covered under the travel grant. </w:t>
      </w:r>
    </w:p>
    <w:p w14:paraId="74D4D4DA" w14:textId="1D1CB96D" w:rsidR="00BB602A" w:rsidRPr="003708A7" w:rsidRDefault="00BB602A" w:rsidP="00BB602A">
      <w:pPr>
        <w:pStyle w:val="Default"/>
        <w:spacing w:before="120"/>
        <w:rPr>
          <w:rFonts w:asciiTheme="minorHAnsi" w:hAnsiTheme="minorHAnsi" w:cstheme="minorHAnsi"/>
          <w:sz w:val="22"/>
          <w:szCs w:val="22"/>
        </w:rPr>
      </w:pPr>
      <w:r w:rsidRPr="003708A7">
        <w:rPr>
          <w:rFonts w:asciiTheme="minorHAnsi" w:hAnsiTheme="minorHAnsi" w:cstheme="minorHAnsi"/>
          <w:sz w:val="22"/>
          <w:szCs w:val="22"/>
        </w:rPr>
        <w:t>If for any reason you are unable to attend/enter the country (</w:t>
      </w:r>
      <w:r w:rsidR="00E00492" w:rsidRPr="003708A7">
        <w:rPr>
          <w:rFonts w:asciiTheme="minorHAnsi" w:hAnsiTheme="minorHAnsi" w:cstheme="minorHAnsi"/>
          <w:sz w:val="22"/>
          <w:szCs w:val="22"/>
        </w:rPr>
        <w:t xml:space="preserve">e.g., </w:t>
      </w:r>
      <w:r w:rsidRPr="003708A7">
        <w:rPr>
          <w:rFonts w:asciiTheme="minorHAnsi" w:hAnsiTheme="minorHAnsi" w:cstheme="minorHAnsi"/>
          <w:sz w:val="22"/>
          <w:szCs w:val="22"/>
        </w:rPr>
        <w:t xml:space="preserve">visa, COVID restrictions, family emergencies), please note that your travel costs will </w:t>
      </w:r>
      <w:r w:rsidRPr="003708A7">
        <w:rPr>
          <w:rFonts w:asciiTheme="minorHAnsi" w:hAnsiTheme="minorHAnsi" w:cstheme="minorHAnsi"/>
          <w:b/>
          <w:bCs/>
          <w:sz w:val="22"/>
          <w:szCs w:val="22"/>
        </w:rPr>
        <w:t xml:space="preserve">not </w:t>
      </w:r>
      <w:r w:rsidRPr="003708A7">
        <w:rPr>
          <w:rFonts w:asciiTheme="minorHAnsi" w:hAnsiTheme="minorHAnsi" w:cstheme="minorHAnsi"/>
          <w:sz w:val="22"/>
          <w:szCs w:val="22"/>
        </w:rPr>
        <w:t xml:space="preserve">be reimbursed. </w:t>
      </w:r>
    </w:p>
    <w:p w14:paraId="23F6B1F2" w14:textId="1BB6F382" w:rsidR="00BB602A" w:rsidRPr="003708A7" w:rsidRDefault="00BB602A" w:rsidP="00C7449D">
      <w:pPr>
        <w:pStyle w:val="Default"/>
        <w:tabs>
          <w:tab w:val="left" w:pos="709"/>
        </w:tabs>
        <w:spacing w:before="120"/>
        <w:rPr>
          <w:rFonts w:asciiTheme="minorHAnsi" w:hAnsiTheme="minorHAnsi" w:cstheme="minorHAnsi"/>
          <w:sz w:val="22"/>
          <w:szCs w:val="22"/>
        </w:rPr>
      </w:pPr>
      <w:r w:rsidRPr="003708A7">
        <w:rPr>
          <w:rFonts w:asciiTheme="minorHAnsi" w:hAnsiTheme="minorHAnsi" w:cstheme="minorHAnsi"/>
          <w:b/>
          <w:bCs/>
          <w:sz w:val="22"/>
          <w:szCs w:val="22"/>
        </w:rPr>
        <w:t>5.</w:t>
      </w:r>
      <w:r w:rsidR="00C7449D" w:rsidRPr="003708A7">
        <w:rPr>
          <w:rFonts w:asciiTheme="minorHAnsi" w:hAnsiTheme="minorHAnsi" w:cstheme="minorHAnsi"/>
          <w:b/>
          <w:bCs/>
          <w:sz w:val="22"/>
          <w:szCs w:val="22"/>
        </w:rPr>
        <w:t>2</w:t>
      </w:r>
      <w:r w:rsidR="00C7449D" w:rsidRPr="003708A7">
        <w:rPr>
          <w:rFonts w:asciiTheme="minorHAnsi" w:hAnsiTheme="minorHAnsi" w:cstheme="minorHAnsi"/>
          <w:b/>
          <w:bCs/>
          <w:sz w:val="22"/>
          <w:szCs w:val="22"/>
        </w:rPr>
        <w:tab/>
      </w:r>
      <w:r w:rsidRPr="003708A7">
        <w:rPr>
          <w:rFonts w:asciiTheme="minorHAnsi" w:hAnsiTheme="minorHAnsi" w:cstheme="minorHAnsi"/>
          <w:b/>
          <w:bCs/>
          <w:sz w:val="22"/>
          <w:szCs w:val="22"/>
        </w:rPr>
        <w:t>Proof of arrangements</w:t>
      </w:r>
    </w:p>
    <w:p w14:paraId="6288D910" w14:textId="0B655778" w:rsidR="00BB602A" w:rsidRDefault="00BB602A" w:rsidP="00BB602A">
      <w:pPr>
        <w:rPr>
          <w:rFonts w:asciiTheme="minorHAnsi" w:hAnsiTheme="minorHAnsi" w:cstheme="minorHAnsi"/>
          <w:sz w:val="22"/>
          <w:szCs w:val="22"/>
        </w:rPr>
      </w:pPr>
      <w:r w:rsidRPr="003708A7">
        <w:rPr>
          <w:rFonts w:asciiTheme="minorHAnsi" w:hAnsiTheme="minorHAnsi" w:cstheme="minorHAnsi"/>
          <w:sz w:val="22"/>
          <w:szCs w:val="22"/>
        </w:rPr>
        <w:t>Travel grant recipients will be required to produce the receipts and documentation specified by ITU in its official travel grant offer as proof of travel and accommodation. Unsatisfactory documentation in this regard may reduce or void the travel grant provided. See also 4.</w:t>
      </w:r>
      <w:r w:rsidR="00C7449D" w:rsidRPr="003708A7">
        <w:rPr>
          <w:rFonts w:asciiTheme="minorHAnsi" w:hAnsiTheme="minorHAnsi" w:cstheme="minorHAnsi"/>
          <w:sz w:val="22"/>
          <w:szCs w:val="22"/>
        </w:rPr>
        <w:t>1</w:t>
      </w:r>
      <w:r w:rsidRPr="003708A7">
        <w:rPr>
          <w:rFonts w:asciiTheme="minorHAnsi" w:hAnsiTheme="minorHAnsi" w:cstheme="minorHAnsi"/>
          <w:sz w:val="22"/>
          <w:szCs w:val="22"/>
        </w:rPr>
        <w:t>.</w:t>
      </w:r>
    </w:p>
    <w:p w14:paraId="77B45993" w14:textId="77777777" w:rsidR="00173BB2" w:rsidRDefault="00173BB2" w:rsidP="00BB602A">
      <w:pPr>
        <w:rPr>
          <w:rFonts w:asciiTheme="minorHAnsi" w:hAnsiTheme="minorHAnsi" w:cstheme="minorHAnsi"/>
          <w:sz w:val="22"/>
          <w:szCs w:val="22"/>
        </w:rPr>
      </w:pPr>
    </w:p>
    <w:p w14:paraId="32592217" w14:textId="77777777" w:rsidR="00173BB2" w:rsidRPr="003708A7" w:rsidRDefault="00173BB2" w:rsidP="00BB602A">
      <w:pPr>
        <w:rPr>
          <w:rFonts w:asciiTheme="minorHAnsi" w:hAnsiTheme="minorHAnsi" w:cstheme="minorHAnsi"/>
          <w:sz w:val="22"/>
          <w:szCs w:val="22"/>
        </w:rPr>
      </w:pPr>
    </w:p>
    <w:p w14:paraId="3744B1A2" w14:textId="4D11A2D8" w:rsidR="00BB602A" w:rsidRPr="003708A7" w:rsidRDefault="00BB602A" w:rsidP="00BB602A">
      <w:pPr>
        <w:jc w:val="center"/>
        <w:rPr>
          <w:rFonts w:asciiTheme="minorHAnsi" w:hAnsiTheme="minorHAnsi" w:cstheme="minorHAnsi"/>
          <w:sz w:val="22"/>
          <w:szCs w:val="22"/>
        </w:rPr>
      </w:pPr>
      <w:r w:rsidRPr="003708A7">
        <w:rPr>
          <w:rFonts w:asciiTheme="minorHAnsi" w:hAnsiTheme="minorHAnsi" w:cstheme="minorHAnsi"/>
          <w:sz w:val="22"/>
          <w:szCs w:val="22"/>
        </w:rPr>
        <w:t>__________________</w:t>
      </w:r>
    </w:p>
    <w:sectPr w:rsidR="00BB602A" w:rsidRPr="003708A7" w:rsidSect="00FA46A0">
      <w:headerReference w:type="default" r:id="rId19"/>
      <w:footerReference w:type="first" r:id="rId2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265F4" w14:textId="77777777" w:rsidR="00D913BF" w:rsidRDefault="00D913BF">
      <w:r>
        <w:separator/>
      </w:r>
    </w:p>
  </w:endnote>
  <w:endnote w:type="continuationSeparator" w:id="0">
    <w:p w14:paraId="67B9BF85" w14:textId="77777777" w:rsidR="00D913BF" w:rsidRDefault="00D9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F67F5" w14:textId="77777777" w:rsidR="00D913BF" w:rsidRDefault="00D913BF">
      <w:r>
        <w:t>____________________</w:t>
      </w:r>
    </w:p>
  </w:footnote>
  <w:footnote w:type="continuationSeparator" w:id="0">
    <w:p w14:paraId="175C9E50" w14:textId="77777777" w:rsidR="00D913BF" w:rsidRDefault="00D913BF">
      <w:r>
        <w:continuationSeparator/>
      </w:r>
    </w:p>
  </w:footnote>
  <w:footnote w:id="1">
    <w:p w14:paraId="273ADE03" w14:textId="74C41EF7" w:rsidR="004B360C" w:rsidRPr="00BB602A" w:rsidRDefault="004B360C" w:rsidP="004B360C">
      <w:pPr>
        <w:pStyle w:val="FootnoteText"/>
        <w:rPr>
          <w:lang w:val="en-US"/>
        </w:rPr>
      </w:pPr>
      <w:r>
        <w:rPr>
          <w:rStyle w:val="FootnoteReference"/>
        </w:rPr>
        <w:footnoteRef/>
      </w:r>
      <w:r>
        <w:rPr>
          <w:sz w:val="20"/>
        </w:rPr>
        <w:t xml:space="preserve">These include least developed countries, </w:t>
      </w:r>
      <w:proofErr w:type="gramStart"/>
      <w:r>
        <w:rPr>
          <w:sz w:val="20"/>
        </w:rPr>
        <w:t>small-island</w:t>
      </w:r>
      <w:proofErr w:type="gramEnd"/>
      <w:r>
        <w:rPr>
          <w:sz w:val="20"/>
        </w:rPr>
        <w:t xml:space="preserve"> developing states, landlocked developing countries and countries with economies in transition. The list published in the most recent version of the United Nations report </w:t>
      </w:r>
      <w:r>
        <w:rPr>
          <w:i/>
          <w:iCs/>
          <w:sz w:val="20"/>
        </w:rPr>
        <w:t xml:space="preserve">World Economic Situation and Prospects </w:t>
      </w:r>
      <w:r>
        <w:rPr>
          <w:sz w:val="20"/>
        </w:rPr>
        <w:t xml:space="preserve">will be used (currently, 2022). This list is available from </w:t>
      </w:r>
      <w:hyperlink r:id="rId1" w:history="1">
        <w:r w:rsidRPr="003A77A9">
          <w:rPr>
            <w:rStyle w:val="Hyperlink"/>
            <w:sz w:val="20"/>
          </w:rPr>
          <w:t>the ITU website</w:t>
        </w:r>
      </w:hyperlink>
      <w:r>
        <w:rPr>
          <w:sz w:val="20"/>
        </w:rPr>
        <w:t>.</w:t>
      </w:r>
    </w:p>
    <w:p w14:paraId="67A0F50C" w14:textId="1863D14A" w:rsidR="004B360C" w:rsidRPr="004B360C" w:rsidRDefault="004B360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60265" w14:textId="6E861874" w:rsidR="00FA46A0" w:rsidRDefault="00B61012">
    <w:pPr>
      <w:pStyle w:val="Header"/>
    </w:pPr>
    <w:r>
      <w:t xml:space="preserve">- </w:t>
    </w:r>
    <w:r w:rsidR="00FA46A0">
      <w:fldChar w:fldCharType="begin"/>
    </w:r>
    <w:r>
      <w:instrText xml:space="preserve"> PAGE   \* MERGEFORMAT </w:instrText>
    </w:r>
    <w:r w:rsidR="00FA46A0">
      <w:fldChar w:fldCharType="separate"/>
    </w:r>
    <w:r w:rsidR="005655C3">
      <w:rPr>
        <w:noProof/>
      </w:rPr>
      <w:t>2</w:t>
    </w:r>
    <w:r w:rsidR="00FA46A0">
      <w:rPr>
        <w:noProof/>
      </w:rPr>
      <w:fldChar w:fldCharType="end"/>
    </w:r>
    <w:r>
      <w:rPr>
        <w:noProof/>
      </w:rPr>
      <w:t xml:space="preserve"> -</w:t>
    </w:r>
    <w:r w:rsidR="00503ADB">
      <w:rPr>
        <w:noProof/>
      </w:rPr>
      <w:br/>
      <w:t xml:space="preserve">TSB Circular </w:t>
    </w:r>
    <w:r w:rsidR="008F4150">
      <w:rPr>
        <w:noProof/>
      </w:rPr>
      <w:t>211</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A30FF"/>
    <w:multiLevelType w:val="hybridMultilevel"/>
    <w:tmpl w:val="9246F2B4"/>
    <w:lvl w:ilvl="0" w:tplc="08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021F2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3E7C77"/>
    <w:multiLevelType w:val="hybridMultilevel"/>
    <w:tmpl w:val="55228176"/>
    <w:lvl w:ilvl="0" w:tplc="C308898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475B0"/>
    <w:multiLevelType w:val="hybridMultilevel"/>
    <w:tmpl w:val="3B489ADA"/>
    <w:lvl w:ilvl="0" w:tplc="AD82FA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8656">
    <w:abstractNumId w:val="9"/>
  </w:num>
  <w:num w:numId="2" w16cid:durableId="395009631">
    <w:abstractNumId w:val="7"/>
  </w:num>
  <w:num w:numId="3" w16cid:durableId="1103575920">
    <w:abstractNumId w:val="6"/>
  </w:num>
  <w:num w:numId="4" w16cid:durableId="1137452816">
    <w:abstractNumId w:val="5"/>
  </w:num>
  <w:num w:numId="5" w16cid:durableId="1957641559">
    <w:abstractNumId w:val="4"/>
  </w:num>
  <w:num w:numId="6" w16cid:durableId="1923485462">
    <w:abstractNumId w:val="8"/>
  </w:num>
  <w:num w:numId="7" w16cid:durableId="1564877464">
    <w:abstractNumId w:val="3"/>
  </w:num>
  <w:num w:numId="8" w16cid:durableId="2054499321">
    <w:abstractNumId w:val="2"/>
  </w:num>
  <w:num w:numId="9" w16cid:durableId="1897473150">
    <w:abstractNumId w:val="1"/>
  </w:num>
  <w:num w:numId="10" w16cid:durableId="1657799590">
    <w:abstractNumId w:val="0"/>
  </w:num>
  <w:num w:numId="11" w16cid:durableId="1914271035">
    <w:abstractNumId w:val="11"/>
  </w:num>
  <w:num w:numId="12" w16cid:durableId="919213733">
    <w:abstractNumId w:val="10"/>
  </w:num>
  <w:num w:numId="13" w16cid:durableId="131606095">
    <w:abstractNumId w:val="12"/>
  </w:num>
  <w:num w:numId="14" w16cid:durableId="1952281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7F4"/>
    <w:rsid w:val="00022E6B"/>
    <w:rsid w:val="000B15C8"/>
    <w:rsid w:val="000B2B37"/>
    <w:rsid w:val="000B368C"/>
    <w:rsid w:val="001018E1"/>
    <w:rsid w:val="00112F37"/>
    <w:rsid w:val="001146D1"/>
    <w:rsid w:val="001156C0"/>
    <w:rsid w:val="001206F2"/>
    <w:rsid w:val="00173BB2"/>
    <w:rsid w:val="00187DB7"/>
    <w:rsid w:val="001A34EC"/>
    <w:rsid w:val="001D172E"/>
    <w:rsid w:val="001E6491"/>
    <w:rsid w:val="001E6D8C"/>
    <w:rsid w:val="002A6F34"/>
    <w:rsid w:val="002E4421"/>
    <w:rsid w:val="00307ED7"/>
    <w:rsid w:val="00327680"/>
    <w:rsid w:val="00330C27"/>
    <w:rsid w:val="00356B73"/>
    <w:rsid w:val="003708A7"/>
    <w:rsid w:val="0037437D"/>
    <w:rsid w:val="003746A5"/>
    <w:rsid w:val="003A77A9"/>
    <w:rsid w:val="003D4690"/>
    <w:rsid w:val="00453CEA"/>
    <w:rsid w:val="00487330"/>
    <w:rsid w:val="004B360C"/>
    <w:rsid w:val="004E2AAE"/>
    <w:rsid w:val="00503ADB"/>
    <w:rsid w:val="00541490"/>
    <w:rsid w:val="0055204E"/>
    <w:rsid w:val="005655C3"/>
    <w:rsid w:val="005B3385"/>
    <w:rsid w:val="005E003C"/>
    <w:rsid w:val="006327BF"/>
    <w:rsid w:val="00643E16"/>
    <w:rsid w:val="006977FA"/>
    <w:rsid w:val="006E1D97"/>
    <w:rsid w:val="00730A58"/>
    <w:rsid w:val="00741860"/>
    <w:rsid w:val="00796D95"/>
    <w:rsid w:val="0079763E"/>
    <w:rsid w:val="007A65E8"/>
    <w:rsid w:val="007C080C"/>
    <w:rsid w:val="007D77D3"/>
    <w:rsid w:val="007F53F7"/>
    <w:rsid w:val="007F7766"/>
    <w:rsid w:val="00801E02"/>
    <w:rsid w:val="00854BCC"/>
    <w:rsid w:val="008E5F1E"/>
    <w:rsid w:val="008F4150"/>
    <w:rsid w:val="00960974"/>
    <w:rsid w:val="00963900"/>
    <w:rsid w:val="009747C5"/>
    <w:rsid w:val="009B2EB5"/>
    <w:rsid w:val="009C6D83"/>
    <w:rsid w:val="00A72C30"/>
    <w:rsid w:val="00AA08F0"/>
    <w:rsid w:val="00AF1454"/>
    <w:rsid w:val="00B0513A"/>
    <w:rsid w:val="00B2488F"/>
    <w:rsid w:val="00B4651B"/>
    <w:rsid w:val="00B4669D"/>
    <w:rsid w:val="00B61012"/>
    <w:rsid w:val="00B6327B"/>
    <w:rsid w:val="00B71D40"/>
    <w:rsid w:val="00BB602A"/>
    <w:rsid w:val="00BC5CF7"/>
    <w:rsid w:val="00BD769F"/>
    <w:rsid w:val="00C52F86"/>
    <w:rsid w:val="00C7449D"/>
    <w:rsid w:val="00C86675"/>
    <w:rsid w:val="00C9319E"/>
    <w:rsid w:val="00C95BF6"/>
    <w:rsid w:val="00CB270A"/>
    <w:rsid w:val="00CD58C6"/>
    <w:rsid w:val="00CF4EE3"/>
    <w:rsid w:val="00D52E0F"/>
    <w:rsid w:val="00D62702"/>
    <w:rsid w:val="00D8587A"/>
    <w:rsid w:val="00D913BF"/>
    <w:rsid w:val="00DE47F4"/>
    <w:rsid w:val="00E00492"/>
    <w:rsid w:val="00E151AE"/>
    <w:rsid w:val="00E25535"/>
    <w:rsid w:val="00E6758E"/>
    <w:rsid w:val="00EA2114"/>
    <w:rsid w:val="00EC15F4"/>
    <w:rsid w:val="00F01CA5"/>
    <w:rsid w:val="00F22314"/>
    <w:rsid w:val="00F27FB8"/>
    <w:rsid w:val="00F37477"/>
    <w:rsid w:val="00F81327"/>
    <w:rsid w:val="00FA46A0"/>
    <w:rsid w:val="00FC1C19"/>
    <w:rsid w:val="00FD64E8"/>
    <w:rsid w:val="00FE253A"/>
    <w:rsid w:val="00FE7752"/>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F8AEE"/>
  <w15:docId w15:val="{2AFAB4FF-B67A-4C70-B66B-252CC13B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UnresolvedMention1">
    <w:name w:val="Unresolved Mention1"/>
    <w:basedOn w:val="DefaultParagraphFont"/>
    <w:uiPriority w:val="99"/>
    <w:semiHidden/>
    <w:unhideWhenUsed/>
    <w:rsid w:val="00C9319E"/>
    <w:rPr>
      <w:color w:val="605E5C"/>
      <w:shd w:val="clear" w:color="auto" w:fill="E1DFDD"/>
    </w:rPr>
  </w:style>
  <w:style w:type="paragraph" w:customStyle="1" w:styleId="Default">
    <w:name w:val="Default"/>
    <w:rsid w:val="00BB602A"/>
    <w:pPr>
      <w:autoSpaceDE w:val="0"/>
      <w:autoSpaceDN w:val="0"/>
      <w:adjustRightInd w:val="0"/>
    </w:pPr>
    <w:rPr>
      <w:rFonts w:ascii="Times New Roman" w:hAnsi="Times New Roman"/>
      <w:color w:val="000000"/>
      <w:sz w:val="24"/>
      <w:szCs w:val="24"/>
      <w:lang w:val="en-GB"/>
    </w:rPr>
  </w:style>
  <w:style w:type="paragraph" w:styleId="ListParagraph">
    <w:name w:val="List Paragraph"/>
    <w:basedOn w:val="Normal"/>
    <w:qFormat/>
    <w:rsid w:val="008E5F1E"/>
    <w:pPr>
      <w:ind w:left="720"/>
      <w:contextualSpacing/>
    </w:pPr>
  </w:style>
  <w:style w:type="paragraph" w:styleId="Revision">
    <w:name w:val="Revision"/>
    <w:hidden/>
    <w:semiHidden/>
    <w:rsid w:val="000B2B37"/>
    <w:rPr>
      <w:rFonts w:ascii="Calibri" w:hAnsi="Calibri"/>
      <w:sz w:val="24"/>
      <w:lang w:val="en-GB" w:eastAsia="en-US"/>
    </w:rPr>
  </w:style>
  <w:style w:type="character" w:styleId="UnresolvedMention">
    <w:name w:val="Unresolved Mention"/>
    <w:basedOn w:val="DefaultParagraphFont"/>
    <w:uiPriority w:val="99"/>
    <w:semiHidden/>
    <w:unhideWhenUsed/>
    <w:rsid w:val="0037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3382676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T22-TSB-CIR-0178" TargetMode="External"/><Relationship Id="rId18" Type="http://schemas.openxmlformats.org/officeDocument/2006/relationships/hyperlink" Target="mailto:gss@itu.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ss@itu.int" TargetMode="External"/><Relationship Id="rId17" Type="http://schemas.openxmlformats.org/officeDocument/2006/relationships/hyperlink" Target="https://extranet.itu.int/sites/itu-t/wtsa-24/gss/Pages/travel-grant.aspx" TargetMode="External"/><Relationship Id="rId2" Type="http://schemas.openxmlformats.org/officeDocument/2006/relationships/customXml" Target="../customXml/item2.xml"/><Relationship Id="rId16" Type="http://schemas.openxmlformats.org/officeDocument/2006/relationships/hyperlink" Target="mailto:gss@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s.itu.i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fellowships/Documents/2023/ListEligibleCountries2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4" ma:contentTypeDescription="Create a new document." ma:contentTypeScope="" ma:versionID="b52bb7cfe1744f9db962f21a0f0287b2">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dbb356bdd826fd8d90ea23a921af4cf8"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CAA7-4AF1-4D03-95ED-C5A015EC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1238c2fb-f919-419c-a17c-617fee3c8b80"/>
  </ds:schemaRefs>
</ds:datastoreItem>
</file>

<file path=customXml/itemProps4.xml><?xml version="1.0" encoding="utf-8"?>
<ds:datastoreItem xmlns:ds="http://schemas.openxmlformats.org/officeDocument/2006/customXml" ds:itemID="{B428CDFC-37CF-4BA0-A3A6-EAE84A5F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41</TotalTime>
  <Pages>3</Pages>
  <Words>937</Words>
  <Characters>5507</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dc:creator>
  <cp:lastModifiedBy>ITU-TSB-CC</cp:lastModifiedBy>
  <cp:revision>18</cp:revision>
  <cp:lastPrinted>2024-07-11T13:08:00Z</cp:lastPrinted>
  <dcterms:created xsi:type="dcterms:W3CDTF">2024-07-02T10:42:00Z</dcterms:created>
  <dcterms:modified xsi:type="dcterms:W3CDTF">2024-07-11T14:04:00Z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GrammarlyDocumentId">
    <vt:lpwstr>a549452697e534290e622f26fedf4dc9fc7c6b56fe411754db1fe4671ca9bdb3</vt:lpwstr>
  </property>
</Properties>
</file>