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6" w:type="dxa"/>
        <w:tblInd w:w="-142" w:type="dxa"/>
        <w:tblLayout w:type="fixed"/>
        <w:tblLook w:val="0000" w:firstRow="0" w:lastRow="0" w:firstColumn="0" w:lastColumn="0" w:noHBand="0" w:noVBand="0"/>
      </w:tblPr>
      <w:tblGrid>
        <w:gridCol w:w="1418"/>
        <w:gridCol w:w="3611"/>
        <w:gridCol w:w="5327"/>
      </w:tblGrid>
      <w:tr w:rsidR="007B6316" w:rsidRPr="00BD67C8" w14:paraId="57C19FE3" w14:textId="77777777" w:rsidTr="00F63989">
        <w:trPr>
          <w:cantSplit/>
          <w:trHeight w:val="340"/>
        </w:trPr>
        <w:tc>
          <w:tcPr>
            <w:tcW w:w="1418" w:type="dxa"/>
          </w:tcPr>
          <w:p w14:paraId="4073FDEF" w14:textId="77777777" w:rsidR="007B6316" w:rsidRPr="00BD67C8" w:rsidRDefault="007B6316" w:rsidP="00303D62">
            <w:pPr>
              <w:tabs>
                <w:tab w:val="left" w:pos="4111"/>
              </w:tabs>
              <w:spacing w:before="10"/>
              <w:ind w:left="57"/>
              <w:rPr>
                <w:sz w:val="22"/>
              </w:rPr>
            </w:pPr>
            <w:r w:rsidRPr="00BD67C8">
              <w:rPr>
                <w:noProof/>
                <w:lang w:eastAsia="zh-CN"/>
              </w:rPr>
              <w:drawing>
                <wp:inline distT="0" distB="0" distL="0" distR="0" wp14:anchorId="7AF7EF1A" wp14:editId="149CAE9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938" w:type="dxa"/>
            <w:gridSpan w:val="2"/>
            <w:vAlign w:val="center"/>
          </w:tcPr>
          <w:p w14:paraId="3CE1A100" w14:textId="77777777" w:rsidR="007B6316" w:rsidRPr="00BD67C8" w:rsidRDefault="007B6316" w:rsidP="007B6316">
            <w:pPr>
              <w:spacing w:before="0"/>
              <w:rPr>
                <w:rFonts w:cs="Times New Roman Bold"/>
                <w:b/>
                <w:bCs/>
                <w:smallCaps/>
                <w:sz w:val="26"/>
                <w:szCs w:val="26"/>
              </w:rPr>
            </w:pPr>
            <w:r w:rsidRPr="00BD67C8">
              <w:rPr>
                <w:rFonts w:cs="Times New Roman Bold"/>
                <w:b/>
                <w:bCs/>
                <w:smallCaps/>
                <w:sz w:val="36"/>
                <w:szCs w:val="36"/>
              </w:rPr>
              <w:t>Unión Internacional de Telecomunicaciones</w:t>
            </w:r>
          </w:p>
          <w:p w14:paraId="36EA5B69" w14:textId="77777777" w:rsidR="007B6316" w:rsidRPr="00BD67C8" w:rsidRDefault="007B6316" w:rsidP="007B6316">
            <w:pPr>
              <w:spacing w:before="0"/>
            </w:pPr>
            <w:r w:rsidRPr="00BD67C8">
              <w:rPr>
                <w:rFonts w:cs="Times New Roman Bold"/>
                <w:b/>
                <w:bCs/>
                <w:smallCaps/>
                <w:sz w:val="28"/>
                <w:szCs w:val="28"/>
              </w:rPr>
              <w:t>Oficina</w:t>
            </w:r>
            <w:r w:rsidRPr="00BD67C8">
              <w:rPr>
                <w:rFonts w:cs="Times New Roman Bold"/>
                <w:b/>
                <w:bCs/>
                <w:iCs/>
                <w:smallCaps/>
                <w:sz w:val="22"/>
                <w:szCs w:val="22"/>
              </w:rPr>
              <w:t xml:space="preserve"> </w:t>
            </w:r>
            <w:r w:rsidRPr="00BD67C8">
              <w:rPr>
                <w:rFonts w:cs="Times New Roman Bold"/>
                <w:b/>
                <w:bCs/>
                <w:iCs/>
                <w:smallCaps/>
                <w:sz w:val="28"/>
                <w:szCs w:val="28"/>
              </w:rPr>
              <w:t>de Normalización de las Telecomunicaciones</w:t>
            </w:r>
          </w:p>
        </w:tc>
      </w:tr>
      <w:tr w:rsidR="007B6316" w:rsidRPr="00F63989" w14:paraId="29942F58" w14:textId="77777777" w:rsidTr="00F63989">
        <w:trPr>
          <w:cantSplit/>
          <w:trHeight w:val="399"/>
        </w:trPr>
        <w:tc>
          <w:tcPr>
            <w:tcW w:w="1418" w:type="dxa"/>
          </w:tcPr>
          <w:p w14:paraId="3A1FB203" w14:textId="77777777" w:rsidR="007B6316" w:rsidRPr="00F63989" w:rsidRDefault="007B6316" w:rsidP="00F63989">
            <w:pPr>
              <w:spacing w:before="0"/>
              <w:rPr>
                <w:sz w:val="22"/>
                <w:szCs w:val="18"/>
              </w:rPr>
            </w:pPr>
          </w:p>
        </w:tc>
        <w:tc>
          <w:tcPr>
            <w:tcW w:w="3611" w:type="dxa"/>
          </w:tcPr>
          <w:p w14:paraId="6CFD022A" w14:textId="77777777" w:rsidR="007B6316" w:rsidRPr="00F63989" w:rsidRDefault="007B6316" w:rsidP="00F63989">
            <w:pPr>
              <w:spacing w:before="0"/>
              <w:rPr>
                <w:sz w:val="22"/>
                <w:szCs w:val="18"/>
              </w:rPr>
            </w:pPr>
          </w:p>
        </w:tc>
        <w:tc>
          <w:tcPr>
            <w:tcW w:w="5327" w:type="dxa"/>
          </w:tcPr>
          <w:p w14:paraId="414906BC" w14:textId="0CF10826" w:rsidR="007B6316" w:rsidRPr="00F63989" w:rsidRDefault="007B6316" w:rsidP="00F63989">
            <w:pPr>
              <w:spacing w:before="0"/>
              <w:rPr>
                <w:sz w:val="22"/>
                <w:szCs w:val="18"/>
              </w:rPr>
            </w:pPr>
            <w:r w:rsidRPr="00F63989">
              <w:rPr>
                <w:sz w:val="22"/>
                <w:szCs w:val="18"/>
              </w:rPr>
              <w:t>Ginebra,</w:t>
            </w:r>
            <w:r w:rsidR="008658F7" w:rsidRPr="00F63989">
              <w:rPr>
                <w:sz w:val="22"/>
                <w:szCs w:val="18"/>
              </w:rPr>
              <w:t xml:space="preserve"> 11 de julio de 2024</w:t>
            </w:r>
          </w:p>
        </w:tc>
      </w:tr>
      <w:tr w:rsidR="001350B9" w:rsidRPr="00F63989" w14:paraId="2099D7D1" w14:textId="77777777" w:rsidTr="00F63989">
        <w:trPr>
          <w:cantSplit/>
          <w:trHeight w:val="340"/>
        </w:trPr>
        <w:tc>
          <w:tcPr>
            <w:tcW w:w="1418" w:type="dxa"/>
          </w:tcPr>
          <w:p w14:paraId="6931DA5A" w14:textId="1C97CDAF" w:rsidR="001350B9" w:rsidRPr="00F63989" w:rsidRDefault="001350B9" w:rsidP="00101541">
            <w:pPr>
              <w:spacing w:before="40" w:after="40"/>
              <w:rPr>
                <w:sz w:val="22"/>
                <w:szCs w:val="18"/>
              </w:rPr>
            </w:pPr>
            <w:r w:rsidRPr="00F63989">
              <w:rPr>
                <w:sz w:val="22"/>
                <w:szCs w:val="18"/>
              </w:rPr>
              <w:t>Ref.:</w:t>
            </w:r>
          </w:p>
        </w:tc>
        <w:tc>
          <w:tcPr>
            <w:tcW w:w="3611" w:type="dxa"/>
          </w:tcPr>
          <w:p w14:paraId="6B133364" w14:textId="6F09E5E4" w:rsidR="001350B9" w:rsidRPr="00F63989" w:rsidRDefault="001350B9" w:rsidP="008658F7">
            <w:pPr>
              <w:spacing w:before="40"/>
              <w:rPr>
                <w:b/>
                <w:bCs/>
                <w:sz w:val="22"/>
                <w:szCs w:val="18"/>
              </w:rPr>
            </w:pPr>
            <w:r w:rsidRPr="00F63989">
              <w:rPr>
                <w:b/>
                <w:bCs/>
                <w:sz w:val="22"/>
                <w:szCs w:val="18"/>
              </w:rPr>
              <w:t xml:space="preserve">Circular TSB </w:t>
            </w:r>
            <w:r w:rsidR="008658F7" w:rsidRPr="00F63989">
              <w:rPr>
                <w:b/>
                <w:bCs/>
                <w:sz w:val="22"/>
                <w:szCs w:val="18"/>
              </w:rPr>
              <w:t>211</w:t>
            </w:r>
          </w:p>
        </w:tc>
        <w:tc>
          <w:tcPr>
            <w:tcW w:w="5327" w:type="dxa"/>
            <w:vMerge w:val="restart"/>
          </w:tcPr>
          <w:p w14:paraId="43F6A64B" w14:textId="77777777" w:rsidR="00101541" w:rsidRPr="00F63989" w:rsidRDefault="00101541" w:rsidP="00F63989">
            <w:pPr>
              <w:spacing w:before="0"/>
              <w:rPr>
                <w:b/>
                <w:bCs/>
                <w:sz w:val="22"/>
                <w:szCs w:val="18"/>
              </w:rPr>
            </w:pPr>
            <w:bookmarkStart w:id="0" w:name="Addressee_S"/>
            <w:bookmarkEnd w:id="0"/>
            <w:r w:rsidRPr="00F63989">
              <w:rPr>
                <w:b/>
                <w:bCs/>
                <w:sz w:val="22"/>
                <w:szCs w:val="18"/>
              </w:rPr>
              <w:t>A:</w:t>
            </w:r>
          </w:p>
          <w:p w14:paraId="5AA785C7" w14:textId="233D7045" w:rsidR="001350B9" w:rsidRPr="00F63989" w:rsidRDefault="00101541" w:rsidP="00F63989">
            <w:pPr>
              <w:tabs>
                <w:tab w:val="clear" w:pos="794"/>
                <w:tab w:val="left" w:pos="390"/>
              </w:tabs>
              <w:spacing w:before="0"/>
              <w:ind w:left="390" w:hanging="390"/>
              <w:rPr>
                <w:sz w:val="22"/>
                <w:szCs w:val="18"/>
              </w:rPr>
            </w:pPr>
            <w:r w:rsidRPr="00F63989">
              <w:rPr>
                <w:sz w:val="22"/>
                <w:szCs w:val="18"/>
              </w:rPr>
              <w:t>–</w:t>
            </w:r>
            <w:r w:rsidR="001350B9" w:rsidRPr="00F63989">
              <w:rPr>
                <w:sz w:val="22"/>
                <w:szCs w:val="18"/>
              </w:rPr>
              <w:tab/>
              <w:t>las Administraciones de los Estados Miembros de la Unión</w:t>
            </w:r>
          </w:p>
          <w:p w14:paraId="4A6205BD" w14:textId="4B1ED1CA" w:rsidR="008658F7" w:rsidRPr="00F63989" w:rsidRDefault="008658F7" w:rsidP="00F63989">
            <w:pPr>
              <w:tabs>
                <w:tab w:val="clear" w:pos="794"/>
                <w:tab w:val="left" w:pos="390"/>
              </w:tabs>
              <w:spacing w:before="0"/>
              <w:ind w:left="390" w:hanging="390"/>
              <w:rPr>
                <w:b/>
                <w:bCs/>
                <w:sz w:val="22"/>
                <w:szCs w:val="18"/>
              </w:rPr>
            </w:pPr>
            <w:r w:rsidRPr="00F63989">
              <w:rPr>
                <w:b/>
                <w:bCs/>
                <w:sz w:val="22"/>
                <w:szCs w:val="18"/>
              </w:rPr>
              <w:t>Copia</w:t>
            </w:r>
            <w:r w:rsidR="0003385F" w:rsidRPr="00F63989">
              <w:rPr>
                <w:b/>
                <w:bCs/>
                <w:sz w:val="22"/>
                <w:szCs w:val="18"/>
              </w:rPr>
              <w:t xml:space="preserve"> a</w:t>
            </w:r>
            <w:r w:rsidRPr="00F63989">
              <w:rPr>
                <w:b/>
                <w:bCs/>
                <w:sz w:val="22"/>
                <w:szCs w:val="18"/>
              </w:rPr>
              <w:t>:</w:t>
            </w:r>
          </w:p>
          <w:p w14:paraId="6631833E" w14:textId="786307B9" w:rsidR="001350B9" w:rsidRPr="00F63989" w:rsidRDefault="00101541" w:rsidP="00F63989">
            <w:pPr>
              <w:tabs>
                <w:tab w:val="clear" w:pos="794"/>
                <w:tab w:val="left" w:pos="390"/>
              </w:tabs>
              <w:spacing w:before="0"/>
              <w:ind w:left="391" w:hanging="391"/>
              <w:rPr>
                <w:sz w:val="22"/>
                <w:szCs w:val="18"/>
              </w:rPr>
            </w:pPr>
            <w:r w:rsidRPr="00F63989">
              <w:rPr>
                <w:sz w:val="22"/>
                <w:szCs w:val="18"/>
              </w:rPr>
              <w:t>–</w:t>
            </w:r>
            <w:r w:rsidR="001350B9" w:rsidRPr="00F63989">
              <w:rPr>
                <w:sz w:val="22"/>
                <w:szCs w:val="18"/>
              </w:rPr>
              <w:tab/>
            </w:r>
            <w:r w:rsidR="008658F7" w:rsidRPr="00F63989">
              <w:rPr>
                <w:sz w:val="22"/>
                <w:szCs w:val="18"/>
              </w:rPr>
              <w:t>los Presidentes y los Vicepresidentes de las Comisiones de Estudio del UIT-T/al GANT;</w:t>
            </w:r>
          </w:p>
          <w:p w14:paraId="1484DD3C" w14:textId="5EA56956" w:rsidR="001350B9" w:rsidRPr="00F63989" w:rsidRDefault="00101541" w:rsidP="00F63989">
            <w:pPr>
              <w:tabs>
                <w:tab w:val="clear" w:pos="794"/>
                <w:tab w:val="left" w:pos="390"/>
              </w:tabs>
              <w:spacing w:before="0"/>
              <w:ind w:left="391" w:hanging="391"/>
              <w:rPr>
                <w:sz w:val="22"/>
                <w:szCs w:val="18"/>
              </w:rPr>
            </w:pPr>
            <w:r w:rsidRPr="00F63989">
              <w:rPr>
                <w:sz w:val="22"/>
                <w:szCs w:val="18"/>
              </w:rPr>
              <w:t>–</w:t>
            </w:r>
            <w:r w:rsidR="001350B9" w:rsidRPr="00F63989">
              <w:rPr>
                <w:sz w:val="22"/>
                <w:szCs w:val="18"/>
              </w:rPr>
              <w:tab/>
            </w:r>
            <w:r w:rsidR="0003385F" w:rsidRPr="00F63989">
              <w:rPr>
                <w:sz w:val="22"/>
                <w:szCs w:val="18"/>
              </w:rPr>
              <w:t>e</w:t>
            </w:r>
            <w:r w:rsidR="008658F7" w:rsidRPr="00F63989">
              <w:rPr>
                <w:sz w:val="22"/>
                <w:szCs w:val="18"/>
              </w:rPr>
              <w:t>l Director de la Oficina de Desarrollo de las Telecomunicaciones;</w:t>
            </w:r>
          </w:p>
          <w:p w14:paraId="4827F600" w14:textId="0D9691E1" w:rsidR="001350B9" w:rsidRPr="00F63989" w:rsidRDefault="00101541" w:rsidP="00F63989">
            <w:pPr>
              <w:tabs>
                <w:tab w:val="clear" w:pos="794"/>
                <w:tab w:val="left" w:pos="390"/>
              </w:tabs>
              <w:spacing w:before="0"/>
              <w:ind w:left="391" w:hanging="391"/>
              <w:rPr>
                <w:sz w:val="22"/>
                <w:szCs w:val="18"/>
              </w:rPr>
            </w:pPr>
            <w:r w:rsidRPr="00F63989">
              <w:rPr>
                <w:sz w:val="22"/>
                <w:szCs w:val="18"/>
              </w:rPr>
              <w:t>–</w:t>
            </w:r>
            <w:r w:rsidR="001350B9" w:rsidRPr="00F63989">
              <w:rPr>
                <w:sz w:val="22"/>
                <w:szCs w:val="18"/>
              </w:rPr>
              <w:tab/>
            </w:r>
            <w:r w:rsidR="0003385F" w:rsidRPr="00F63989">
              <w:rPr>
                <w:sz w:val="22"/>
                <w:szCs w:val="18"/>
              </w:rPr>
              <w:t>e</w:t>
            </w:r>
            <w:r w:rsidR="008658F7" w:rsidRPr="00F63989">
              <w:rPr>
                <w:sz w:val="22"/>
                <w:szCs w:val="18"/>
              </w:rPr>
              <w:t>l Director de la Oficina de Radiocomunicaciones</w:t>
            </w:r>
            <w:r w:rsidR="001350B9" w:rsidRPr="00F63989">
              <w:rPr>
                <w:sz w:val="22"/>
                <w:szCs w:val="18"/>
              </w:rPr>
              <w:t>;</w:t>
            </w:r>
          </w:p>
          <w:p w14:paraId="40154879" w14:textId="616F2F48" w:rsidR="001350B9" w:rsidRPr="00F63989" w:rsidRDefault="00101541" w:rsidP="00F63989">
            <w:pPr>
              <w:tabs>
                <w:tab w:val="clear" w:pos="794"/>
                <w:tab w:val="left" w:pos="390"/>
              </w:tabs>
              <w:spacing w:before="0"/>
              <w:ind w:left="390" w:hanging="390"/>
              <w:rPr>
                <w:sz w:val="22"/>
                <w:szCs w:val="18"/>
              </w:rPr>
            </w:pPr>
            <w:r w:rsidRPr="00F63989">
              <w:rPr>
                <w:sz w:val="22"/>
                <w:szCs w:val="18"/>
              </w:rPr>
              <w:t>–</w:t>
            </w:r>
            <w:r w:rsidR="001350B9" w:rsidRPr="00F63989">
              <w:rPr>
                <w:sz w:val="22"/>
                <w:szCs w:val="18"/>
              </w:rPr>
              <w:tab/>
            </w:r>
            <w:r w:rsidR="008658F7" w:rsidRPr="00F63989">
              <w:rPr>
                <w:sz w:val="22"/>
                <w:szCs w:val="18"/>
              </w:rPr>
              <w:t>la Oficina Regional de la UIT para África</w:t>
            </w:r>
            <w:r w:rsidR="001350B9" w:rsidRPr="00F63989">
              <w:rPr>
                <w:sz w:val="22"/>
                <w:szCs w:val="18"/>
              </w:rPr>
              <w:t>;</w:t>
            </w:r>
          </w:p>
          <w:p w14:paraId="0B8A2812" w14:textId="1DDA30B7" w:rsidR="001350B9" w:rsidRPr="00F63989" w:rsidRDefault="00101541" w:rsidP="00F63989">
            <w:pPr>
              <w:tabs>
                <w:tab w:val="clear" w:pos="794"/>
                <w:tab w:val="left" w:pos="390"/>
              </w:tabs>
              <w:spacing w:before="0"/>
              <w:ind w:left="390" w:hanging="390"/>
              <w:rPr>
                <w:sz w:val="22"/>
                <w:szCs w:val="18"/>
              </w:rPr>
            </w:pPr>
            <w:r w:rsidRPr="00F63989">
              <w:rPr>
                <w:sz w:val="22"/>
                <w:szCs w:val="18"/>
              </w:rPr>
              <w:t>–</w:t>
            </w:r>
            <w:r w:rsidR="001350B9" w:rsidRPr="00F63989">
              <w:rPr>
                <w:sz w:val="22"/>
                <w:szCs w:val="18"/>
              </w:rPr>
              <w:tab/>
            </w:r>
            <w:r w:rsidR="008658F7" w:rsidRPr="00F63989">
              <w:rPr>
                <w:sz w:val="22"/>
                <w:szCs w:val="18"/>
              </w:rPr>
              <w:t>la Oficina Regional de la UIT para Asia y el</w:t>
            </w:r>
            <w:r w:rsidR="003E2F28" w:rsidRPr="00F63989">
              <w:rPr>
                <w:sz w:val="22"/>
                <w:szCs w:val="18"/>
              </w:rPr>
              <w:t> </w:t>
            </w:r>
            <w:r w:rsidR="008658F7" w:rsidRPr="00F63989">
              <w:rPr>
                <w:sz w:val="22"/>
                <w:szCs w:val="18"/>
              </w:rPr>
              <w:t>Pacífico</w:t>
            </w:r>
            <w:r w:rsidR="001350B9" w:rsidRPr="00F63989">
              <w:rPr>
                <w:sz w:val="22"/>
                <w:szCs w:val="18"/>
              </w:rPr>
              <w:t>;</w:t>
            </w:r>
          </w:p>
          <w:p w14:paraId="1277F241" w14:textId="436663F2" w:rsidR="001350B9" w:rsidRPr="00F63989" w:rsidRDefault="00101541" w:rsidP="00F63989">
            <w:pPr>
              <w:tabs>
                <w:tab w:val="clear" w:pos="794"/>
                <w:tab w:val="left" w:pos="390"/>
              </w:tabs>
              <w:spacing w:before="0"/>
              <w:ind w:left="390" w:hanging="390"/>
              <w:rPr>
                <w:sz w:val="22"/>
                <w:szCs w:val="18"/>
              </w:rPr>
            </w:pPr>
            <w:r w:rsidRPr="00F63989">
              <w:rPr>
                <w:sz w:val="22"/>
                <w:szCs w:val="18"/>
              </w:rPr>
              <w:t>–</w:t>
            </w:r>
            <w:r w:rsidR="001350B9" w:rsidRPr="00F63989">
              <w:rPr>
                <w:sz w:val="22"/>
                <w:szCs w:val="18"/>
              </w:rPr>
              <w:tab/>
            </w:r>
            <w:r w:rsidR="008658F7" w:rsidRPr="00F63989">
              <w:rPr>
                <w:sz w:val="22"/>
                <w:szCs w:val="18"/>
              </w:rPr>
              <w:t>la Oficina Regional de la UIT para las Américas;</w:t>
            </w:r>
          </w:p>
          <w:p w14:paraId="38EB9AD6" w14:textId="23FB369C" w:rsidR="008658F7" w:rsidRPr="00F63989" w:rsidRDefault="008658F7" w:rsidP="00F63989">
            <w:pPr>
              <w:tabs>
                <w:tab w:val="clear" w:pos="794"/>
                <w:tab w:val="left" w:pos="390"/>
              </w:tabs>
              <w:spacing w:before="0"/>
              <w:ind w:left="390" w:hanging="390"/>
              <w:rPr>
                <w:sz w:val="22"/>
                <w:szCs w:val="18"/>
              </w:rPr>
            </w:pPr>
            <w:r w:rsidRPr="00F63989">
              <w:rPr>
                <w:sz w:val="22"/>
                <w:szCs w:val="18"/>
              </w:rPr>
              <w:t>–</w:t>
            </w:r>
            <w:r w:rsidRPr="00F63989">
              <w:rPr>
                <w:sz w:val="22"/>
                <w:szCs w:val="18"/>
              </w:rPr>
              <w:tab/>
              <w:t>la Oficina Regional para los Estados Árabes;</w:t>
            </w:r>
          </w:p>
          <w:p w14:paraId="70D70E9D" w14:textId="54E1FAB9" w:rsidR="008658F7" w:rsidRPr="00F63989" w:rsidRDefault="008658F7" w:rsidP="00F63989">
            <w:pPr>
              <w:tabs>
                <w:tab w:val="clear" w:pos="794"/>
                <w:tab w:val="left" w:pos="390"/>
              </w:tabs>
              <w:spacing w:before="0"/>
              <w:ind w:left="390" w:hanging="390"/>
              <w:rPr>
                <w:sz w:val="22"/>
                <w:szCs w:val="18"/>
              </w:rPr>
            </w:pPr>
            <w:r w:rsidRPr="00F63989">
              <w:rPr>
                <w:sz w:val="22"/>
                <w:szCs w:val="18"/>
              </w:rPr>
              <w:t>–</w:t>
            </w:r>
            <w:r w:rsidRPr="00F63989">
              <w:rPr>
                <w:sz w:val="22"/>
                <w:szCs w:val="18"/>
              </w:rPr>
              <w:tab/>
              <w:t>la Oficina Regional de la UIT para la CEI;</w:t>
            </w:r>
          </w:p>
          <w:p w14:paraId="4E2FF369" w14:textId="01FEB39E" w:rsidR="008658F7" w:rsidRPr="00F63989" w:rsidRDefault="008658F7" w:rsidP="00F63989">
            <w:pPr>
              <w:tabs>
                <w:tab w:val="clear" w:pos="794"/>
                <w:tab w:val="left" w:pos="390"/>
              </w:tabs>
              <w:spacing w:before="0"/>
              <w:ind w:left="390" w:hanging="390"/>
              <w:rPr>
                <w:sz w:val="22"/>
                <w:szCs w:val="18"/>
              </w:rPr>
            </w:pPr>
            <w:r w:rsidRPr="00F63989">
              <w:rPr>
                <w:sz w:val="22"/>
                <w:szCs w:val="18"/>
              </w:rPr>
              <w:t>–</w:t>
            </w:r>
            <w:r w:rsidRPr="00F63989">
              <w:rPr>
                <w:sz w:val="22"/>
                <w:szCs w:val="18"/>
              </w:rPr>
              <w:tab/>
              <w:t>la Oficina Regional de la UIT para Europa</w:t>
            </w:r>
          </w:p>
        </w:tc>
      </w:tr>
      <w:tr w:rsidR="00BD67C8" w:rsidRPr="00F63989" w14:paraId="32D22D03" w14:textId="77777777" w:rsidTr="00F63989">
        <w:trPr>
          <w:cantSplit/>
          <w:trHeight w:val="340"/>
        </w:trPr>
        <w:tc>
          <w:tcPr>
            <w:tcW w:w="1418" w:type="dxa"/>
          </w:tcPr>
          <w:p w14:paraId="26D080AC" w14:textId="56202287" w:rsidR="00BD67C8" w:rsidRPr="00F63989" w:rsidRDefault="00BD67C8" w:rsidP="00101541">
            <w:pPr>
              <w:spacing w:before="40" w:after="40"/>
              <w:rPr>
                <w:sz w:val="22"/>
                <w:szCs w:val="18"/>
              </w:rPr>
            </w:pPr>
            <w:r w:rsidRPr="00F63989">
              <w:rPr>
                <w:sz w:val="22"/>
                <w:szCs w:val="18"/>
              </w:rPr>
              <w:t>Contacto</w:t>
            </w:r>
            <w:r w:rsidR="0003385F" w:rsidRPr="00F63989">
              <w:rPr>
                <w:sz w:val="22"/>
                <w:szCs w:val="18"/>
              </w:rPr>
              <w:t>:</w:t>
            </w:r>
          </w:p>
        </w:tc>
        <w:tc>
          <w:tcPr>
            <w:tcW w:w="3611" w:type="dxa"/>
          </w:tcPr>
          <w:p w14:paraId="27E4FE15" w14:textId="574A20CD" w:rsidR="00BD67C8" w:rsidRPr="00F63989" w:rsidRDefault="00BD67C8" w:rsidP="008658F7">
            <w:pPr>
              <w:spacing w:before="40"/>
              <w:rPr>
                <w:sz w:val="22"/>
                <w:szCs w:val="18"/>
              </w:rPr>
            </w:pPr>
            <w:r w:rsidRPr="00F63989">
              <w:rPr>
                <w:sz w:val="22"/>
                <w:szCs w:val="18"/>
              </w:rPr>
              <w:t>Sr. Bilel Jamoussi</w:t>
            </w:r>
          </w:p>
        </w:tc>
        <w:tc>
          <w:tcPr>
            <w:tcW w:w="5327" w:type="dxa"/>
            <w:vMerge/>
          </w:tcPr>
          <w:p w14:paraId="16F43CEE" w14:textId="77777777" w:rsidR="00BD67C8" w:rsidRPr="00F63989" w:rsidRDefault="00BD67C8" w:rsidP="00101541">
            <w:pPr>
              <w:spacing w:before="40" w:after="40"/>
              <w:rPr>
                <w:b/>
                <w:bCs/>
                <w:sz w:val="22"/>
                <w:szCs w:val="18"/>
              </w:rPr>
            </w:pPr>
          </w:p>
        </w:tc>
      </w:tr>
      <w:tr w:rsidR="001350B9" w:rsidRPr="00F63989" w14:paraId="1A010FF9" w14:textId="77777777" w:rsidTr="00F63989">
        <w:trPr>
          <w:cantSplit/>
        </w:trPr>
        <w:tc>
          <w:tcPr>
            <w:tcW w:w="1418" w:type="dxa"/>
          </w:tcPr>
          <w:p w14:paraId="48F92A24" w14:textId="77777777" w:rsidR="001350B9" w:rsidRPr="00F63989" w:rsidRDefault="001350B9" w:rsidP="00101541">
            <w:pPr>
              <w:spacing w:before="40" w:after="40"/>
              <w:rPr>
                <w:sz w:val="22"/>
                <w:szCs w:val="18"/>
              </w:rPr>
            </w:pPr>
            <w:r w:rsidRPr="00F63989">
              <w:rPr>
                <w:sz w:val="22"/>
                <w:szCs w:val="18"/>
              </w:rPr>
              <w:t>Tel.:</w:t>
            </w:r>
          </w:p>
        </w:tc>
        <w:tc>
          <w:tcPr>
            <w:tcW w:w="3611" w:type="dxa"/>
          </w:tcPr>
          <w:p w14:paraId="19D29048" w14:textId="26A7F175" w:rsidR="001350B9" w:rsidRPr="00F63989" w:rsidRDefault="001350B9" w:rsidP="00101541">
            <w:pPr>
              <w:spacing w:before="40" w:after="40"/>
              <w:rPr>
                <w:sz w:val="22"/>
                <w:szCs w:val="18"/>
              </w:rPr>
            </w:pPr>
            <w:r w:rsidRPr="00F63989">
              <w:rPr>
                <w:sz w:val="22"/>
                <w:szCs w:val="18"/>
              </w:rPr>
              <w:t>+41 22 730</w:t>
            </w:r>
            <w:r w:rsidR="008658F7" w:rsidRPr="00F63989">
              <w:rPr>
                <w:sz w:val="22"/>
                <w:szCs w:val="18"/>
              </w:rPr>
              <w:t xml:space="preserve"> 6311</w:t>
            </w:r>
          </w:p>
        </w:tc>
        <w:tc>
          <w:tcPr>
            <w:tcW w:w="5327" w:type="dxa"/>
            <w:vMerge/>
          </w:tcPr>
          <w:p w14:paraId="3DF5CE88" w14:textId="77777777" w:rsidR="001350B9" w:rsidRPr="00F63989" w:rsidRDefault="001350B9" w:rsidP="00303D62">
            <w:pPr>
              <w:tabs>
                <w:tab w:val="left" w:pos="226"/>
                <w:tab w:val="left" w:pos="510"/>
              </w:tabs>
              <w:spacing w:before="0"/>
              <w:ind w:left="226" w:hanging="169"/>
              <w:rPr>
                <w:b/>
                <w:sz w:val="22"/>
                <w:szCs w:val="18"/>
              </w:rPr>
            </w:pPr>
          </w:p>
        </w:tc>
      </w:tr>
      <w:tr w:rsidR="001350B9" w:rsidRPr="00F63989" w14:paraId="07D56EDD" w14:textId="77777777" w:rsidTr="00F63989">
        <w:trPr>
          <w:cantSplit/>
        </w:trPr>
        <w:tc>
          <w:tcPr>
            <w:tcW w:w="1418" w:type="dxa"/>
          </w:tcPr>
          <w:p w14:paraId="35CE91C2" w14:textId="77777777" w:rsidR="001350B9" w:rsidRPr="00F63989" w:rsidRDefault="001350B9" w:rsidP="00101541">
            <w:pPr>
              <w:spacing w:before="40" w:after="40"/>
              <w:rPr>
                <w:sz w:val="22"/>
                <w:szCs w:val="18"/>
              </w:rPr>
            </w:pPr>
            <w:r w:rsidRPr="00F63989">
              <w:rPr>
                <w:sz w:val="22"/>
                <w:szCs w:val="18"/>
              </w:rPr>
              <w:t>Fax:</w:t>
            </w:r>
          </w:p>
        </w:tc>
        <w:tc>
          <w:tcPr>
            <w:tcW w:w="3611" w:type="dxa"/>
          </w:tcPr>
          <w:p w14:paraId="50BA9232" w14:textId="77777777" w:rsidR="001350B9" w:rsidRPr="00F63989" w:rsidRDefault="001350B9" w:rsidP="00101541">
            <w:pPr>
              <w:spacing w:before="40" w:after="40"/>
              <w:rPr>
                <w:sz w:val="22"/>
                <w:szCs w:val="18"/>
              </w:rPr>
            </w:pPr>
            <w:r w:rsidRPr="00F63989">
              <w:rPr>
                <w:sz w:val="22"/>
                <w:szCs w:val="18"/>
              </w:rPr>
              <w:t>+41 22 730 5853</w:t>
            </w:r>
          </w:p>
        </w:tc>
        <w:tc>
          <w:tcPr>
            <w:tcW w:w="5327" w:type="dxa"/>
            <w:vMerge/>
          </w:tcPr>
          <w:p w14:paraId="20877663" w14:textId="77777777" w:rsidR="001350B9" w:rsidRPr="00F63989" w:rsidRDefault="001350B9" w:rsidP="00303D62">
            <w:pPr>
              <w:tabs>
                <w:tab w:val="left" w:pos="226"/>
                <w:tab w:val="left" w:pos="510"/>
              </w:tabs>
              <w:spacing w:before="0"/>
              <w:ind w:left="226" w:hanging="169"/>
              <w:rPr>
                <w:b/>
                <w:sz w:val="22"/>
                <w:szCs w:val="18"/>
              </w:rPr>
            </w:pPr>
          </w:p>
        </w:tc>
      </w:tr>
      <w:tr w:rsidR="001350B9" w:rsidRPr="00F63989" w14:paraId="30FF827C" w14:textId="77777777" w:rsidTr="00F63989">
        <w:trPr>
          <w:cantSplit/>
          <w:trHeight w:val="2735"/>
        </w:trPr>
        <w:tc>
          <w:tcPr>
            <w:tcW w:w="1418" w:type="dxa"/>
          </w:tcPr>
          <w:p w14:paraId="220ABEEC" w14:textId="1EBB39FD" w:rsidR="001350B9" w:rsidRPr="00F63989" w:rsidRDefault="001350B9" w:rsidP="00101541">
            <w:pPr>
              <w:spacing w:before="40" w:after="40"/>
              <w:rPr>
                <w:sz w:val="22"/>
                <w:szCs w:val="18"/>
              </w:rPr>
            </w:pPr>
            <w:r w:rsidRPr="00F63989">
              <w:rPr>
                <w:sz w:val="22"/>
                <w:szCs w:val="18"/>
              </w:rPr>
              <w:t>Correo-e:</w:t>
            </w:r>
          </w:p>
        </w:tc>
        <w:tc>
          <w:tcPr>
            <w:tcW w:w="3611" w:type="dxa"/>
          </w:tcPr>
          <w:p w14:paraId="114B24C6" w14:textId="26C810C3" w:rsidR="001350B9" w:rsidRPr="00F63989" w:rsidRDefault="008E6656" w:rsidP="00101541">
            <w:pPr>
              <w:spacing w:before="40" w:after="40"/>
              <w:rPr>
                <w:sz w:val="22"/>
                <w:szCs w:val="18"/>
              </w:rPr>
            </w:pPr>
            <w:hyperlink r:id="rId9" w:history="1">
              <w:r w:rsidR="008658F7" w:rsidRPr="00F63989">
                <w:rPr>
                  <w:rStyle w:val="Hyperlink"/>
                  <w:sz w:val="22"/>
                  <w:szCs w:val="18"/>
                </w:rPr>
                <w:t>gss@itu.int</w:t>
              </w:r>
            </w:hyperlink>
          </w:p>
        </w:tc>
        <w:tc>
          <w:tcPr>
            <w:tcW w:w="5327" w:type="dxa"/>
            <w:vMerge/>
          </w:tcPr>
          <w:p w14:paraId="0ACE8CE2" w14:textId="77777777" w:rsidR="001350B9" w:rsidRPr="00F63989" w:rsidRDefault="001350B9" w:rsidP="00303D62">
            <w:pPr>
              <w:tabs>
                <w:tab w:val="clear" w:pos="794"/>
                <w:tab w:val="clear" w:pos="1191"/>
                <w:tab w:val="clear" w:pos="1588"/>
                <w:tab w:val="clear" w:pos="1985"/>
                <w:tab w:val="left" w:pos="226"/>
                <w:tab w:val="left" w:pos="510"/>
              </w:tabs>
              <w:spacing w:before="0"/>
              <w:ind w:left="226" w:hanging="169"/>
              <w:rPr>
                <w:sz w:val="22"/>
                <w:szCs w:val="18"/>
              </w:rPr>
            </w:pPr>
          </w:p>
        </w:tc>
      </w:tr>
      <w:tr w:rsidR="007B6316" w:rsidRPr="00F63989" w14:paraId="7F4E66DD" w14:textId="77777777" w:rsidTr="00F63989">
        <w:trPr>
          <w:cantSplit/>
        </w:trPr>
        <w:tc>
          <w:tcPr>
            <w:tcW w:w="1418" w:type="dxa"/>
          </w:tcPr>
          <w:p w14:paraId="7BBE0879" w14:textId="77777777" w:rsidR="007B6316" w:rsidRPr="00F63989" w:rsidRDefault="007B6316" w:rsidP="00F63989">
            <w:pPr>
              <w:spacing w:before="60"/>
              <w:rPr>
                <w:sz w:val="22"/>
                <w:szCs w:val="18"/>
              </w:rPr>
            </w:pPr>
            <w:r w:rsidRPr="00F63989">
              <w:rPr>
                <w:b/>
                <w:bCs/>
                <w:sz w:val="22"/>
                <w:szCs w:val="18"/>
              </w:rPr>
              <w:t>Asunto</w:t>
            </w:r>
            <w:r w:rsidRPr="00F63989">
              <w:rPr>
                <w:sz w:val="22"/>
                <w:szCs w:val="18"/>
              </w:rPr>
              <w:t>:</w:t>
            </w:r>
          </w:p>
        </w:tc>
        <w:tc>
          <w:tcPr>
            <w:tcW w:w="8938" w:type="dxa"/>
            <w:gridSpan w:val="2"/>
          </w:tcPr>
          <w:p w14:paraId="445801EB" w14:textId="602CEBFE" w:rsidR="007B6316" w:rsidRPr="00F63989" w:rsidRDefault="008658F7" w:rsidP="00F63989">
            <w:pPr>
              <w:spacing w:before="60"/>
              <w:rPr>
                <w:sz w:val="22"/>
                <w:szCs w:val="18"/>
              </w:rPr>
            </w:pPr>
            <w:r w:rsidRPr="00F63989">
              <w:rPr>
                <w:b/>
                <w:bCs/>
                <w:sz w:val="22"/>
                <w:szCs w:val="18"/>
              </w:rPr>
              <w:t xml:space="preserve">Subsidio de viaje para el Simposio Mundial de Normalización (SMN-24): </w:t>
            </w:r>
            <w:r w:rsidR="00BD67C8" w:rsidRPr="00F63989">
              <w:rPr>
                <w:b/>
                <w:bCs/>
                <w:sz w:val="22"/>
                <w:szCs w:val="18"/>
              </w:rPr>
              <w:t>"</w:t>
            </w:r>
            <w:r w:rsidRPr="00F63989">
              <w:rPr>
                <w:b/>
                <w:bCs/>
                <w:sz w:val="22"/>
                <w:szCs w:val="18"/>
              </w:rPr>
              <w:t>Trazar la próxima ola digital: tecnologías emergentes, innovación y normas internacionales</w:t>
            </w:r>
            <w:r w:rsidR="00BD67C8" w:rsidRPr="00F63989">
              <w:rPr>
                <w:b/>
                <w:bCs/>
                <w:sz w:val="22"/>
                <w:szCs w:val="18"/>
              </w:rPr>
              <w:t>"</w:t>
            </w:r>
            <w:r w:rsidR="0003385F" w:rsidRPr="00F63989">
              <w:rPr>
                <w:b/>
                <w:bCs/>
                <w:sz w:val="22"/>
                <w:szCs w:val="18"/>
              </w:rPr>
              <w:br/>
            </w:r>
            <w:r w:rsidRPr="00F63989">
              <w:rPr>
                <w:b/>
                <w:bCs/>
                <w:sz w:val="22"/>
                <w:szCs w:val="18"/>
              </w:rPr>
              <w:t>Nueva Delhi (India), 14 de octubre de 2024</w:t>
            </w:r>
          </w:p>
        </w:tc>
      </w:tr>
    </w:tbl>
    <w:p w14:paraId="7DCD2BF6" w14:textId="69597CB2" w:rsidR="00C34772" w:rsidRPr="00F63989" w:rsidRDefault="00C34772" w:rsidP="00F63989">
      <w:pPr>
        <w:pStyle w:val="Normalaftertitle"/>
        <w:spacing w:before="120"/>
        <w:rPr>
          <w:sz w:val="22"/>
          <w:szCs w:val="18"/>
        </w:rPr>
      </w:pPr>
      <w:bookmarkStart w:id="1" w:name="StartTyping_S"/>
      <w:bookmarkStart w:id="2" w:name="suitetext"/>
      <w:bookmarkStart w:id="3" w:name="text"/>
      <w:bookmarkEnd w:id="1"/>
      <w:bookmarkEnd w:id="2"/>
      <w:bookmarkEnd w:id="3"/>
      <w:r w:rsidRPr="00F63989">
        <w:rPr>
          <w:sz w:val="22"/>
          <w:szCs w:val="18"/>
        </w:rPr>
        <w:t>Muy Señora mía/Muy Señor mío</w:t>
      </w:r>
      <w:r w:rsidR="00F63989">
        <w:rPr>
          <w:sz w:val="22"/>
          <w:szCs w:val="18"/>
        </w:rPr>
        <w:t>,</w:t>
      </w:r>
    </w:p>
    <w:p w14:paraId="76A0BE20" w14:textId="3152A442" w:rsidR="008658F7" w:rsidRPr="00F63989" w:rsidRDefault="008658F7" w:rsidP="0003385F">
      <w:pPr>
        <w:rPr>
          <w:rFonts w:cstheme="minorHAnsi"/>
          <w:sz w:val="22"/>
          <w:szCs w:val="18"/>
        </w:rPr>
      </w:pPr>
      <w:r w:rsidRPr="00F63989">
        <w:rPr>
          <w:sz w:val="22"/>
          <w:szCs w:val="18"/>
        </w:rPr>
        <w:t xml:space="preserve">En relación con la </w:t>
      </w:r>
      <w:hyperlink r:id="rId10" w:history="1">
        <w:r w:rsidRPr="00F63989">
          <w:rPr>
            <w:rStyle w:val="Hyperlink"/>
            <w:sz w:val="22"/>
            <w:szCs w:val="22"/>
          </w:rPr>
          <w:t>Circul</w:t>
        </w:r>
        <w:r w:rsidRPr="00F63989">
          <w:rPr>
            <w:rStyle w:val="Hyperlink"/>
            <w:sz w:val="22"/>
            <w:szCs w:val="22"/>
          </w:rPr>
          <w:t>a</w:t>
        </w:r>
        <w:r w:rsidRPr="00F63989">
          <w:rPr>
            <w:rStyle w:val="Hyperlink"/>
            <w:sz w:val="22"/>
            <w:szCs w:val="22"/>
          </w:rPr>
          <w:t>r</w:t>
        </w:r>
        <w:r w:rsidR="0003385F" w:rsidRPr="00F63989">
          <w:rPr>
            <w:rStyle w:val="Hyperlink"/>
            <w:sz w:val="22"/>
            <w:szCs w:val="22"/>
          </w:rPr>
          <w:t> </w:t>
        </w:r>
        <w:r w:rsidRPr="00F63989">
          <w:rPr>
            <w:rStyle w:val="Hyperlink"/>
            <w:sz w:val="22"/>
            <w:szCs w:val="22"/>
          </w:rPr>
          <w:t>TSB</w:t>
        </w:r>
        <w:r w:rsidR="0003385F" w:rsidRPr="00F63989">
          <w:rPr>
            <w:rStyle w:val="Hyperlink"/>
            <w:sz w:val="22"/>
            <w:szCs w:val="22"/>
          </w:rPr>
          <w:t> </w:t>
        </w:r>
        <w:r w:rsidRPr="00F63989">
          <w:rPr>
            <w:rStyle w:val="Hyperlink"/>
            <w:sz w:val="22"/>
            <w:szCs w:val="22"/>
          </w:rPr>
          <w:t>178</w:t>
        </w:r>
      </w:hyperlink>
      <w:r w:rsidRPr="00F63989">
        <w:rPr>
          <w:sz w:val="22"/>
          <w:szCs w:val="18"/>
        </w:rPr>
        <w:t xml:space="preserve">, de fecha 7 de marzo de 2024, me complace informarle de que se ofrecerá un número limitado de subsidios de viaje a altos representantes gubernamentales (por ejemplo, ministros y viceministros) de países en desarrollo y países menos adelantados (PMA) para participar en el segmento de alto nivel del Simposio Mundial de Normalización (SMN-24): </w:t>
      </w:r>
      <w:r w:rsidR="00BD67C8" w:rsidRPr="00F63989">
        <w:rPr>
          <w:sz w:val="22"/>
          <w:szCs w:val="18"/>
        </w:rPr>
        <w:t>"</w:t>
      </w:r>
      <w:r w:rsidRPr="00F63989">
        <w:rPr>
          <w:sz w:val="22"/>
          <w:szCs w:val="18"/>
        </w:rPr>
        <w:t>Trazar la próxima ola digital: tecnologías emergentes, innovación y normas internacionales</w:t>
      </w:r>
      <w:r w:rsidR="00BD67C8" w:rsidRPr="00F63989">
        <w:rPr>
          <w:sz w:val="22"/>
          <w:szCs w:val="18"/>
        </w:rPr>
        <w:t>"</w:t>
      </w:r>
      <w:r w:rsidRPr="00F63989">
        <w:rPr>
          <w:sz w:val="22"/>
          <w:szCs w:val="18"/>
        </w:rPr>
        <w:t>, que tendrá lugar el 14 de octubre de 2024 en el Centro de Convenciones Bharat Mandapam, Pragati Maidan, Nueva Delhi (India).</w:t>
      </w:r>
    </w:p>
    <w:p w14:paraId="0FAACF82" w14:textId="3AF6B2E2" w:rsidR="008658F7" w:rsidRPr="00F63989" w:rsidRDefault="008658F7" w:rsidP="0003385F">
      <w:pPr>
        <w:rPr>
          <w:rFonts w:cstheme="minorHAnsi"/>
          <w:sz w:val="22"/>
          <w:szCs w:val="18"/>
        </w:rPr>
      </w:pPr>
      <w:r w:rsidRPr="00F63989">
        <w:rPr>
          <w:sz w:val="22"/>
          <w:szCs w:val="18"/>
        </w:rPr>
        <w:t>Tengo asimismo el placer de comunicarle que el subsidio de viaje (que cuenta con el amable apoyo de Japón) para el Simposio cubrirá el coste de un billete de avión de ida y vuelta por la ruta más directa y económica, con salida desde el país de domicilio y con llegada a Nueva Delhi.</w:t>
      </w:r>
    </w:p>
    <w:p w14:paraId="26E767B3" w14:textId="68C463B0" w:rsidR="008658F7" w:rsidRPr="00F63989" w:rsidRDefault="008658F7" w:rsidP="0003385F">
      <w:pPr>
        <w:rPr>
          <w:rFonts w:cstheme="minorHAnsi"/>
          <w:sz w:val="22"/>
          <w:szCs w:val="18"/>
        </w:rPr>
      </w:pPr>
      <w:r w:rsidRPr="00F63989">
        <w:rPr>
          <w:sz w:val="22"/>
          <w:szCs w:val="18"/>
        </w:rPr>
        <w:t>En cuanto al alojamiento, el Gobierno de la India ha ofrecido generosamente alojamiento gratuito para el periodo comprendido entre el 13 y el 16 de octubre de 2024.</w:t>
      </w:r>
    </w:p>
    <w:p w14:paraId="1681FDB8" w14:textId="3948F720" w:rsidR="008658F7" w:rsidRPr="00F63989" w:rsidRDefault="008658F7" w:rsidP="0003385F">
      <w:pPr>
        <w:rPr>
          <w:rFonts w:cstheme="minorHAnsi"/>
          <w:sz w:val="22"/>
          <w:szCs w:val="18"/>
        </w:rPr>
      </w:pPr>
      <w:r w:rsidRPr="00F63989">
        <w:rPr>
          <w:sz w:val="22"/>
          <w:szCs w:val="18"/>
        </w:rPr>
        <w:t>Tenga en cuenta que los Estados Miembros deberán asumir a su cargo cualquier coste adicional asociado a su participación en el Simposio (por ejemplo, comidas, transporte desde el hotel hasta el lugar donde se celebra la conferencia, etc.).</w:t>
      </w:r>
    </w:p>
    <w:p w14:paraId="13EF3E75" w14:textId="18EE8FAA" w:rsidR="008658F7" w:rsidRPr="00F63989" w:rsidRDefault="008658F7" w:rsidP="00CA02E3">
      <w:pPr>
        <w:keepNext/>
        <w:keepLines/>
        <w:rPr>
          <w:rFonts w:cstheme="minorHAnsi"/>
          <w:sz w:val="22"/>
          <w:szCs w:val="18"/>
        </w:rPr>
      </w:pPr>
      <w:r w:rsidRPr="00F63989">
        <w:rPr>
          <w:sz w:val="22"/>
          <w:szCs w:val="18"/>
        </w:rPr>
        <w:t xml:space="preserve">En el </w:t>
      </w:r>
      <w:hyperlink r:id="rId11">
        <w:r w:rsidRPr="00F63989">
          <w:rPr>
            <w:rStyle w:val="Hyperlink"/>
            <w:sz w:val="22"/>
            <w:szCs w:val="18"/>
          </w:rPr>
          <w:t>sitio web del S</w:t>
        </w:r>
        <w:r w:rsidRPr="00F63989">
          <w:rPr>
            <w:rStyle w:val="Hyperlink"/>
            <w:sz w:val="22"/>
            <w:szCs w:val="18"/>
          </w:rPr>
          <w:t>M</w:t>
        </w:r>
        <w:r w:rsidRPr="00F63989">
          <w:rPr>
            <w:rStyle w:val="Hyperlink"/>
            <w:sz w:val="22"/>
            <w:szCs w:val="18"/>
          </w:rPr>
          <w:t>N</w:t>
        </w:r>
      </w:hyperlink>
      <w:r w:rsidRPr="00F63989">
        <w:rPr>
          <w:sz w:val="22"/>
          <w:szCs w:val="18"/>
        </w:rPr>
        <w:t xml:space="preserve"> encontrará más información sobre el SMN-24, incluido el proyecto de programa.</w:t>
      </w:r>
    </w:p>
    <w:p w14:paraId="5C3BD456" w14:textId="31905907" w:rsidR="008658F7" w:rsidRPr="00F63989" w:rsidRDefault="008658F7" w:rsidP="0003385F">
      <w:pPr>
        <w:rPr>
          <w:rFonts w:cstheme="minorHAnsi"/>
          <w:sz w:val="22"/>
          <w:szCs w:val="18"/>
        </w:rPr>
      </w:pPr>
      <w:r w:rsidRPr="00F63989">
        <w:rPr>
          <w:sz w:val="22"/>
          <w:szCs w:val="18"/>
        </w:rPr>
        <w:t xml:space="preserve">Pueden consultarse los criterios y demás información en el </w:t>
      </w:r>
      <w:r w:rsidRPr="00F63989">
        <w:rPr>
          <w:b/>
          <w:bCs/>
          <w:sz w:val="22"/>
          <w:szCs w:val="18"/>
        </w:rPr>
        <w:t>Anexo</w:t>
      </w:r>
      <w:r w:rsidR="0003385F" w:rsidRPr="00F63989">
        <w:rPr>
          <w:b/>
          <w:bCs/>
          <w:sz w:val="22"/>
          <w:szCs w:val="18"/>
        </w:rPr>
        <w:t> </w:t>
      </w:r>
      <w:r w:rsidRPr="00F63989">
        <w:rPr>
          <w:b/>
          <w:bCs/>
          <w:sz w:val="22"/>
          <w:szCs w:val="18"/>
        </w:rPr>
        <w:t>1</w:t>
      </w:r>
      <w:r w:rsidRPr="00F63989">
        <w:rPr>
          <w:sz w:val="22"/>
          <w:szCs w:val="18"/>
        </w:rPr>
        <w:t>.</w:t>
      </w:r>
    </w:p>
    <w:p w14:paraId="05E4707F" w14:textId="01D7CE53" w:rsidR="007B6316" w:rsidRPr="00F63989" w:rsidRDefault="007B6316" w:rsidP="007B6316">
      <w:pPr>
        <w:rPr>
          <w:sz w:val="22"/>
          <w:szCs w:val="18"/>
        </w:rPr>
      </w:pPr>
      <w:r w:rsidRPr="00F63989">
        <w:rPr>
          <w:sz w:val="22"/>
          <w:szCs w:val="18"/>
        </w:rPr>
        <w:t>Atentamente,</w:t>
      </w:r>
    </w:p>
    <w:p w14:paraId="0B0286BE" w14:textId="09B43132" w:rsidR="00401C20" w:rsidRPr="00F63989" w:rsidRDefault="008E6656" w:rsidP="00F63989">
      <w:pPr>
        <w:spacing w:before="720"/>
        <w:rPr>
          <w:sz w:val="22"/>
          <w:szCs w:val="18"/>
        </w:rPr>
      </w:pPr>
      <w:r>
        <w:rPr>
          <w:rFonts w:cstheme="minorHAnsi"/>
          <w:noProof/>
          <w:sz w:val="22"/>
        </w:rPr>
        <w:drawing>
          <wp:anchor distT="0" distB="0" distL="114300" distR="114300" simplePos="0" relativeHeight="251658240" behindDoc="1" locked="0" layoutInCell="1" allowOverlap="1" wp14:anchorId="641328C7" wp14:editId="6F4CB01E">
            <wp:simplePos x="0" y="0"/>
            <wp:positionH relativeFrom="column">
              <wp:posOffset>-34290</wp:posOffset>
            </wp:positionH>
            <wp:positionV relativeFrom="paragraph">
              <wp:posOffset>120015</wp:posOffset>
            </wp:positionV>
            <wp:extent cx="719057" cy="323850"/>
            <wp:effectExtent l="0" t="0" r="5080" b="0"/>
            <wp:wrapNone/>
            <wp:docPr id="1815659275"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59275" name="Picture 1" descr="A black and blu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19057" cy="323850"/>
                    </a:xfrm>
                    <a:prstGeom prst="rect">
                      <a:avLst/>
                    </a:prstGeom>
                  </pic:spPr>
                </pic:pic>
              </a:graphicData>
            </a:graphic>
            <wp14:sizeRelH relativeFrom="margin">
              <wp14:pctWidth>0</wp14:pctWidth>
            </wp14:sizeRelH>
            <wp14:sizeRelV relativeFrom="margin">
              <wp14:pctHeight>0</wp14:pctHeight>
            </wp14:sizeRelV>
          </wp:anchor>
        </w:drawing>
      </w:r>
      <w:r w:rsidR="001350B9" w:rsidRPr="00F63989">
        <w:rPr>
          <w:rFonts w:cstheme="minorHAnsi"/>
          <w:sz w:val="22"/>
        </w:rPr>
        <w:t>Seizo Onoe</w:t>
      </w:r>
      <w:r w:rsidR="007B6316" w:rsidRPr="00F63989">
        <w:rPr>
          <w:sz w:val="22"/>
          <w:szCs w:val="18"/>
        </w:rPr>
        <w:br/>
      </w:r>
      <w:proofErr w:type="gramStart"/>
      <w:r w:rsidR="007B6316" w:rsidRPr="00F63989">
        <w:rPr>
          <w:sz w:val="22"/>
          <w:szCs w:val="18"/>
        </w:rPr>
        <w:t>Director</w:t>
      </w:r>
      <w:proofErr w:type="gramEnd"/>
      <w:r w:rsidR="007B6316" w:rsidRPr="00F63989">
        <w:rPr>
          <w:sz w:val="22"/>
          <w:szCs w:val="18"/>
        </w:rPr>
        <w:t xml:space="preserve"> de la Oficina de </w:t>
      </w:r>
      <w:r w:rsidR="007B6316" w:rsidRPr="00F63989">
        <w:rPr>
          <w:sz w:val="22"/>
          <w:szCs w:val="18"/>
        </w:rPr>
        <w:br/>
        <w:t>Normalización de las Telecomunicaciones</w:t>
      </w:r>
    </w:p>
    <w:p w14:paraId="4B988BF9" w14:textId="110C02AA" w:rsidR="00CA02E3" w:rsidRPr="00F63989" w:rsidRDefault="00CA02E3" w:rsidP="00F63989">
      <w:pPr>
        <w:spacing w:before="240"/>
        <w:rPr>
          <w:sz w:val="22"/>
          <w:szCs w:val="18"/>
        </w:rPr>
      </w:pPr>
      <w:r w:rsidRPr="00F63989">
        <w:rPr>
          <w:b/>
          <w:bCs/>
          <w:sz w:val="22"/>
          <w:szCs w:val="18"/>
        </w:rPr>
        <w:t>Anexo:</w:t>
      </w:r>
      <w:r w:rsidRPr="00F63989">
        <w:rPr>
          <w:sz w:val="22"/>
          <w:szCs w:val="18"/>
        </w:rPr>
        <w:t xml:space="preserve"> 1</w:t>
      </w:r>
    </w:p>
    <w:p w14:paraId="30349C5C" w14:textId="355E8157" w:rsidR="008658F7" w:rsidRPr="00BD67C8" w:rsidRDefault="008658F7" w:rsidP="0061249B">
      <w:pPr>
        <w:pStyle w:val="AnnexNotitle"/>
        <w:rPr>
          <w:rFonts w:cs="Calibri"/>
          <w:szCs w:val="28"/>
        </w:rPr>
      </w:pPr>
      <w:r w:rsidRPr="00BD67C8">
        <w:lastRenderedPageBreak/>
        <w:t>Anexo 1</w:t>
      </w:r>
      <w:r w:rsidR="0003385F">
        <w:br/>
      </w:r>
      <w:r w:rsidR="0061249B" w:rsidRPr="00BD67C8">
        <w:br/>
      </w:r>
      <w:r w:rsidRPr="00BD67C8">
        <w:t xml:space="preserve">Criterios de concesión de subsidios de viaje para el </w:t>
      </w:r>
      <w:r w:rsidR="0003385F">
        <w:br/>
      </w:r>
      <w:r w:rsidRPr="00BD67C8">
        <w:t>Simposio Mundial de Normalización (SMN-24)</w:t>
      </w:r>
    </w:p>
    <w:p w14:paraId="6D5F5374" w14:textId="77777777" w:rsidR="008658F7" w:rsidRPr="00F63989" w:rsidRDefault="008658F7" w:rsidP="0061249B">
      <w:pPr>
        <w:pStyle w:val="Heading1"/>
        <w:rPr>
          <w:rFonts w:cstheme="minorHAnsi"/>
          <w:sz w:val="22"/>
          <w:szCs w:val="22"/>
        </w:rPr>
      </w:pPr>
      <w:r w:rsidRPr="00F63989">
        <w:rPr>
          <w:sz w:val="22"/>
          <w:szCs w:val="22"/>
        </w:rPr>
        <w:t>1</w:t>
      </w:r>
      <w:r w:rsidRPr="00F63989">
        <w:rPr>
          <w:sz w:val="22"/>
          <w:szCs w:val="22"/>
        </w:rPr>
        <w:tab/>
      </w:r>
      <w:proofErr w:type="gramStart"/>
      <w:r w:rsidRPr="00F63989">
        <w:rPr>
          <w:sz w:val="22"/>
          <w:szCs w:val="22"/>
        </w:rPr>
        <w:t>Introducción</w:t>
      </w:r>
      <w:proofErr w:type="gramEnd"/>
    </w:p>
    <w:p w14:paraId="7D1187C4" w14:textId="68AC7024" w:rsidR="008658F7" w:rsidRPr="00F63989" w:rsidRDefault="008658F7" w:rsidP="0061249B">
      <w:pPr>
        <w:rPr>
          <w:rFonts w:cstheme="minorHAnsi"/>
          <w:sz w:val="22"/>
          <w:szCs w:val="22"/>
        </w:rPr>
      </w:pPr>
      <w:r w:rsidRPr="00F63989">
        <w:rPr>
          <w:sz w:val="22"/>
          <w:szCs w:val="22"/>
        </w:rPr>
        <w:t>Podrán concederse subsidios de viaje a altos dirigentes de países en desarrollo</w:t>
      </w:r>
      <w:r w:rsidR="0003385F" w:rsidRPr="00F63989">
        <w:rPr>
          <w:rStyle w:val="FootnoteReference"/>
          <w:sz w:val="22"/>
          <w:szCs w:val="22"/>
        </w:rPr>
        <w:footnoteReference w:id="1"/>
      </w:r>
      <w:r w:rsidRPr="00F63989">
        <w:rPr>
          <w:sz w:val="22"/>
          <w:szCs w:val="22"/>
        </w:rPr>
        <w:t xml:space="preserve"> para asistir al Simposio Mundial de Normalización (SMN-24) y a la Asamblea Mundial de Normalización de las Telecomunicaciones (AMNT-24) (en función de la disponibilidad de fondos).</w:t>
      </w:r>
    </w:p>
    <w:p w14:paraId="24926982" w14:textId="0E2EDF26" w:rsidR="008658F7" w:rsidRPr="00F63989" w:rsidRDefault="008658F7" w:rsidP="00854D26">
      <w:pPr>
        <w:pStyle w:val="Note"/>
        <w:rPr>
          <w:rFonts w:cstheme="minorHAnsi"/>
          <w:sz w:val="22"/>
          <w:szCs w:val="22"/>
        </w:rPr>
      </w:pPr>
      <w:r w:rsidRPr="00F63989">
        <w:rPr>
          <w:b/>
          <w:bCs/>
          <w:sz w:val="22"/>
          <w:szCs w:val="22"/>
        </w:rPr>
        <w:t>Nota:</w:t>
      </w:r>
      <w:r w:rsidRPr="00F63989">
        <w:rPr>
          <w:sz w:val="22"/>
          <w:szCs w:val="22"/>
        </w:rPr>
        <w:t xml:space="preserve"> Todas las solicitudes de subsidios de viaje deberán recibirse </w:t>
      </w:r>
      <w:r w:rsidRPr="00F63989">
        <w:rPr>
          <w:b/>
          <w:bCs/>
          <w:sz w:val="22"/>
          <w:szCs w:val="22"/>
        </w:rPr>
        <w:t>antes del 28 de agosto de 2024</w:t>
      </w:r>
      <w:r w:rsidRPr="00F63989">
        <w:rPr>
          <w:sz w:val="22"/>
          <w:szCs w:val="22"/>
        </w:rPr>
        <w:t>. No se tendrá en cuenta ninguna solicitud recibida después de esta fecha.</w:t>
      </w:r>
    </w:p>
    <w:p w14:paraId="1FE66B15" w14:textId="77777777" w:rsidR="008658F7" w:rsidRPr="00F63989" w:rsidRDefault="008658F7" w:rsidP="0061249B">
      <w:pPr>
        <w:pStyle w:val="Heading1"/>
        <w:rPr>
          <w:rFonts w:cstheme="minorHAnsi"/>
          <w:sz w:val="22"/>
          <w:szCs w:val="22"/>
        </w:rPr>
      </w:pPr>
      <w:r w:rsidRPr="00F63989">
        <w:rPr>
          <w:sz w:val="22"/>
          <w:szCs w:val="22"/>
        </w:rPr>
        <w:t>2</w:t>
      </w:r>
      <w:r w:rsidRPr="00F63989">
        <w:rPr>
          <w:sz w:val="22"/>
          <w:szCs w:val="22"/>
        </w:rPr>
        <w:tab/>
      </w:r>
      <w:proofErr w:type="gramStart"/>
      <w:r w:rsidRPr="00F63989">
        <w:rPr>
          <w:sz w:val="22"/>
          <w:szCs w:val="22"/>
        </w:rPr>
        <w:t>Admisibilidad</w:t>
      </w:r>
      <w:proofErr w:type="gramEnd"/>
    </w:p>
    <w:p w14:paraId="65A6C9B6" w14:textId="0859CAEE" w:rsidR="008658F7" w:rsidRPr="00F63989" w:rsidRDefault="008658F7" w:rsidP="00BD67C8">
      <w:pPr>
        <w:rPr>
          <w:rFonts w:cstheme="minorHAnsi"/>
          <w:sz w:val="22"/>
          <w:szCs w:val="22"/>
        </w:rPr>
      </w:pPr>
      <w:r w:rsidRPr="00F63989">
        <w:rPr>
          <w:sz w:val="22"/>
          <w:szCs w:val="22"/>
        </w:rPr>
        <w:t>Los subsidios de viaje se concederán de manera prioritaria a los participantes de países en desarrollo y países menos adelantados.</w:t>
      </w:r>
    </w:p>
    <w:p w14:paraId="4A953717" w14:textId="6B9F7FD6" w:rsidR="008658F7" w:rsidRPr="00F63989" w:rsidRDefault="008658F7" w:rsidP="00BD67C8">
      <w:pPr>
        <w:rPr>
          <w:rFonts w:cstheme="minorHAnsi"/>
          <w:sz w:val="22"/>
          <w:szCs w:val="22"/>
        </w:rPr>
      </w:pPr>
      <w:r w:rsidRPr="00F63989">
        <w:rPr>
          <w:sz w:val="22"/>
          <w:szCs w:val="22"/>
        </w:rPr>
        <w:t>Los principales criterios para la concesión de un subsidio de viaje son (entre otros) los siguientes:</w:t>
      </w:r>
    </w:p>
    <w:p w14:paraId="596F3D61" w14:textId="60556BF4" w:rsidR="008658F7" w:rsidRPr="00F63989" w:rsidRDefault="00BD67C8" w:rsidP="00BD67C8">
      <w:pPr>
        <w:pStyle w:val="enumlev1"/>
        <w:rPr>
          <w:rFonts w:cstheme="minorHAnsi"/>
          <w:sz w:val="22"/>
          <w:szCs w:val="22"/>
        </w:rPr>
      </w:pPr>
      <w:r w:rsidRPr="00F63989">
        <w:rPr>
          <w:sz w:val="22"/>
          <w:szCs w:val="22"/>
        </w:rPr>
        <w:t>–</w:t>
      </w:r>
      <w:r w:rsidRPr="00F63989">
        <w:rPr>
          <w:sz w:val="22"/>
          <w:szCs w:val="22"/>
        </w:rPr>
        <w:tab/>
      </w:r>
      <w:r w:rsidR="0003385F" w:rsidRPr="00F63989">
        <w:rPr>
          <w:sz w:val="22"/>
          <w:szCs w:val="22"/>
        </w:rPr>
        <w:t>p</w:t>
      </w:r>
      <w:r w:rsidR="008658F7" w:rsidRPr="00F63989">
        <w:rPr>
          <w:sz w:val="22"/>
          <w:szCs w:val="22"/>
        </w:rPr>
        <w:t xml:space="preserve">resupuesto disponible: </w:t>
      </w:r>
      <w:r w:rsidR="0003385F" w:rsidRPr="00F63989">
        <w:rPr>
          <w:sz w:val="22"/>
          <w:szCs w:val="22"/>
        </w:rPr>
        <w:t>l</w:t>
      </w:r>
      <w:r w:rsidR="008658F7" w:rsidRPr="00F63989">
        <w:rPr>
          <w:sz w:val="22"/>
          <w:szCs w:val="22"/>
        </w:rPr>
        <w:t>os subsidios de viaje sólo se concederán una vez que se hayan recibido adecuadamente los fondos de los socios financiadores;</w:t>
      </w:r>
    </w:p>
    <w:p w14:paraId="1B928BC8" w14:textId="55987DD4" w:rsidR="008658F7" w:rsidRPr="00F63989" w:rsidRDefault="00BD67C8" w:rsidP="00BD67C8">
      <w:pPr>
        <w:pStyle w:val="enumlev1"/>
        <w:rPr>
          <w:rFonts w:cstheme="minorHAnsi"/>
          <w:sz w:val="22"/>
          <w:szCs w:val="22"/>
        </w:rPr>
      </w:pPr>
      <w:r w:rsidRPr="00F63989">
        <w:rPr>
          <w:sz w:val="22"/>
          <w:szCs w:val="22"/>
        </w:rPr>
        <w:t>–</w:t>
      </w:r>
      <w:r w:rsidRPr="00F63989">
        <w:rPr>
          <w:sz w:val="22"/>
          <w:szCs w:val="22"/>
        </w:rPr>
        <w:tab/>
      </w:r>
      <w:r w:rsidR="0003385F" w:rsidRPr="00F63989">
        <w:rPr>
          <w:sz w:val="22"/>
          <w:szCs w:val="22"/>
        </w:rPr>
        <w:t>e</w:t>
      </w:r>
      <w:r w:rsidR="008658F7" w:rsidRPr="00F63989">
        <w:rPr>
          <w:sz w:val="22"/>
          <w:szCs w:val="22"/>
        </w:rPr>
        <w:t xml:space="preserve">xperiencia y función de los solicitantes: </w:t>
      </w:r>
      <w:r w:rsidR="0003385F" w:rsidRPr="00F63989">
        <w:rPr>
          <w:sz w:val="22"/>
          <w:szCs w:val="22"/>
        </w:rPr>
        <w:t>l</w:t>
      </w:r>
      <w:r w:rsidR="008658F7" w:rsidRPr="00F63989">
        <w:rPr>
          <w:sz w:val="22"/>
          <w:szCs w:val="22"/>
        </w:rPr>
        <w:t>os conocimientos especializados del solicitante y las actividades propuestas en relación con su participación deberán estar relacionados con los temas del Simposio Mundial de Normalización (SMN-24);</w:t>
      </w:r>
    </w:p>
    <w:p w14:paraId="60092D74" w14:textId="2E22DE9E" w:rsidR="008658F7" w:rsidRPr="00F63989" w:rsidRDefault="00BD67C8" w:rsidP="00BD67C8">
      <w:pPr>
        <w:pStyle w:val="enumlev1"/>
        <w:rPr>
          <w:rFonts w:cstheme="minorHAnsi"/>
          <w:sz w:val="22"/>
          <w:szCs w:val="22"/>
        </w:rPr>
      </w:pPr>
      <w:r w:rsidRPr="00F63989">
        <w:rPr>
          <w:sz w:val="22"/>
          <w:szCs w:val="22"/>
        </w:rPr>
        <w:t>–</w:t>
      </w:r>
      <w:r w:rsidRPr="00F63989">
        <w:rPr>
          <w:sz w:val="22"/>
          <w:szCs w:val="22"/>
        </w:rPr>
        <w:tab/>
      </w:r>
      <w:r w:rsidR="0003385F" w:rsidRPr="00F63989">
        <w:rPr>
          <w:sz w:val="22"/>
          <w:szCs w:val="22"/>
        </w:rPr>
        <w:t>s</w:t>
      </w:r>
      <w:r w:rsidR="008658F7" w:rsidRPr="00F63989">
        <w:rPr>
          <w:sz w:val="22"/>
          <w:szCs w:val="22"/>
        </w:rPr>
        <w:t>e observará una distribución equitativa entre países y regiones;</w:t>
      </w:r>
    </w:p>
    <w:p w14:paraId="5B21A503" w14:textId="7AA5E61B" w:rsidR="008658F7" w:rsidRPr="00F63989" w:rsidRDefault="00BD67C8" w:rsidP="00BD67C8">
      <w:pPr>
        <w:pStyle w:val="enumlev1"/>
        <w:rPr>
          <w:rFonts w:cstheme="minorHAnsi"/>
          <w:sz w:val="22"/>
          <w:szCs w:val="22"/>
        </w:rPr>
      </w:pPr>
      <w:r w:rsidRPr="00F63989">
        <w:rPr>
          <w:sz w:val="22"/>
          <w:szCs w:val="22"/>
        </w:rPr>
        <w:t>–</w:t>
      </w:r>
      <w:r w:rsidRPr="00F63989">
        <w:rPr>
          <w:sz w:val="22"/>
          <w:szCs w:val="22"/>
        </w:rPr>
        <w:tab/>
      </w:r>
      <w:r w:rsidR="0003385F" w:rsidRPr="00F63989">
        <w:rPr>
          <w:sz w:val="22"/>
          <w:szCs w:val="22"/>
        </w:rPr>
        <w:t>e</w:t>
      </w:r>
      <w:r w:rsidR="008658F7" w:rsidRPr="00F63989">
        <w:rPr>
          <w:sz w:val="22"/>
          <w:szCs w:val="22"/>
        </w:rPr>
        <w:t>l equilibrio de género entre los beneficiarios de los subsidios de viaje será un criterio importante.</w:t>
      </w:r>
    </w:p>
    <w:p w14:paraId="34C4572E" w14:textId="77777777" w:rsidR="008658F7" w:rsidRPr="00F63989" w:rsidRDefault="008658F7" w:rsidP="0061249B">
      <w:pPr>
        <w:pStyle w:val="Heading1"/>
        <w:rPr>
          <w:rFonts w:cstheme="minorHAnsi"/>
          <w:sz w:val="22"/>
          <w:szCs w:val="22"/>
        </w:rPr>
      </w:pPr>
      <w:r w:rsidRPr="00F63989">
        <w:rPr>
          <w:sz w:val="22"/>
          <w:szCs w:val="22"/>
        </w:rPr>
        <w:t>3</w:t>
      </w:r>
      <w:r w:rsidRPr="00F63989">
        <w:rPr>
          <w:sz w:val="22"/>
          <w:szCs w:val="22"/>
        </w:rPr>
        <w:tab/>
      </w:r>
      <w:proofErr w:type="gramStart"/>
      <w:r w:rsidRPr="00F63989">
        <w:rPr>
          <w:sz w:val="22"/>
          <w:szCs w:val="22"/>
        </w:rPr>
        <w:t>Contacto</w:t>
      </w:r>
      <w:proofErr w:type="gramEnd"/>
    </w:p>
    <w:p w14:paraId="6B51598C" w14:textId="1F7D9CDC" w:rsidR="008658F7" w:rsidRPr="00F63989" w:rsidRDefault="008658F7" w:rsidP="00BD67C8">
      <w:pPr>
        <w:rPr>
          <w:rFonts w:cstheme="minorHAnsi"/>
          <w:sz w:val="22"/>
          <w:szCs w:val="22"/>
        </w:rPr>
      </w:pPr>
      <w:r w:rsidRPr="00F63989">
        <w:rPr>
          <w:sz w:val="22"/>
          <w:szCs w:val="22"/>
        </w:rPr>
        <w:t>Todas las consultas relacionadas con los subsidios de viaje deberán remitirse a la Secretaría del</w:t>
      </w:r>
      <w:r w:rsidR="0003385F" w:rsidRPr="00F63989">
        <w:rPr>
          <w:sz w:val="22"/>
          <w:szCs w:val="22"/>
        </w:rPr>
        <w:t> </w:t>
      </w:r>
      <w:r w:rsidRPr="00F63989">
        <w:rPr>
          <w:sz w:val="22"/>
          <w:szCs w:val="22"/>
        </w:rPr>
        <w:t>SMN-24 (</w:t>
      </w:r>
      <w:hyperlink r:id="rId13" w:history="1">
        <w:r w:rsidRPr="00F63989">
          <w:rPr>
            <w:rStyle w:val="Hyperlink"/>
            <w:sz w:val="22"/>
            <w:szCs w:val="22"/>
          </w:rPr>
          <w:t>gss@itu.int</w:t>
        </w:r>
      </w:hyperlink>
      <w:r w:rsidRPr="00F63989">
        <w:rPr>
          <w:sz w:val="22"/>
          <w:szCs w:val="22"/>
        </w:rPr>
        <w:t xml:space="preserve">). Si el solicitante requiere que se apliquen condiciones excepcionales al subsidio de viaje, deberá comunicarlo a la Secretaría del SMN-24 </w:t>
      </w:r>
      <w:r w:rsidR="0001239D" w:rsidRPr="00F63989">
        <w:rPr>
          <w:sz w:val="22"/>
          <w:szCs w:val="22"/>
        </w:rPr>
        <w:t>antes de que se le conceda el subsidio</w:t>
      </w:r>
      <w:r w:rsidRPr="00F63989">
        <w:rPr>
          <w:sz w:val="22"/>
          <w:szCs w:val="22"/>
        </w:rPr>
        <w:t>, preferentemente en el formulario de solicitud.</w:t>
      </w:r>
    </w:p>
    <w:p w14:paraId="2AE547E5" w14:textId="77777777" w:rsidR="008658F7" w:rsidRPr="00F63989" w:rsidRDefault="008658F7" w:rsidP="0061249B">
      <w:pPr>
        <w:pStyle w:val="Heading1"/>
        <w:rPr>
          <w:rFonts w:cstheme="minorHAnsi"/>
          <w:sz w:val="22"/>
          <w:szCs w:val="22"/>
        </w:rPr>
      </w:pPr>
      <w:r w:rsidRPr="00F63989">
        <w:rPr>
          <w:sz w:val="22"/>
          <w:szCs w:val="22"/>
        </w:rPr>
        <w:t>4</w:t>
      </w:r>
      <w:r w:rsidRPr="00F63989">
        <w:rPr>
          <w:sz w:val="22"/>
          <w:szCs w:val="22"/>
        </w:rPr>
        <w:tab/>
      </w:r>
      <w:proofErr w:type="gramStart"/>
      <w:r w:rsidRPr="00F63989">
        <w:rPr>
          <w:sz w:val="22"/>
          <w:szCs w:val="22"/>
        </w:rPr>
        <w:t>Condiciones</w:t>
      </w:r>
      <w:proofErr w:type="gramEnd"/>
      <w:r w:rsidRPr="00F63989">
        <w:rPr>
          <w:sz w:val="22"/>
          <w:szCs w:val="22"/>
        </w:rPr>
        <w:t xml:space="preserve"> de los subsidios de viaje</w:t>
      </w:r>
    </w:p>
    <w:p w14:paraId="3903F5BB" w14:textId="335D80BA" w:rsidR="008658F7" w:rsidRPr="00F63989" w:rsidRDefault="008658F7" w:rsidP="0061249B">
      <w:pPr>
        <w:pStyle w:val="Heading2"/>
        <w:rPr>
          <w:rFonts w:cstheme="minorHAnsi"/>
          <w:sz w:val="22"/>
          <w:szCs w:val="22"/>
        </w:rPr>
      </w:pPr>
      <w:r w:rsidRPr="00F63989">
        <w:rPr>
          <w:sz w:val="22"/>
          <w:szCs w:val="22"/>
        </w:rPr>
        <w:t>4.1</w:t>
      </w:r>
      <w:r w:rsidRPr="00F63989">
        <w:rPr>
          <w:sz w:val="22"/>
          <w:szCs w:val="22"/>
        </w:rPr>
        <w:tab/>
        <w:t>Asistencia</w:t>
      </w:r>
    </w:p>
    <w:p w14:paraId="67F6E318" w14:textId="422E6885" w:rsidR="008658F7" w:rsidRPr="00F63989" w:rsidRDefault="008658F7" w:rsidP="0003385F">
      <w:pPr>
        <w:keepNext/>
        <w:keepLines/>
        <w:rPr>
          <w:rFonts w:cstheme="minorHAnsi"/>
          <w:sz w:val="22"/>
          <w:szCs w:val="22"/>
        </w:rPr>
      </w:pPr>
      <w:r w:rsidRPr="00F63989">
        <w:rPr>
          <w:sz w:val="22"/>
          <w:szCs w:val="22"/>
        </w:rPr>
        <w:t>Salvo acuerdo en contrario con la Secretaría del SMN-24, todos los beneficiarios de subsidios de viaje deberán estar presentes en el lugar de celebración del 14 al 15 de octubre de 2024. Los beneficiarios de los subsidios de viaje deberán informar a la Secretaría del SMN-24 de las fechas de su llegada y partida.</w:t>
      </w:r>
    </w:p>
    <w:p w14:paraId="0572F999" w14:textId="77777777" w:rsidR="008658F7" w:rsidRPr="00F63989" w:rsidRDefault="008658F7" w:rsidP="0061249B">
      <w:pPr>
        <w:pStyle w:val="Heading2"/>
        <w:rPr>
          <w:sz w:val="22"/>
          <w:szCs w:val="22"/>
        </w:rPr>
      </w:pPr>
      <w:r w:rsidRPr="00F63989">
        <w:rPr>
          <w:sz w:val="22"/>
          <w:szCs w:val="22"/>
        </w:rPr>
        <w:t>4.2</w:t>
      </w:r>
      <w:r w:rsidRPr="00F63989">
        <w:rPr>
          <w:sz w:val="22"/>
          <w:szCs w:val="22"/>
        </w:rPr>
        <w:tab/>
        <w:t>Proceso de solicitud de subsidios de viajes</w:t>
      </w:r>
    </w:p>
    <w:p w14:paraId="26DE08F2" w14:textId="25203511" w:rsidR="008658F7" w:rsidRPr="00F63989" w:rsidRDefault="008658F7" w:rsidP="00BD67C8">
      <w:pPr>
        <w:rPr>
          <w:rFonts w:cstheme="minorHAnsi"/>
          <w:sz w:val="22"/>
          <w:szCs w:val="22"/>
        </w:rPr>
      </w:pPr>
      <w:r w:rsidRPr="00F63989">
        <w:rPr>
          <w:sz w:val="22"/>
          <w:szCs w:val="22"/>
        </w:rPr>
        <w:t>Para presentar una solicitud de subsidio de viaje deberán seguirse los siguientes pasos:</w:t>
      </w:r>
    </w:p>
    <w:p w14:paraId="2F0A05C1" w14:textId="3C1FE875" w:rsidR="008658F7" w:rsidRPr="00F63989" w:rsidRDefault="008658F7" w:rsidP="00BD67C8">
      <w:pPr>
        <w:pStyle w:val="enumlev1"/>
        <w:rPr>
          <w:rFonts w:cstheme="minorHAnsi"/>
          <w:sz w:val="22"/>
          <w:szCs w:val="22"/>
        </w:rPr>
      </w:pPr>
      <w:r w:rsidRPr="00F63989">
        <w:rPr>
          <w:sz w:val="22"/>
          <w:szCs w:val="22"/>
        </w:rPr>
        <w:lastRenderedPageBreak/>
        <w:t>A</w:t>
      </w:r>
      <w:r w:rsidR="00BD67C8" w:rsidRPr="00F63989">
        <w:rPr>
          <w:sz w:val="22"/>
          <w:szCs w:val="22"/>
        </w:rPr>
        <w:t>)</w:t>
      </w:r>
      <w:r w:rsidR="00BD67C8" w:rsidRPr="00F63989">
        <w:rPr>
          <w:sz w:val="22"/>
          <w:szCs w:val="22"/>
        </w:rPr>
        <w:tab/>
      </w:r>
      <w:r w:rsidRPr="00F63989">
        <w:rPr>
          <w:sz w:val="22"/>
          <w:szCs w:val="22"/>
        </w:rPr>
        <w:t>Antes de solicitar el subsidio de viaje, los solicitantes deberán preinscribirse en línea en la reunión correspondiente.</w:t>
      </w:r>
    </w:p>
    <w:p w14:paraId="2E8B8EC9" w14:textId="25AC85F3" w:rsidR="008658F7" w:rsidRPr="00F63989" w:rsidRDefault="008658F7" w:rsidP="00BD67C8">
      <w:pPr>
        <w:pStyle w:val="enumlev1"/>
        <w:rPr>
          <w:rFonts w:cstheme="minorHAnsi"/>
          <w:sz w:val="22"/>
          <w:szCs w:val="22"/>
        </w:rPr>
      </w:pPr>
      <w:r w:rsidRPr="00F63989">
        <w:rPr>
          <w:sz w:val="22"/>
          <w:szCs w:val="22"/>
        </w:rPr>
        <w:t>B</w:t>
      </w:r>
      <w:r w:rsidR="00BD67C8" w:rsidRPr="00F63989">
        <w:rPr>
          <w:sz w:val="22"/>
          <w:szCs w:val="22"/>
        </w:rPr>
        <w:t>)</w:t>
      </w:r>
      <w:r w:rsidR="00BD67C8" w:rsidRPr="00F63989">
        <w:rPr>
          <w:sz w:val="22"/>
          <w:szCs w:val="22"/>
        </w:rPr>
        <w:tab/>
      </w:r>
      <w:r w:rsidRPr="00F63989">
        <w:rPr>
          <w:sz w:val="22"/>
          <w:szCs w:val="22"/>
        </w:rPr>
        <w:t xml:space="preserve">Deberá cumplimentarse el </w:t>
      </w:r>
      <w:hyperlink r:id="rId14" w:history="1">
        <w:r w:rsidRPr="00F63989">
          <w:rPr>
            <w:rStyle w:val="Hyperlink"/>
            <w:sz w:val="22"/>
            <w:szCs w:val="22"/>
          </w:rPr>
          <w:t>formulario de solicitud de subsidios de viaje</w:t>
        </w:r>
      </w:hyperlink>
      <w:r w:rsidRPr="00F63989">
        <w:rPr>
          <w:sz w:val="22"/>
          <w:szCs w:val="22"/>
        </w:rPr>
        <w:t>.</w:t>
      </w:r>
    </w:p>
    <w:p w14:paraId="3AF18E69" w14:textId="669B8681" w:rsidR="008658F7" w:rsidRPr="00F63989" w:rsidRDefault="008658F7" w:rsidP="00BD67C8">
      <w:pPr>
        <w:pStyle w:val="enumlev1"/>
        <w:rPr>
          <w:rFonts w:cstheme="minorHAnsi"/>
          <w:sz w:val="22"/>
          <w:szCs w:val="22"/>
        </w:rPr>
      </w:pPr>
      <w:r w:rsidRPr="00F63989">
        <w:rPr>
          <w:sz w:val="22"/>
          <w:szCs w:val="22"/>
        </w:rPr>
        <w:t>C</w:t>
      </w:r>
      <w:r w:rsidR="00BD67C8" w:rsidRPr="00F63989">
        <w:rPr>
          <w:sz w:val="22"/>
          <w:szCs w:val="22"/>
        </w:rPr>
        <w:t>)</w:t>
      </w:r>
      <w:r w:rsidR="00BD67C8" w:rsidRPr="00F63989">
        <w:rPr>
          <w:sz w:val="22"/>
          <w:szCs w:val="22"/>
        </w:rPr>
        <w:tab/>
      </w:r>
      <w:r w:rsidRPr="00F63989">
        <w:rPr>
          <w:sz w:val="22"/>
          <w:szCs w:val="22"/>
        </w:rPr>
        <w:t>Deberá acreditarse la afiliación a una organización específica (en su caso).</w:t>
      </w:r>
    </w:p>
    <w:p w14:paraId="5FF1205E" w14:textId="2FBCC86A" w:rsidR="008658F7" w:rsidRPr="00F63989" w:rsidRDefault="008658F7" w:rsidP="00BD67C8">
      <w:pPr>
        <w:pStyle w:val="enumlev1"/>
        <w:rPr>
          <w:rFonts w:cstheme="minorHAnsi"/>
          <w:sz w:val="22"/>
          <w:szCs w:val="22"/>
        </w:rPr>
      </w:pPr>
      <w:r w:rsidRPr="00F63989">
        <w:rPr>
          <w:sz w:val="22"/>
          <w:szCs w:val="22"/>
        </w:rPr>
        <w:t>D</w:t>
      </w:r>
      <w:r w:rsidR="00BD67C8" w:rsidRPr="00F63989">
        <w:rPr>
          <w:sz w:val="22"/>
          <w:szCs w:val="22"/>
        </w:rPr>
        <w:t>)</w:t>
      </w:r>
      <w:r w:rsidR="00BD67C8" w:rsidRPr="00F63989">
        <w:rPr>
          <w:sz w:val="22"/>
          <w:szCs w:val="22"/>
        </w:rPr>
        <w:tab/>
      </w:r>
      <w:r w:rsidRPr="00F63989">
        <w:rPr>
          <w:sz w:val="22"/>
          <w:szCs w:val="22"/>
        </w:rPr>
        <w:t>Se adjuntará una copia de la página de datos del pasaporte nacional del solicitante. Todos los documentos de solicitud deberán enviarse a la Secretaría del SMN (</w:t>
      </w:r>
      <w:hyperlink r:id="rId15" w:history="1">
        <w:r w:rsidRPr="00F63989">
          <w:rPr>
            <w:rStyle w:val="Hyperlink"/>
            <w:sz w:val="22"/>
            <w:szCs w:val="22"/>
          </w:rPr>
          <w:t>gss@itu.int</w:t>
        </w:r>
      </w:hyperlink>
      <w:r w:rsidRPr="00F63989">
        <w:rPr>
          <w:sz w:val="22"/>
          <w:szCs w:val="22"/>
        </w:rPr>
        <w:t>).</w:t>
      </w:r>
    </w:p>
    <w:p w14:paraId="4073A844" w14:textId="77777777" w:rsidR="008658F7" w:rsidRPr="00F63989" w:rsidRDefault="008658F7" w:rsidP="0061249B">
      <w:pPr>
        <w:pStyle w:val="Heading2"/>
        <w:rPr>
          <w:sz w:val="22"/>
          <w:szCs w:val="22"/>
        </w:rPr>
      </w:pPr>
      <w:r w:rsidRPr="00F63989">
        <w:rPr>
          <w:sz w:val="22"/>
          <w:szCs w:val="22"/>
        </w:rPr>
        <w:t>4.3</w:t>
      </w:r>
      <w:r w:rsidRPr="00F63989">
        <w:rPr>
          <w:sz w:val="22"/>
          <w:szCs w:val="22"/>
        </w:rPr>
        <w:tab/>
        <w:t>Evaluación de las solicitudes de subsidios de viajes</w:t>
      </w:r>
    </w:p>
    <w:p w14:paraId="300B04AF" w14:textId="16F1B663" w:rsidR="008658F7" w:rsidRPr="00F63989" w:rsidRDefault="008658F7" w:rsidP="00BD67C8">
      <w:pPr>
        <w:rPr>
          <w:rFonts w:cstheme="minorHAnsi"/>
          <w:sz w:val="22"/>
          <w:szCs w:val="22"/>
        </w:rPr>
      </w:pPr>
      <w:r w:rsidRPr="00F63989">
        <w:rPr>
          <w:sz w:val="22"/>
          <w:szCs w:val="22"/>
        </w:rPr>
        <w:t>Al examinar todas las solicitudes se aplicarán los criterios definidos en el §</w:t>
      </w:r>
      <w:r w:rsidR="0003385F" w:rsidRPr="00F63989">
        <w:rPr>
          <w:sz w:val="22"/>
          <w:szCs w:val="22"/>
        </w:rPr>
        <w:t> </w:t>
      </w:r>
      <w:r w:rsidRPr="00F63989">
        <w:rPr>
          <w:sz w:val="22"/>
          <w:szCs w:val="22"/>
        </w:rPr>
        <w:t xml:space="preserve">2. Por lo general, la decisión sobre los subsidios de viaje se comunicará entre </w:t>
      </w:r>
      <w:r w:rsidR="0003385F" w:rsidRPr="00F63989">
        <w:rPr>
          <w:sz w:val="22"/>
          <w:szCs w:val="22"/>
        </w:rPr>
        <w:t>cuatro</w:t>
      </w:r>
      <w:r w:rsidRPr="00F63989">
        <w:rPr>
          <w:sz w:val="22"/>
          <w:szCs w:val="22"/>
        </w:rPr>
        <w:t xml:space="preserve"> y </w:t>
      </w:r>
      <w:r w:rsidR="0003385F" w:rsidRPr="00F63989">
        <w:rPr>
          <w:sz w:val="22"/>
          <w:szCs w:val="22"/>
        </w:rPr>
        <w:t>seis</w:t>
      </w:r>
      <w:r w:rsidRPr="00F63989">
        <w:rPr>
          <w:sz w:val="22"/>
          <w:szCs w:val="22"/>
        </w:rPr>
        <w:t xml:space="preserve"> semanas antes del Simposio.</w:t>
      </w:r>
    </w:p>
    <w:p w14:paraId="31BF6818" w14:textId="77777777" w:rsidR="008658F7" w:rsidRPr="00F63989" w:rsidRDefault="008658F7" w:rsidP="0061249B">
      <w:pPr>
        <w:pStyle w:val="Heading2"/>
        <w:rPr>
          <w:sz w:val="22"/>
          <w:szCs w:val="22"/>
        </w:rPr>
      </w:pPr>
      <w:r w:rsidRPr="00F63989">
        <w:rPr>
          <w:sz w:val="22"/>
          <w:szCs w:val="22"/>
        </w:rPr>
        <w:t>4.4</w:t>
      </w:r>
      <w:r w:rsidRPr="00F63989">
        <w:rPr>
          <w:sz w:val="22"/>
          <w:szCs w:val="22"/>
        </w:rPr>
        <w:tab/>
        <w:t>Decisión final sobre los subsidios de viajes</w:t>
      </w:r>
    </w:p>
    <w:p w14:paraId="1709353E" w14:textId="2CE727A9" w:rsidR="008658F7" w:rsidRPr="00F63989" w:rsidRDefault="008658F7" w:rsidP="00BD67C8">
      <w:pPr>
        <w:rPr>
          <w:sz w:val="22"/>
          <w:szCs w:val="22"/>
        </w:rPr>
      </w:pPr>
      <w:r w:rsidRPr="00F63989">
        <w:rPr>
          <w:sz w:val="22"/>
          <w:szCs w:val="22"/>
        </w:rPr>
        <w:t>La decisión de conceder la financiación corresponde a la Secretaría de la UIT.</w:t>
      </w:r>
    </w:p>
    <w:p w14:paraId="574C3ACD" w14:textId="3AE936E4" w:rsidR="008658F7" w:rsidRPr="00F63989" w:rsidRDefault="008658F7" w:rsidP="00BD67C8">
      <w:pPr>
        <w:rPr>
          <w:sz w:val="22"/>
          <w:szCs w:val="22"/>
        </w:rPr>
      </w:pPr>
      <w:r w:rsidRPr="00F63989">
        <w:rPr>
          <w:sz w:val="22"/>
          <w:szCs w:val="22"/>
        </w:rPr>
        <w:t>La Oficina de Normalización de las Telecomunicaciones (TSB) de la UIT comunicará a los solicitantes el resultado de su solicitud de financiación.</w:t>
      </w:r>
    </w:p>
    <w:p w14:paraId="2278BBEB" w14:textId="77777777" w:rsidR="008658F7" w:rsidRPr="00F63989" w:rsidRDefault="008658F7" w:rsidP="0061249B">
      <w:pPr>
        <w:pStyle w:val="Heading1"/>
        <w:rPr>
          <w:sz w:val="22"/>
          <w:szCs w:val="22"/>
        </w:rPr>
      </w:pPr>
      <w:r w:rsidRPr="00F63989">
        <w:rPr>
          <w:sz w:val="22"/>
          <w:szCs w:val="22"/>
        </w:rPr>
        <w:t>5</w:t>
      </w:r>
      <w:r w:rsidRPr="00F63989">
        <w:rPr>
          <w:sz w:val="22"/>
          <w:szCs w:val="22"/>
        </w:rPr>
        <w:tab/>
      </w:r>
      <w:proofErr w:type="gramStart"/>
      <w:r w:rsidRPr="00F63989">
        <w:rPr>
          <w:sz w:val="22"/>
          <w:szCs w:val="22"/>
        </w:rPr>
        <w:t>Arreglos</w:t>
      </w:r>
      <w:proofErr w:type="gramEnd"/>
      <w:r w:rsidRPr="00F63989">
        <w:rPr>
          <w:sz w:val="22"/>
          <w:szCs w:val="22"/>
        </w:rPr>
        <w:t xml:space="preserve"> financieros</w:t>
      </w:r>
    </w:p>
    <w:p w14:paraId="0CCDDA00" w14:textId="77777777" w:rsidR="008658F7" w:rsidRPr="00F63989" w:rsidRDefault="008658F7" w:rsidP="0061249B">
      <w:pPr>
        <w:pStyle w:val="Heading2"/>
        <w:rPr>
          <w:sz w:val="22"/>
          <w:szCs w:val="22"/>
        </w:rPr>
      </w:pPr>
      <w:r w:rsidRPr="00F63989">
        <w:rPr>
          <w:sz w:val="22"/>
          <w:szCs w:val="22"/>
        </w:rPr>
        <w:t>5.1</w:t>
      </w:r>
      <w:r w:rsidRPr="00F63989">
        <w:rPr>
          <w:sz w:val="22"/>
          <w:szCs w:val="22"/>
        </w:rPr>
        <w:tab/>
        <w:t>Billetes de avión</w:t>
      </w:r>
    </w:p>
    <w:p w14:paraId="5030EB3F" w14:textId="1FEBA105" w:rsidR="008658F7" w:rsidRPr="00F63989" w:rsidRDefault="008658F7" w:rsidP="008658F7">
      <w:pPr>
        <w:rPr>
          <w:sz w:val="22"/>
          <w:szCs w:val="22"/>
        </w:rPr>
      </w:pPr>
      <w:r w:rsidRPr="00F63989">
        <w:rPr>
          <w:sz w:val="22"/>
          <w:szCs w:val="22"/>
        </w:rPr>
        <w:t>El subsidio de viaje para asistir al Simposio Mundial de Normalización (SMN-24) incluirá un billete de avión de ida y vuelta en clase turista para una sola persona por la ruta más directa/económica desde el país de domicilio hasta el lugar del Simposio. La UIT determinará el importe máximo del reembolso de los gastos de vuelo.</w:t>
      </w:r>
    </w:p>
    <w:p w14:paraId="7FBDA108" w14:textId="2D8D0EA4" w:rsidR="008658F7" w:rsidRPr="00F63989" w:rsidRDefault="008658F7" w:rsidP="00BD67C8">
      <w:pPr>
        <w:rPr>
          <w:sz w:val="22"/>
          <w:szCs w:val="22"/>
        </w:rPr>
      </w:pPr>
      <w:r w:rsidRPr="00F63989">
        <w:rPr>
          <w:sz w:val="22"/>
          <w:szCs w:val="22"/>
        </w:rPr>
        <w:t xml:space="preserve">El seguro de viaje y el seguro médico para la duración del viaje </w:t>
      </w:r>
      <w:r w:rsidRPr="00F63989">
        <w:rPr>
          <w:b/>
          <w:bCs/>
          <w:sz w:val="22"/>
          <w:szCs w:val="22"/>
        </w:rPr>
        <w:t>no</w:t>
      </w:r>
      <w:r w:rsidRPr="00F63989">
        <w:rPr>
          <w:sz w:val="22"/>
          <w:szCs w:val="22"/>
        </w:rPr>
        <w:t xml:space="preserve"> estarán cubiertos por el subsidio de viaje. Tampoco se cubrirán con el subsidio de viaje otros gastos de viaje como los de solicitud de visado, certificados COVID-19 u otras pruebas médicas o vacunas, etc.</w:t>
      </w:r>
    </w:p>
    <w:p w14:paraId="28D7A53F" w14:textId="17776A8B" w:rsidR="008658F7" w:rsidRPr="00F63989" w:rsidRDefault="008658F7" w:rsidP="00BD67C8">
      <w:pPr>
        <w:rPr>
          <w:sz w:val="22"/>
          <w:szCs w:val="22"/>
        </w:rPr>
      </w:pPr>
      <w:r w:rsidRPr="00F63989">
        <w:rPr>
          <w:sz w:val="22"/>
          <w:szCs w:val="22"/>
        </w:rPr>
        <w:t xml:space="preserve">Si por cualquier motivo usted no puede asistir al Simposio o entrar en el país (por ejemplo, falta de visado, restricciones COVID, emergencias familiares), tenga en cuenta que </w:t>
      </w:r>
      <w:r w:rsidRPr="00F63989">
        <w:rPr>
          <w:b/>
          <w:bCs/>
          <w:sz w:val="22"/>
          <w:szCs w:val="22"/>
        </w:rPr>
        <w:t>no</w:t>
      </w:r>
      <w:r w:rsidRPr="00F63989">
        <w:rPr>
          <w:sz w:val="22"/>
          <w:szCs w:val="22"/>
        </w:rPr>
        <w:t xml:space="preserve"> se le reembolsarán los gastos de viaje.</w:t>
      </w:r>
    </w:p>
    <w:p w14:paraId="73EB26BE" w14:textId="77777777" w:rsidR="008658F7" w:rsidRPr="00F63989" w:rsidRDefault="008658F7" w:rsidP="0061249B">
      <w:pPr>
        <w:pStyle w:val="Heading2"/>
        <w:rPr>
          <w:rFonts w:cstheme="minorHAnsi"/>
          <w:sz w:val="22"/>
          <w:szCs w:val="22"/>
        </w:rPr>
      </w:pPr>
      <w:r w:rsidRPr="00F63989">
        <w:rPr>
          <w:sz w:val="22"/>
          <w:szCs w:val="22"/>
        </w:rPr>
        <w:t>5.2</w:t>
      </w:r>
      <w:r w:rsidRPr="00F63989">
        <w:rPr>
          <w:sz w:val="22"/>
          <w:szCs w:val="22"/>
        </w:rPr>
        <w:tab/>
        <w:t>Documentos acreditativos</w:t>
      </w:r>
    </w:p>
    <w:p w14:paraId="1F3A4475" w14:textId="45EB39F3" w:rsidR="008658F7" w:rsidRPr="00F63989" w:rsidRDefault="008658F7" w:rsidP="008658F7">
      <w:pPr>
        <w:rPr>
          <w:sz w:val="22"/>
          <w:szCs w:val="22"/>
        </w:rPr>
      </w:pPr>
      <w:r w:rsidRPr="00F63989">
        <w:rPr>
          <w:sz w:val="22"/>
          <w:szCs w:val="22"/>
        </w:rPr>
        <w:t>Los beneficiarios del subsidio de viaje deberán presentar los recibos y la documentación especificados por la UIT en su oferta oficial de subsidio de viaje como comprobante de viaje y de alojamiento. Si la documentación es insatisfactoria, se podrá reducir o anular el subsidio de viaje concedido. Véase también el punto</w:t>
      </w:r>
      <w:r w:rsidR="0003385F" w:rsidRPr="00F63989">
        <w:rPr>
          <w:sz w:val="22"/>
          <w:szCs w:val="22"/>
        </w:rPr>
        <w:t> </w:t>
      </w:r>
      <w:r w:rsidRPr="00F63989">
        <w:rPr>
          <w:sz w:val="22"/>
          <w:szCs w:val="22"/>
        </w:rPr>
        <w:t>4.1.</w:t>
      </w:r>
    </w:p>
    <w:p w14:paraId="5B3F1C7A" w14:textId="77777777" w:rsidR="0061249B" w:rsidRPr="00BD67C8" w:rsidRDefault="0061249B" w:rsidP="00411C49">
      <w:pPr>
        <w:pStyle w:val="Reasons"/>
        <w:rPr>
          <w:lang w:val="es-ES_tradnl"/>
        </w:rPr>
      </w:pPr>
    </w:p>
    <w:p w14:paraId="1F346730" w14:textId="77777777" w:rsidR="0061249B" w:rsidRPr="00BD67C8" w:rsidRDefault="0061249B">
      <w:pPr>
        <w:jc w:val="center"/>
      </w:pPr>
      <w:r w:rsidRPr="00BD67C8">
        <w:t>______________</w:t>
      </w:r>
    </w:p>
    <w:sectPr w:rsidR="0061249B" w:rsidRPr="00BD67C8" w:rsidSect="00B87E9E">
      <w:headerReference w:type="defaul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CCAC2" w14:textId="77777777" w:rsidR="00C71F5D" w:rsidRDefault="00C71F5D">
      <w:r>
        <w:separator/>
      </w:r>
    </w:p>
  </w:endnote>
  <w:endnote w:type="continuationSeparator" w:id="0">
    <w:p w14:paraId="1737A777" w14:textId="77777777" w:rsidR="00C71F5D" w:rsidRDefault="00C7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72DDA" w14:textId="2A7C35AE"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101541">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41424" w14:textId="77777777" w:rsidR="00C71F5D" w:rsidRDefault="00C71F5D">
      <w:r>
        <w:t>____________________</w:t>
      </w:r>
    </w:p>
  </w:footnote>
  <w:footnote w:type="continuationSeparator" w:id="0">
    <w:p w14:paraId="710E3EF5" w14:textId="77777777" w:rsidR="00C71F5D" w:rsidRDefault="00C71F5D">
      <w:r>
        <w:continuationSeparator/>
      </w:r>
    </w:p>
  </w:footnote>
  <w:footnote w:id="1">
    <w:p w14:paraId="2E6EB898" w14:textId="3EEB779B" w:rsidR="0003385F" w:rsidRPr="0003385F" w:rsidRDefault="0003385F" w:rsidP="0003385F">
      <w:pPr>
        <w:pStyle w:val="FootnoteText"/>
        <w:rPr>
          <w:lang w:val="es-ES"/>
        </w:rPr>
      </w:pPr>
      <w:r>
        <w:rPr>
          <w:rStyle w:val="FootnoteReference"/>
        </w:rPr>
        <w:footnoteRef/>
      </w:r>
      <w:r w:rsidRPr="00F63989">
        <w:rPr>
          <w:sz w:val="20"/>
          <w:szCs w:val="16"/>
        </w:rPr>
        <w:tab/>
        <w:t xml:space="preserve">Este término comprende los países menos adelantados, los pequeños Estados insulares en desarrollo, los países en desarrollo sin litoral y los países con economías en transición. Se utilizará la lista publicada en la versión más reciente del informe de las Naciones Unidas </w:t>
      </w:r>
      <w:r w:rsidRPr="00F63989">
        <w:rPr>
          <w:i/>
          <w:sz w:val="20"/>
          <w:szCs w:val="16"/>
        </w:rPr>
        <w:t>Situación y perspectivas de la economía mundial</w:t>
      </w:r>
      <w:r w:rsidRPr="00F63989">
        <w:rPr>
          <w:sz w:val="20"/>
          <w:szCs w:val="16"/>
        </w:rPr>
        <w:t xml:space="preserve"> (actualmente, 2022). Dicha lista puede consultarse en el </w:t>
      </w:r>
      <w:hyperlink r:id="rId1" w:history="1">
        <w:r w:rsidRPr="00F63989">
          <w:rPr>
            <w:rStyle w:val="Hyperlink"/>
            <w:sz w:val="20"/>
            <w:szCs w:val="16"/>
          </w:rPr>
          <w:t>sitio web de la UIT</w:t>
        </w:r>
      </w:hyperlink>
      <w:r w:rsidRPr="00F63989">
        <w:rPr>
          <w:sz w:val="2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ECB14" w14:textId="4E1E967D"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06800910" w14:textId="36106E14" w:rsidR="00101541" w:rsidRPr="00303D62" w:rsidRDefault="00101541">
    <w:pPr>
      <w:pStyle w:val="Header"/>
      <w:rPr>
        <w:sz w:val="18"/>
        <w:szCs w:val="18"/>
      </w:rPr>
    </w:pPr>
    <w:r w:rsidRPr="00101541">
      <w:rPr>
        <w:sz w:val="18"/>
        <w:szCs w:val="18"/>
      </w:rPr>
      <w:t xml:space="preserve">Circular TSB </w:t>
    </w:r>
    <w:r w:rsidR="008658F7">
      <w:rPr>
        <w:sz w:val="18"/>
        <w:szCs w:val="18"/>
      </w:rPr>
      <w:t>211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C3E6A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BC7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40B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446A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A82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F23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A8F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68BE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564D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495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3E7C77"/>
    <w:multiLevelType w:val="hybridMultilevel"/>
    <w:tmpl w:val="55228176"/>
    <w:lvl w:ilvl="0" w:tplc="C3088982">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11"/>
  </w:num>
  <w:num w:numId="2" w16cid:durableId="1345282128">
    <w:abstractNumId w:val="14"/>
  </w:num>
  <w:num w:numId="3" w16cid:durableId="1069613404">
    <w:abstractNumId w:val="13"/>
  </w:num>
  <w:num w:numId="4" w16cid:durableId="374936234">
    <w:abstractNumId w:val="12"/>
  </w:num>
  <w:num w:numId="5" w16cid:durableId="2098869187">
    <w:abstractNumId w:val="10"/>
  </w:num>
  <w:num w:numId="6" w16cid:durableId="1286303538">
    <w:abstractNumId w:val="9"/>
  </w:num>
  <w:num w:numId="7" w16cid:durableId="705835000">
    <w:abstractNumId w:val="7"/>
  </w:num>
  <w:num w:numId="8" w16cid:durableId="1613592213">
    <w:abstractNumId w:val="6"/>
  </w:num>
  <w:num w:numId="9" w16cid:durableId="1748962345">
    <w:abstractNumId w:val="5"/>
  </w:num>
  <w:num w:numId="10" w16cid:durableId="754978980">
    <w:abstractNumId w:val="4"/>
  </w:num>
  <w:num w:numId="11" w16cid:durableId="842283316">
    <w:abstractNumId w:val="8"/>
  </w:num>
  <w:num w:numId="12" w16cid:durableId="2094818310">
    <w:abstractNumId w:val="3"/>
  </w:num>
  <w:num w:numId="13" w16cid:durableId="813133641">
    <w:abstractNumId w:val="2"/>
  </w:num>
  <w:num w:numId="14" w16cid:durableId="107823821">
    <w:abstractNumId w:val="1"/>
  </w:num>
  <w:num w:numId="15" w16cid:durableId="1105226014">
    <w:abstractNumId w:val="0"/>
  </w:num>
  <w:num w:numId="16" w16cid:durableId="1949653493">
    <w:abstractNumId w:val="8"/>
  </w:num>
  <w:num w:numId="17" w16cid:durableId="1229540247">
    <w:abstractNumId w:val="3"/>
  </w:num>
  <w:num w:numId="18" w16cid:durableId="1013535142">
    <w:abstractNumId w:val="2"/>
  </w:num>
  <w:num w:numId="19" w16cid:durableId="1309549858">
    <w:abstractNumId w:val="1"/>
  </w:num>
  <w:num w:numId="20" w16cid:durableId="946426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58"/>
    <w:rsid w:val="00002529"/>
    <w:rsid w:val="00005EBD"/>
    <w:rsid w:val="0001239D"/>
    <w:rsid w:val="00020CC0"/>
    <w:rsid w:val="0003385F"/>
    <w:rsid w:val="00065CF1"/>
    <w:rsid w:val="000772A8"/>
    <w:rsid w:val="00085662"/>
    <w:rsid w:val="000C382F"/>
    <w:rsid w:val="00101541"/>
    <w:rsid w:val="001173CC"/>
    <w:rsid w:val="001350B9"/>
    <w:rsid w:val="0014464D"/>
    <w:rsid w:val="001A54CC"/>
    <w:rsid w:val="00210298"/>
    <w:rsid w:val="00257FB4"/>
    <w:rsid w:val="002E496E"/>
    <w:rsid w:val="00303A47"/>
    <w:rsid w:val="00303D62"/>
    <w:rsid w:val="00335367"/>
    <w:rsid w:val="00370C2D"/>
    <w:rsid w:val="003B0CBC"/>
    <w:rsid w:val="003D1E8D"/>
    <w:rsid w:val="003D673B"/>
    <w:rsid w:val="003E2F28"/>
    <w:rsid w:val="003F2855"/>
    <w:rsid w:val="00401C20"/>
    <w:rsid w:val="004A7957"/>
    <w:rsid w:val="004C4144"/>
    <w:rsid w:val="00535BC2"/>
    <w:rsid w:val="005543B0"/>
    <w:rsid w:val="0055719E"/>
    <w:rsid w:val="0061249B"/>
    <w:rsid w:val="006969B4"/>
    <w:rsid w:val="006E4F7B"/>
    <w:rsid w:val="006E5B69"/>
    <w:rsid w:val="00781E2A"/>
    <w:rsid w:val="007933A2"/>
    <w:rsid w:val="007B6316"/>
    <w:rsid w:val="00814503"/>
    <w:rsid w:val="008258C2"/>
    <w:rsid w:val="008505BD"/>
    <w:rsid w:val="00850C78"/>
    <w:rsid w:val="00854D26"/>
    <w:rsid w:val="00862837"/>
    <w:rsid w:val="008658F7"/>
    <w:rsid w:val="00876165"/>
    <w:rsid w:val="00884D12"/>
    <w:rsid w:val="008C17AD"/>
    <w:rsid w:val="008D02CD"/>
    <w:rsid w:val="008E6656"/>
    <w:rsid w:val="0091370C"/>
    <w:rsid w:val="0095172A"/>
    <w:rsid w:val="009A0BA0"/>
    <w:rsid w:val="00A31158"/>
    <w:rsid w:val="00A54E47"/>
    <w:rsid w:val="00AB6E3A"/>
    <w:rsid w:val="00AE7093"/>
    <w:rsid w:val="00B422BC"/>
    <w:rsid w:val="00B43F77"/>
    <w:rsid w:val="00B55A3E"/>
    <w:rsid w:val="00B7467A"/>
    <w:rsid w:val="00B87E9E"/>
    <w:rsid w:val="00B95F0A"/>
    <w:rsid w:val="00B96180"/>
    <w:rsid w:val="00BA6F31"/>
    <w:rsid w:val="00BD67C8"/>
    <w:rsid w:val="00C116FE"/>
    <w:rsid w:val="00C17AC0"/>
    <w:rsid w:val="00C34772"/>
    <w:rsid w:val="00C5465A"/>
    <w:rsid w:val="00C71F5D"/>
    <w:rsid w:val="00CA02E3"/>
    <w:rsid w:val="00D37978"/>
    <w:rsid w:val="00D54642"/>
    <w:rsid w:val="00D834E7"/>
    <w:rsid w:val="00DC69BF"/>
    <w:rsid w:val="00DD77C9"/>
    <w:rsid w:val="00DF3538"/>
    <w:rsid w:val="00E839B0"/>
    <w:rsid w:val="00E92C09"/>
    <w:rsid w:val="00F14380"/>
    <w:rsid w:val="00F27B0B"/>
    <w:rsid w:val="00F63989"/>
    <w:rsid w:val="00F6461F"/>
    <w:rsid w:val="00F835CE"/>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B0B40"/>
  <w15:docId w15:val="{5B4F3BED-0458-4426-AA5D-B74EAC68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8658F7"/>
    <w:rPr>
      <w:color w:val="605E5C"/>
      <w:shd w:val="clear" w:color="auto" w:fill="E1DFDD"/>
    </w:rPr>
  </w:style>
  <w:style w:type="paragraph" w:customStyle="1" w:styleId="Default">
    <w:name w:val="Default"/>
    <w:rsid w:val="008658F7"/>
    <w:pPr>
      <w:autoSpaceDE w:val="0"/>
      <w:autoSpaceDN w:val="0"/>
      <w:adjustRightInd w:val="0"/>
    </w:pPr>
    <w:rPr>
      <w:rFonts w:ascii="Times New Roman" w:hAnsi="Times New Roman"/>
      <w:color w:val="000000"/>
      <w:sz w:val="24"/>
      <w:szCs w:val="24"/>
      <w:lang w:val="es-ES"/>
    </w:rPr>
  </w:style>
  <w:style w:type="paragraph" w:styleId="ListParagraph">
    <w:name w:val="List Paragraph"/>
    <w:basedOn w:val="Normal"/>
    <w:qFormat/>
    <w:rsid w:val="008658F7"/>
    <w:pPr>
      <w:ind w:left="720"/>
      <w:contextualSpacing/>
    </w:pPr>
    <w:rPr>
      <w:rFonts w:ascii="Calibri" w:hAnsi="Calibri"/>
      <w:lang w:val="es-ES"/>
    </w:rPr>
  </w:style>
  <w:style w:type="paragraph" w:customStyle="1" w:styleId="Reasons">
    <w:name w:val="Reasons"/>
    <w:basedOn w:val="Normal"/>
    <w:qFormat/>
    <w:rsid w:val="0061249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Revision">
    <w:name w:val="Revision"/>
    <w:hidden/>
    <w:uiPriority w:val="99"/>
    <w:semiHidden/>
    <w:rsid w:val="0003385F"/>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ss@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ss.itu.int/" TargetMode="External"/><Relationship Id="rId5" Type="http://schemas.openxmlformats.org/officeDocument/2006/relationships/webSettings" Target="webSettings.xml"/><Relationship Id="rId15" Type="http://schemas.openxmlformats.org/officeDocument/2006/relationships/hyperlink" Target="mailto:gss@itu.int" TargetMode="External"/><Relationship Id="rId10" Type="http://schemas.openxmlformats.org/officeDocument/2006/relationships/hyperlink" Target="https://www.itu.int/md/T22-TSB-CIR-0178/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ss@itu.int" TargetMode="External"/><Relationship Id="rId14" Type="http://schemas.openxmlformats.org/officeDocument/2006/relationships/hyperlink" Target="https://extranet.itu.int/sites/itu-t/wtsa-24/gss/Pages/travel-gran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fellowships/Documents/2023/ListEligibleCountries20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quez\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13</TotalTime>
  <Pages>3</Pages>
  <Words>1116</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7362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6</cp:revision>
  <cp:lastPrinted>2024-08-19T08:50:00Z</cp:lastPrinted>
  <dcterms:created xsi:type="dcterms:W3CDTF">2024-07-16T12:21:00Z</dcterms:created>
  <dcterms:modified xsi:type="dcterms:W3CDTF">2024-08-19T08:51:00Z</dcterms:modified>
</cp:coreProperties>
</file>