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3148"/>
        <w:gridCol w:w="5415"/>
      </w:tblGrid>
      <w:tr w:rsidR="00EF6A23" w:rsidRPr="00426B28" w14:paraId="3FDAE1F3" w14:textId="77777777" w:rsidTr="000B2F37">
        <w:trPr>
          <w:cantSplit/>
        </w:trPr>
        <w:tc>
          <w:tcPr>
            <w:tcW w:w="1421" w:type="dxa"/>
            <w:vAlign w:val="center"/>
          </w:tcPr>
          <w:p w14:paraId="3DE42CAA" w14:textId="1B74BE22" w:rsidR="00EF6A23" w:rsidRPr="00426B28" w:rsidRDefault="00EF6A23" w:rsidP="0009036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26B28">
              <w:rPr>
                <w:noProof/>
                <w:lang w:eastAsia="fr-CH"/>
              </w:rPr>
              <w:drawing>
                <wp:inline distT="0" distB="0" distL="0" distR="0" wp14:anchorId="05764050" wp14:editId="16699B8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426B28" w:rsidRDefault="00EF6A23" w:rsidP="0009036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26B2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426B28" w:rsidRDefault="00EF6A23" w:rsidP="0009036F">
            <w:pPr>
              <w:spacing w:before="0"/>
              <w:rPr>
                <w:color w:val="FFFFFF"/>
                <w:sz w:val="26"/>
                <w:szCs w:val="26"/>
              </w:rPr>
            </w:pPr>
            <w:r w:rsidRPr="00426B2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26B2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0B2F37" w14:paraId="18B25741" w14:textId="77777777" w:rsidTr="000B2F37">
        <w:trPr>
          <w:cantSplit/>
        </w:trPr>
        <w:tc>
          <w:tcPr>
            <w:tcW w:w="1421" w:type="dxa"/>
          </w:tcPr>
          <w:p w14:paraId="4B1AFD72" w14:textId="77777777" w:rsidR="00036F4F" w:rsidRPr="000B2F37" w:rsidRDefault="00036F4F" w:rsidP="0009036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3117" w:type="dxa"/>
          </w:tcPr>
          <w:p w14:paraId="6579D3E8" w14:textId="77777777" w:rsidR="00036F4F" w:rsidRPr="000B2F37" w:rsidRDefault="00036F4F" w:rsidP="0009036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333" w:type="dxa"/>
          </w:tcPr>
          <w:p w14:paraId="0DC34ECA" w14:textId="16A5D76B" w:rsidR="00036F4F" w:rsidRPr="000B2F37" w:rsidRDefault="000A217E" w:rsidP="000B2F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rPr>
                <w:sz w:val="22"/>
                <w:szCs w:val="18"/>
              </w:rPr>
            </w:pPr>
            <w:bookmarkStart w:id="0" w:name="lt_pId019"/>
            <w:r w:rsidRPr="000B2F37">
              <w:rPr>
                <w:sz w:val="22"/>
                <w:szCs w:val="18"/>
              </w:rPr>
              <w:t xml:space="preserve">Genève, le </w:t>
            </w:r>
            <w:bookmarkEnd w:id="0"/>
            <w:r w:rsidR="006B2E7B" w:rsidRPr="000B2F37">
              <w:rPr>
                <w:sz w:val="22"/>
                <w:szCs w:val="18"/>
              </w:rPr>
              <w:t>8 juillet 2024</w:t>
            </w:r>
          </w:p>
        </w:tc>
      </w:tr>
      <w:tr w:rsidR="006E23D3" w:rsidRPr="000B2F37" w14:paraId="16CDDFEF" w14:textId="77777777" w:rsidTr="000B2F37">
        <w:trPr>
          <w:cantSplit/>
          <w:trHeight w:val="340"/>
        </w:trPr>
        <w:tc>
          <w:tcPr>
            <w:tcW w:w="1421" w:type="dxa"/>
          </w:tcPr>
          <w:p w14:paraId="3EFF375D" w14:textId="58556577" w:rsidR="006E23D3" w:rsidRPr="000B2F37" w:rsidRDefault="006E23D3" w:rsidP="000B2F37">
            <w:pPr>
              <w:tabs>
                <w:tab w:val="left" w:pos="4111"/>
              </w:tabs>
              <w:spacing w:before="10"/>
              <w:ind w:left="140"/>
              <w:rPr>
                <w:b/>
                <w:bCs/>
                <w:sz w:val="22"/>
                <w:szCs w:val="18"/>
              </w:rPr>
            </w:pPr>
            <w:proofErr w:type="gramStart"/>
            <w:r w:rsidRPr="000B2F37">
              <w:rPr>
                <w:b/>
                <w:bCs/>
                <w:sz w:val="22"/>
                <w:szCs w:val="18"/>
              </w:rPr>
              <w:t>Réf.:</w:t>
            </w:r>
            <w:proofErr w:type="gramEnd"/>
          </w:p>
        </w:tc>
        <w:tc>
          <w:tcPr>
            <w:tcW w:w="3117" w:type="dxa"/>
          </w:tcPr>
          <w:p w14:paraId="5FFBBC9B" w14:textId="4C202697" w:rsidR="006E23D3" w:rsidRPr="000B2F37" w:rsidRDefault="006E23D3" w:rsidP="0009036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0B2F37">
              <w:rPr>
                <w:b/>
                <w:sz w:val="22"/>
                <w:szCs w:val="18"/>
              </w:rPr>
              <w:t xml:space="preserve">Circulaire TSB </w:t>
            </w:r>
            <w:r w:rsidR="00A94B85" w:rsidRPr="000B2F37">
              <w:rPr>
                <w:b/>
                <w:sz w:val="22"/>
                <w:szCs w:val="18"/>
              </w:rPr>
              <w:t>154</w:t>
            </w:r>
          </w:p>
          <w:p w14:paraId="577F6DA2" w14:textId="1D0903F3" w:rsidR="006E23D3" w:rsidRPr="000B2F37" w:rsidRDefault="006E23D3" w:rsidP="0009036F">
            <w:pPr>
              <w:tabs>
                <w:tab w:val="left" w:pos="4111"/>
              </w:tabs>
              <w:spacing w:before="10" w:after="40"/>
              <w:ind w:left="57"/>
              <w:rPr>
                <w:sz w:val="22"/>
                <w:szCs w:val="18"/>
              </w:rPr>
            </w:pPr>
            <w:r w:rsidRPr="000B2F37">
              <w:rPr>
                <w:sz w:val="22"/>
                <w:szCs w:val="18"/>
              </w:rPr>
              <w:t>C</w:t>
            </w:r>
            <w:r w:rsidR="0074463F" w:rsidRPr="000B2F37">
              <w:rPr>
                <w:sz w:val="22"/>
                <w:szCs w:val="18"/>
              </w:rPr>
              <w:t>E</w:t>
            </w:r>
            <w:r w:rsidRPr="000B2F37">
              <w:rPr>
                <w:sz w:val="22"/>
                <w:szCs w:val="18"/>
              </w:rPr>
              <w:t xml:space="preserve"> </w:t>
            </w:r>
            <w:r w:rsidR="00A94B85" w:rsidRPr="000B2F37">
              <w:rPr>
                <w:sz w:val="22"/>
                <w:szCs w:val="18"/>
              </w:rPr>
              <w:t>2/RC</w:t>
            </w:r>
          </w:p>
        </w:tc>
        <w:tc>
          <w:tcPr>
            <w:tcW w:w="5333" w:type="dxa"/>
            <w:vMerge w:val="restart"/>
          </w:tcPr>
          <w:p w14:paraId="56FFB697" w14:textId="77777777" w:rsidR="006E23D3" w:rsidRPr="000B2F37" w:rsidRDefault="006E23D3" w:rsidP="0009036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18"/>
              </w:rPr>
            </w:pPr>
            <w:bookmarkStart w:id="1" w:name="Addressee_F"/>
            <w:bookmarkEnd w:id="1"/>
            <w:r w:rsidRPr="000B2F37">
              <w:rPr>
                <w:b/>
                <w:bCs/>
                <w:sz w:val="22"/>
                <w:szCs w:val="18"/>
              </w:rPr>
              <w:t>Aux:</w:t>
            </w:r>
          </w:p>
          <w:p w14:paraId="4D6BA19F" w14:textId="1A9620C2" w:rsidR="006E23D3" w:rsidRPr="000B2F37" w:rsidRDefault="006E23D3" w:rsidP="0009036F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0B2F37">
              <w:rPr>
                <w:sz w:val="22"/>
                <w:szCs w:val="18"/>
              </w:rPr>
              <w:t>–</w:t>
            </w:r>
            <w:r w:rsidRPr="000B2F37">
              <w:rPr>
                <w:sz w:val="22"/>
                <w:szCs w:val="18"/>
              </w:rPr>
              <w:tab/>
              <w:t xml:space="preserve">Administrations </w:t>
            </w:r>
            <w:r w:rsidR="00716069" w:rsidRPr="000B2F37">
              <w:rPr>
                <w:sz w:val="22"/>
                <w:szCs w:val="18"/>
              </w:rPr>
              <w:t>des États Membres de l'Union</w:t>
            </w:r>
          </w:p>
          <w:p w14:paraId="352436D1" w14:textId="77777777" w:rsidR="006E23D3" w:rsidRPr="000B2F37" w:rsidRDefault="006E23D3" w:rsidP="000B2F3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  <w:rPr>
                <w:b/>
                <w:bCs/>
                <w:sz w:val="22"/>
                <w:szCs w:val="18"/>
              </w:rPr>
            </w:pPr>
            <w:r w:rsidRPr="000B2F37">
              <w:rPr>
                <w:b/>
                <w:bCs/>
                <w:sz w:val="22"/>
                <w:szCs w:val="18"/>
              </w:rPr>
              <w:t>Copie:</w:t>
            </w:r>
          </w:p>
          <w:p w14:paraId="4957B289" w14:textId="6F6A8D6A" w:rsidR="006E23D3" w:rsidRPr="000B2F37" w:rsidRDefault="006E23D3" w:rsidP="000B2F37">
            <w:pPr>
              <w:tabs>
                <w:tab w:val="left" w:pos="4111"/>
              </w:tabs>
              <w:spacing w:before="0"/>
              <w:ind w:left="425" w:hanging="425"/>
              <w:rPr>
                <w:sz w:val="22"/>
                <w:szCs w:val="18"/>
              </w:rPr>
            </w:pPr>
            <w:r w:rsidRPr="000B2F37">
              <w:rPr>
                <w:sz w:val="22"/>
                <w:szCs w:val="18"/>
              </w:rPr>
              <w:t>–</w:t>
            </w:r>
            <w:r w:rsidRPr="000B2F37">
              <w:rPr>
                <w:sz w:val="22"/>
                <w:szCs w:val="18"/>
              </w:rPr>
              <w:tab/>
              <w:t>Aux Membres du Secteur de l'UIT-T;</w:t>
            </w:r>
          </w:p>
          <w:p w14:paraId="44691DF7" w14:textId="025B5D75" w:rsidR="006E23D3" w:rsidRPr="000B2F37" w:rsidRDefault="006E23D3" w:rsidP="0009036F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0B2F37">
              <w:rPr>
                <w:sz w:val="22"/>
                <w:szCs w:val="18"/>
              </w:rPr>
              <w:t>–</w:t>
            </w:r>
            <w:r w:rsidRPr="000B2F37">
              <w:rPr>
                <w:sz w:val="22"/>
                <w:szCs w:val="18"/>
              </w:rPr>
              <w:tab/>
              <w:t xml:space="preserve">Aux Associés de la Commission d'études </w:t>
            </w:r>
            <w:r w:rsidR="00A94B85" w:rsidRPr="000B2F37">
              <w:rPr>
                <w:sz w:val="22"/>
                <w:szCs w:val="18"/>
              </w:rPr>
              <w:t>2</w:t>
            </w:r>
            <w:r w:rsidRPr="000B2F37">
              <w:rPr>
                <w:sz w:val="22"/>
                <w:szCs w:val="18"/>
              </w:rPr>
              <w:t xml:space="preserve"> de</w:t>
            </w:r>
            <w:r w:rsidR="0009036F" w:rsidRPr="000B2F37">
              <w:rPr>
                <w:sz w:val="22"/>
                <w:szCs w:val="18"/>
              </w:rPr>
              <w:t> </w:t>
            </w:r>
            <w:r w:rsidRPr="000B2F37">
              <w:rPr>
                <w:sz w:val="22"/>
                <w:szCs w:val="18"/>
              </w:rPr>
              <w:t>l'UIT-T;</w:t>
            </w:r>
          </w:p>
          <w:p w14:paraId="0FAF71AA" w14:textId="760B0AF9" w:rsidR="006E23D3" w:rsidRPr="000B2F37" w:rsidRDefault="006E23D3" w:rsidP="0009036F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b/>
                <w:bCs/>
                <w:sz w:val="22"/>
                <w:szCs w:val="18"/>
              </w:rPr>
            </w:pPr>
            <w:r w:rsidRPr="000B2F37">
              <w:rPr>
                <w:sz w:val="22"/>
                <w:szCs w:val="18"/>
              </w:rPr>
              <w:t>–</w:t>
            </w:r>
            <w:r w:rsidRPr="000B2F37">
              <w:rPr>
                <w:sz w:val="22"/>
                <w:szCs w:val="18"/>
              </w:rPr>
              <w:tab/>
              <w:t>Aux établissements universitaires participant aux travaux de l'UIT;</w:t>
            </w:r>
          </w:p>
          <w:p w14:paraId="58A82D92" w14:textId="034EEC5D" w:rsidR="006E23D3" w:rsidRPr="000B2F37" w:rsidRDefault="006E23D3" w:rsidP="0009036F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0B2F37">
              <w:rPr>
                <w:sz w:val="22"/>
                <w:szCs w:val="18"/>
              </w:rPr>
              <w:t>–</w:t>
            </w:r>
            <w:r w:rsidRPr="000B2F37">
              <w:rPr>
                <w:sz w:val="22"/>
                <w:szCs w:val="18"/>
              </w:rPr>
              <w:tab/>
              <w:t xml:space="preserve">Aux </w:t>
            </w:r>
            <w:r w:rsidR="00677CFE" w:rsidRPr="000B2F37">
              <w:rPr>
                <w:sz w:val="22"/>
                <w:szCs w:val="18"/>
              </w:rPr>
              <w:t>Président</w:t>
            </w:r>
            <w:r w:rsidRPr="000B2F37">
              <w:rPr>
                <w:sz w:val="22"/>
                <w:szCs w:val="18"/>
              </w:rPr>
              <w:t xml:space="preserve"> et </w:t>
            </w:r>
            <w:r w:rsidR="00677CFE" w:rsidRPr="000B2F37">
              <w:rPr>
                <w:sz w:val="22"/>
                <w:szCs w:val="18"/>
              </w:rPr>
              <w:t>V</w:t>
            </w:r>
            <w:r w:rsidRPr="000B2F37">
              <w:rPr>
                <w:sz w:val="22"/>
                <w:szCs w:val="18"/>
              </w:rPr>
              <w:t>ice-</w:t>
            </w:r>
            <w:r w:rsidR="00677CFE" w:rsidRPr="000B2F37">
              <w:rPr>
                <w:sz w:val="22"/>
                <w:szCs w:val="18"/>
              </w:rPr>
              <w:t>P</w:t>
            </w:r>
            <w:r w:rsidRPr="000B2F37">
              <w:rPr>
                <w:sz w:val="22"/>
                <w:szCs w:val="18"/>
              </w:rPr>
              <w:t xml:space="preserve">résidents de la Commission d'études </w:t>
            </w:r>
            <w:r w:rsidR="00677CFE" w:rsidRPr="000B2F37">
              <w:rPr>
                <w:sz w:val="22"/>
                <w:szCs w:val="18"/>
              </w:rPr>
              <w:t>2</w:t>
            </w:r>
            <w:r w:rsidRPr="000B2F37">
              <w:rPr>
                <w:sz w:val="22"/>
                <w:szCs w:val="18"/>
              </w:rPr>
              <w:t xml:space="preserve"> de l'UIT-T;</w:t>
            </w:r>
          </w:p>
          <w:p w14:paraId="46E91753" w14:textId="77777777" w:rsidR="006E23D3" w:rsidRPr="000B2F37" w:rsidRDefault="006E23D3" w:rsidP="0009036F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0B2F37">
              <w:rPr>
                <w:sz w:val="22"/>
                <w:szCs w:val="18"/>
              </w:rPr>
              <w:t>–</w:t>
            </w:r>
            <w:r w:rsidRPr="000B2F37">
              <w:rPr>
                <w:sz w:val="22"/>
                <w:szCs w:val="18"/>
              </w:rPr>
              <w:tab/>
              <w:t>Au Directeur du Bureau de développement des télécommunications;</w:t>
            </w:r>
          </w:p>
          <w:p w14:paraId="461460AE" w14:textId="7730AA75" w:rsidR="006E23D3" w:rsidRPr="000B2F37" w:rsidRDefault="006E23D3" w:rsidP="0009036F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0B2F37">
              <w:rPr>
                <w:sz w:val="22"/>
                <w:szCs w:val="18"/>
              </w:rPr>
              <w:t>–</w:t>
            </w:r>
            <w:r w:rsidRPr="000B2F37">
              <w:rPr>
                <w:sz w:val="22"/>
                <w:szCs w:val="18"/>
              </w:rPr>
              <w:tab/>
              <w:t>Au Directeur du Bureau des radiocommunications</w:t>
            </w:r>
          </w:p>
        </w:tc>
      </w:tr>
      <w:tr w:rsidR="006E23D3" w:rsidRPr="000B2F37" w14:paraId="06A3F0E7" w14:textId="77777777" w:rsidTr="000B2F37">
        <w:trPr>
          <w:cantSplit/>
          <w:trHeight w:val="340"/>
        </w:trPr>
        <w:tc>
          <w:tcPr>
            <w:tcW w:w="1421" w:type="dxa"/>
          </w:tcPr>
          <w:p w14:paraId="5CF43A7B" w14:textId="1AE77993" w:rsidR="006E23D3" w:rsidRPr="000B2F37" w:rsidRDefault="006E23D3" w:rsidP="000B2F37">
            <w:pPr>
              <w:tabs>
                <w:tab w:val="left" w:pos="4111"/>
              </w:tabs>
              <w:spacing w:before="40" w:after="40"/>
              <w:ind w:left="140"/>
              <w:rPr>
                <w:b/>
                <w:bCs/>
                <w:sz w:val="22"/>
                <w:szCs w:val="18"/>
              </w:rPr>
            </w:pPr>
            <w:proofErr w:type="gramStart"/>
            <w:r w:rsidRPr="000B2F37">
              <w:rPr>
                <w:b/>
                <w:bCs/>
                <w:sz w:val="22"/>
                <w:szCs w:val="18"/>
              </w:rPr>
              <w:t>Tél.:</w:t>
            </w:r>
            <w:proofErr w:type="gramEnd"/>
          </w:p>
        </w:tc>
        <w:tc>
          <w:tcPr>
            <w:tcW w:w="3117" w:type="dxa"/>
          </w:tcPr>
          <w:p w14:paraId="2074781F" w14:textId="724FFC2E" w:rsidR="006E23D3" w:rsidRPr="000B2F37" w:rsidRDefault="006E23D3" w:rsidP="0009036F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18"/>
              </w:rPr>
            </w:pPr>
            <w:r w:rsidRPr="000B2F37">
              <w:rPr>
                <w:sz w:val="22"/>
                <w:szCs w:val="18"/>
              </w:rPr>
              <w:t xml:space="preserve">+41 22 </w:t>
            </w:r>
            <w:r w:rsidRPr="000B2F37">
              <w:rPr>
                <w:sz w:val="22"/>
                <w:szCs w:val="22"/>
              </w:rPr>
              <w:t xml:space="preserve">730 </w:t>
            </w:r>
            <w:r w:rsidR="00A94B85" w:rsidRPr="000B2F37">
              <w:rPr>
                <w:sz w:val="22"/>
                <w:szCs w:val="22"/>
              </w:rPr>
              <w:t>5415</w:t>
            </w:r>
          </w:p>
        </w:tc>
        <w:tc>
          <w:tcPr>
            <w:tcW w:w="5333" w:type="dxa"/>
            <w:vMerge/>
          </w:tcPr>
          <w:p w14:paraId="2F310545" w14:textId="5284D852" w:rsidR="006E23D3" w:rsidRPr="000B2F37" w:rsidRDefault="006E23D3" w:rsidP="0009036F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</w:p>
        </w:tc>
      </w:tr>
      <w:tr w:rsidR="006E23D3" w:rsidRPr="000B2F37" w14:paraId="724FD23E" w14:textId="77777777" w:rsidTr="000B2F37">
        <w:trPr>
          <w:cantSplit/>
        </w:trPr>
        <w:tc>
          <w:tcPr>
            <w:tcW w:w="1421" w:type="dxa"/>
          </w:tcPr>
          <w:p w14:paraId="73149CCD" w14:textId="66AE5F95" w:rsidR="006E23D3" w:rsidRPr="000B2F37" w:rsidRDefault="006E23D3" w:rsidP="000B2F37">
            <w:pPr>
              <w:tabs>
                <w:tab w:val="left" w:pos="4111"/>
              </w:tabs>
              <w:spacing w:before="40" w:after="40"/>
              <w:ind w:left="140"/>
              <w:rPr>
                <w:b/>
                <w:bCs/>
                <w:sz w:val="18"/>
                <w:szCs w:val="18"/>
              </w:rPr>
            </w:pPr>
            <w:r w:rsidRPr="000B2F37">
              <w:rPr>
                <w:b/>
                <w:bCs/>
                <w:sz w:val="22"/>
                <w:szCs w:val="18"/>
              </w:rPr>
              <w:t>Télécopie:</w:t>
            </w:r>
          </w:p>
        </w:tc>
        <w:tc>
          <w:tcPr>
            <w:tcW w:w="3117" w:type="dxa"/>
          </w:tcPr>
          <w:p w14:paraId="78D06186" w14:textId="04613082" w:rsidR="006E23D3" w:rsidRPr="000B2F37" w:rsidRDefault="006E23D3" w:rsidP="0009036F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18"/>
              </w:rPr>
            </w:pPr>
            <w:r w:rsidRPr="000B2F37">
              <w:rPr>
                <w:sz w:val="22"/>
                <w:szCs w:val="18"/>
              </w:rPr>
              <w:t xml:space="preserve">+41 22 730 </w:t>
            </w:r>
            <w:r w:rsidR="00A94B85" w:rsidRPr="000B2F37">
              <w:rPr>
                <w:sz w:val="22"/>
                <w:szCs w:val="18"/>
              </w:rPr>
              <w:t>5853</w:t>
            </w:r>
          </w:p>
        </w:tc>
        <w:tc>
          <w:tcPr>
            <w:tcW w:w="5333" w:type="dxa"/>
            <w:vMerge/>
          </w:tcPr>
          <w:p w14:paraId="6D3A5806" w14:textId="0A56B6E6" w:rsidR="006E23D3" w:rsidRPr="000B2F37" w:rsidRDefault="006E23D3" w:rsidP="0009036F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18"/>
              </w:rPr>
            </w:pPr>
          </w:p>
        </w:tc>
      </w:tr>
      <w:tr w:rsidR="0009036F" w:rsidRPr="000B2F37" w14:paraId="030F9AE5" w14:textId="77777777" w:rsidTr="000B2F37">
        <w:trPr>
          <w:cantSplit/>
          <w:trHeight w:val="889"/>
        </w:trPr>
        <w:tc>
          <w:tcPr>
            <w:tcW w:w="1421" w:type="dxa"/>
          </w:tcPr>
          <w:p w14:paraId="7B417C4C" w14:textId="409CB65C" w:rsidR="0009036F" w:rsidRPr="000B2F37" w:rsidRDefault="0009036F" w:rsidP="000B2F37">
            <w:pPr>
              <w:tabs>
                <w:tab w:val="left" w:pos="4111"/>
              </w:tabs>
              <w:spacing w:before="40" w:after="40"/>
              <w:ind w:left="140"/>
              <w:rPr>
                <w:b/>
                <w:bCs/>
                <w:sz w:val="18"/>
                <w:szCs w:val="18"/>
              </w:rPr>
            </w:pPr>
            <w:proofErr w:type="gramStart"/>
            <w:r w:rsidRPr="000B2F37">
              <w:rPr>
                <w:b/>
                <w:bCs/>
                <w:sz w:val="22"/>
                <w:szCs w:val="18"/>
              </w:rPr>
              <w:t>Courriel:</w:t>
            </w:r>
            <w:proofErr w:type="gramEnd"/>
          </w:p>
        </w:tc>
        <w:tc>
          <w:tcPr>
            <w:tcW w:w="3117" w:type="dxa"/>
          </w:tcPr>
          <w:p w14:paraId="1A4A5F7B" w14:textId="674EAAAB" w:rsidR="0009036F" w:rsidRPr="000B2F37" w:rsidRDefault="00E54F83" w:rsidP="0009036F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18"/>
              </w:rPr>
            </w:pPr>
            <w:hyperlink r:id="rId9" w:history="1">
              <w:bookmarkStart w:id="2" w:name="lt_pId044"/>
              <w:r w:rsidR="0009036F" w:rsidRPr="000B2F37">
                <w:rPr>
                  <w:rStyle w:val="Hyperlink"/>
                  <w:sz w:val="22"/>
                  <w:szCs w:val="18"/>
                </w:rPr>
                <w:t>tsbsg2@itu.int</w:t>
              </w:r>
              <w:bookmarkEnd w:id="2"/>
            </w:hyperlink>
          </w:p>
        </w:tc>
        <w:tc>
          <w:tcPr>
            <w:tcW w:w="5333" w:type="dxa"/>
            <w:vMerge/>
          </w:tcPr>
          <w:p w14:paraId="323DAC81" w14:textId="37915FE6" w:rsidR="0009036F" w:rsidRPr="000B2F37" w:rsidRDefault="0009036F" w:rsidP="0009036F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18"/>
              </w:rPr>
            </w:pPr>
          </w:p>
        </w:tc>
      </w:tr>
      <w:tr w:rsidR="00517A03" w:rsidRPr="000B2F37" w14:paraId="5435C04A" w14:textId="77777777" w:rsidTr="000B2F37">
        <w:trPr>
          <w:cantSplit/>
          <w:trHeight w:val="397"/>
        </w:trPr>
        <w:tc>
          <w:tcPr>
            <w:tcW w:w="1421" w:type="dxa"/>
          </w:tcPr>
          <w:p w14:paraId="2A0B9B4F" w14:textId="0C7FC5E1" w:rsidR="00517A03" w:rsidRPr="000B2F37" w:rsidRDefault="00517A03" w:rsidP="000B2F37">
            <w:pPr>
              <w:tabs>
                <w:tab w:val="left" w:pos="4111"/>
              </w:tabs>
              <w:ind w:left="140"/>
              <w:rPr>
                <w:b/>
                <w:bCs/>
                <w:sz w:val="22"/>
              </w:rPr>
            </w:pPr>
            <w:proofErr w:type="gramStart"/>
            <w:r w:rsidRPr="000B2F37">
              <w:rPr>
                <w:b/>
                <w:bCs/>
                <w:sz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557F7F4A" w:rsidR="00677CFE" w:rsidRPr="000B2F37" w:rsidRDefault="00677CFE" w:rsidP="0009036F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</w:rPr>
            </w:pPr>
            <w:r w:rsidRPr="000B2F37">
              <w:rPr>
                <w:b/>
                <w:bCs/>
                <w:sz w:val="22"/>
              </w:rPr>
              <w:t>Co</w:t>
            </w:r>
            <w:r w:rsidR="009F24E8" w:rsidRPr="000B2F37">
              <w:rPr>
                <w:b/>
                <w:bCs/>
                <w:sz w:val="22"/>
              </w:rPr>
              <w:t xml:space="preserve">nsultation des États Membres au sujet du texte déterminé </w:t>
            </w:r>
            <w:r w:rsidR="006B2E7B" w:rsidRPr="000B2F37">
              <w:rPr>
                <w:b/>
                <w:bCs/>
                <w:sz w:val="22"/>
              </w:rPr>
              <w:t>du</w:t>
            </w:r>
            <w:r w:rsidR="009F24E8" w:rsidRPr="000B2F37">
              <w:rPr>
                <w:b/>
                <w:bCs/>
                <w:sz w:val="22"/>
              </w:rPr>
              <w:t xml:space="preserve"> </w:t>
            </w:r>
            <w:r w:rsidR="0068290E" w:rsidRPr="000B2F37">
              <w:rPr>
                <w:b/>
                <w:bCs/>
                <w:sz w:val="22"/>
              </w:rPr>
              <w:t xml:space="preserve">projet de </w:t>
            </w:r>
            <w:r w:rsidR="009F24E8" w:rsidRPr="000B2F37">
              <w:rPr>
                <w:b/>
                <w:bCs/>
                <w:sz w:val="22"/>
              </w:rPr>
              <w:t>Recommandation</w:t>
            </w:r>
            <w:r w:rsidR="00793E09" w:rsidRPr="000B2F37">
              <w:rPr>
                <w:b/>
                <w:bCs/>
                <w:sz w:val="22"/>
              </w:rPr>
              <w:t xml:space="preserve"> révisée</w:t>
            </w:r>
            <w:r w:rsidR="009F24E8" w:rsidRPr="000B2F37">
              <w:rPr>
                <w:b/>
                <w:bCs/>
                <w:sz w:val="22"/>
              </w:rPr>
              <w:t xml:space="preserve"> UIT-T E.</w:t>
            </w:r>
            <w:r w:rsidR="006B2E7B" w:rsidRPr="000B2F37">
              <w:rPr>
                <w:b/>
                <w:bCs/>
                <w:sz w:val="22"/>
              </w:rPr>
              <w:t>190</w:t>
            </w:r>
            <w:r w:rsidR="009F24E8" w:rsidRPr="000B2F37">
              <w:rPr>
                <w:b/>
                <w:bCs/>
                <w:sz w:val="22"/>
              </w:rPr>
              <w:t xml:space="preserve"> et du projet de nouvelle Recommandation</w:t>
            </w:r>
            <w:r w:rsidR="00F269B9" w:rsidRPr="000B2F37">
              <w:rPr>
                <w:b/>
                <w:bCs/>
                <w:sz w:val="22"/>
              </w:rPr>
              <w:t> </w:t>
            </w:r>
            <w:r w:rsidR="009F24E8" w:rsidRPr="000B2F37">
              <w:rPr>
                <w:b/>
                <w:bCs/>
                <w:sz w:val="22"/>
              </w:rPr>
              <w:t xml:space="preserve">UIT-T </w:t>
            </w:r>
            <w:r w:rsidR="006B2E7B" w:rsidRPr="000B2F37">
              <w:rPr>
                <w:b/>
                <w:bCs/>
                <w:sz w:val="22"/>
              </w:rPr>
              <w:t>E.1120</w:t>
            </w:r>
            <w:r w:rsidR="009F24E8" w:rsidRPr="000B2F37">
              <w:rPr>
                <w:b/>
                <w:bCs/>
                <w:sz w:val="22"/>
              </w:rPr>
              <w:t xml:space="preserve"> (anciennement </w:t>
            </w:r>
            <w:r w:rsidR="006B2E7B" w:rsidRPr="000B2F37">
              <w:rPr>
                <w:b/>
                <w:bCs/>
                <w:sz w:val="22"/>
              </w:rPr>
              <w:t>E.gap</w:t>
            </w:r>
            <w:r w:rsidR="009F24E8" w:rsidRPr="000B2F37">
              <w:rPr>
                <w:b/>
                <w:bCs/>
                <w:sz w:val="22"/>
              </w:rPr>
              <w:t>)</w:t>
            </w:r>
            <w:r w:rsidR="00A52C9A" w:rsidRPr="000B2F37">
              <w:rPr>
                <w:b/>
                <w:bCs/>
                <w:sz w:val="22"/>
              </w:rPr>
              <w:t>,</w:t>
            </w:r>
            <w:r w:rsidR="009F24E8" w:rsidRPr="000B2F37">
              <w:rPr>
                <w:b/>
                <w:bCs/>
                <w:sz w:val="22"/>
              </w:rPr>
              <w:t xml:space="preserve"> </w:t>
            </w:r>
            <w:r w:rsidR="0068290E" w:rsidRPr="000B2F37">
              <w:rPr>
                <w:b/>
                <w:bCs/>
                <w:sz w:val="22"/>
              </w:rPr>
              <w:t>qu'il est proposé d'approuver à la réunion de la Commission d'études 2 de l'UIT-T (</w:t>
            </w:r>
            <w:r w:rsidR="006B2E7B" w:rsidRPr="000B2F37">
              <w:rPr>
                <w:b/>
                <w:bCs/>
                <w:sz w:val="22"/>
              </w:rPr>
              <w:t>Genève, 5-14 février 2025</w:t>
            </w:r>
            <w:r w:rsidR="0068290E" w:rsidRPr="000B2F37">
              <w:rPr>
                <w:b/>
                <w:bCs/>
                <w:sz w:val="22"/>
              </w:rPr>
              <w:t>)</w:t>
            </w:r>
          </w:p>
        </w:tc>
      </w:tr>
    </w:tbl>
    <w:p w14:paraId="60BDEC07" w14:textId="723070A7" w:rsidR="000A217E" w:rsidRPr="000B2F37" w:rsidRDefault="00517A03" w:rsidP="000B2F37">
      <w:pPr>
        <w:pStyle w:val="Normalaftertitle"/>
        <w:spacing w:before="120"/>
        <w:rPr>
          <w:sz w:val="22"/>
          <w:szCs w:val="18"/>
        </w:rPr>
      </w:pPr>
      <w:bookmarkStart w:id="3" w:name="StartTyping_F"/>
      <w:bookmarkEnd w:id="3"/>
      <w:r w:rsidRPr="000B2F37">
        <w:rPr>
          <w:sz w:val="22"/>
          <w:szCs w:val="18"/>
        </w:rPr>
        <w:t>Madame, Monsieur,</w:t>
      </w:r>
    </w:p>
    <w:p w14:paraId="63A81DD2" w14:textId="6A08D729" w:rsidR="00A01286" w:rsidRPr="000B2F37" w:rsidRDefault="000A217E" w:rsidP="00F628AE">
      <w:pPr>
        <w:rPr>
          <w:sz w:val="22"/>
          <w:szCs w:val="18"/>
        </w:rPr>
      </w:pPr>
      <w:r w:rsidRPr="000B2F37">
        <w:rPr>
          <w:sz w:val="22"/>
          <w:szCs w:val="18"/>
        </w:rPr>
        <w:t>1</w:t>
      </w:r>
      <w:r w:rsidRPr="000B2F37">
        <w:rPr>
          <w:sz w:val="22"/>
          <w:szCs w:val="18"/>
        </w:rPr>
        <w:tab/>
      </w:r>
      <w:r w:rsidR="00A01286" w:rsidRPr="000B2F37">
        <w:rPr>
          <w:sz w:val="22"/>
          <w:szCs w:val="18"/>
        </w:rPr>
        <w:t>La Commission d'études 2 de l'UIT-T (</w:t>
      </w:r>
      <w:r w:rsidR="00A01286" w:rsidRPr="000B2F37">
        <w:rPr>
          <w:i/>
          <w:sz w:val="22"/>
          <w:szCs w:val="18"/>
        </w:rPr>
        <w:t>Aspects opérationnels de la fourniture de services et de la gestion des télécommunications</w:t>
      </w:r>
      <w:r w:rsidR="00A01286" w:rsidRPr="000B2F37">
        <w:rPr>
          <w:sz w:val="22"/>
          <w:szCs w:val="18"/>
        </w:rPr>
        <w:t>) a l'intention d'appliquer la procédure d'approbation traditionnelle énoncée dans la section 9 de la Résolution 1 (Rév. Genève, 2022) de l'AMNT pour l'approbation d</w:t>
      </w:r>
      <w:r w:rsidR="000F3791" w:rsidRPr="000B2F37">
        <w:rPr>
          <w:sz w:val="22"/>
          <w:szCs w:val="18"/>
        </w:rPr>
        <w:t xml:space="preserve">es </w:t>
      </w:r>
      <w:r w:rsidR="00A01286" w:rsidRPr="000B2F37">
        <w:rPr>
          <w:sz w:val="22"/>
          <w:szCs w:val="18"/>
        </w:rPr>
        <w:t>projet</w:t>
      </w:r>
      <w:r w:rsidR="000F3791" w:rsidRPr="000B2F37">
        <w:rPr>
          <w:sz w:val="22"/>
          <w:szCs w:val="18"/>
        </w:rPr>
        <w:t>s</w:t>
      </w:r>
      <w:r w:rsidR="00A01286" w:rsidRPr="000B2F37">
        <w:rPr>
          <w:sz w:val="22"/>
          <w:szCs w:val="18"/>
        </w:rPr>
        <w:t xml:space="preserve"> de texte mentionné</w:t>
      </w:r>
      <w:r w:rsidR="000F3791" w:rsidRPr="000B2F37">
        <w:rPr>
          <w:sz w:val="22"/>
          <w:szCs w:val="18"/>
        </w:rPr>
        <w:t>s</w:t>
      </w:r>
      <w:r w:rsidR="00A01286" w:rsidRPr="000B2F37">
        <w:rPr>
          <w:sz w:val="22"/>
          <w:szCs w:val="18"/>
        </w:rPr>
        <w:t xml:space="preserve"> ci-dessus à sa prochaine réunion, qui se tiendra </w:t>
      </w:r>
      <w:r w:rsidR="006B2E7B" w:rsidRPr="000B2F37">
        <w:rPr>
          <w:sz w:val="22"/>
          <w:szCs w:val="18"/>
        </w:rPr>
        <w:t>du</w:t>
      </w:r>
      <w:r w:rsidR="00F269B9" w:rsidRPr="000B2F37">
        <w:rPr>
          <w:sz w:val="22"/>
          <w:szCs w:val="18"/>
        </w:rPr>
        <w:t> </w:t>
      </w:r>
      <w:r w:rsidR="006B2E7B" w:rsidRPr="000B2F37">
        <w:rPr>
          <w:sz w:val="22"/>
          <w:szCs w:val="18"/>
        </w:rPr>
        <w:t>5</w:t>
      </w:r>
      <w:r w:rsidR="00F269B9" w:rsidRPr="000B2F37">
        <w:rPr>
          <w:sz w:val="22"/>
          <w:szCs w:val="18"/>
        </w:rPr>
        <w:t> </w:t>
      </w:r>
      <w:r w:rsidR="006B2E7B" w:rsidRPr="000B2F37">
        <w:rPr>
          <w:sz w:val="22"/>
          <w:szCs w:val="18"/>
        </w:rPr>
        <w:t>au 14 février 2025</w:t>
      </w:r>
      <w:r w:rsidR="00A01286" w:rsidRPr="000B2F37">
        <w:rPr>
          <w:sz w:val="22"/>
          <w:szCs w:val="18"/>
        </w:rPr>
        <w:t>.</w:t>
      </w:r>
      <w:r w:rsidR="000F3791" w:rsidRPr="000B2F37">
        <w:rPr>
          <w:sz w:val="22"/>
          <w:szCs w:val="18"/>
        </w:rPr>
        <w:t xml:space="preserve"> </w:t>
      </w:r>
      <w:r w:rsidR="00A604BB" w:rsidRPr="000B2F37">
        <w:rPr>
          <w:sz w:val="22"/>
          <w:szCs w:val="18"/>
        </w:rPr>
        <w:t xml:space="preserve">L'ordre du jour ainsi que tous les renseignements pertinents concernant cette réunion seront disponibles dans la </w:t>
      </w:r>
      <w:hyperlink r:id="rId10" w:history="1">
        <w:r w:rsidR="00A604BB" w:rsidRPr="000B2F37">
          <w:rPr>
            <w:rStyle w:val="Hyperlink"/>
            <w:sz w:val="22"/>
            <w:szCs w:val="18"/>
          </w:rPr>
          <w:t xml:space="preserve">Lettre collective </w:t>
        </w:r>
        <w:r w:rsidR="006B2E7B" w:rsidRPr="000B2F37">
          <w:rPr>
            <w:rStyle w:val="Hyperlink"/>
            <w:sz w:val="22"/>
            <w:szCs w:val="18"/>
          </w:rPr>
          <w:t>6</w:t>
        </w:r>
        <w:r w:rsidR="00A604BB" w:rsidRPr="000B2F37">
          <w:rPr>
            <w:rStyle w:val="Hyperlink"/>
            <w:sz w:val="22"/>
            <w:szCs w:val="18"/>
          </w:rPr>
          <w:t>/2</w:t>
        </w:r>
      </w:hyperlink>
      <w:r w:rsidR="00A604BB" w:rsidRPr="000B2F37">
        <w:rPr>
          <w:sz w:val="22"/>
          <w:szCs w:val="18"/>
        </w:rPr>
        <w:t>.</w:t>
      </w:r>
    </w:p>
    <w:p w14:paraId="1CB54BB4" w14:textId="28466E68" w:rsidR="00575B79" w:rsidRPr="000B2F37" w:rsidRDefault="00575B79" w:rsidP="00F628AE">
      <w:pPr>
        <w:rPr>
          <w:sz w:val="22"/>
          <w:szCs w:val="18"/>
        </w:rPr>
      </w:pPr>
      <w:r w:rsidRPr="000B2F37">
        <w:rPr>
          <w:bCs/>
          <w:sz w:val="22"/>
          <w:szCs w:val="18"/>
        </w:rPr>
        <w:t>2</w:t>
      </w:r>
      <w:r w:rsidRPr="000B2F37">
        <w:rPr>
          <w:sz w:val="22"/>
          <w:szCs w:val="18"/>
        </w:rPr>
        <w:tab/>
      </w:r>
      <w:r w:rsidR="00963D6A" w:rsidRPr="000B2F37">
        <w:rPr>
          <w:sz w:val="22"/>
          <w:szCs w:val="18"/>
        </w:rPr>
        <w:t xml:space="preserve">Vous trouverez dans l'Annexe 1 le titre, le résumé et </w:t>
      </w:r>
      <w:r w:rsidR="00B66F1C" w:rsidRPr="000B2F37">
        <w:rPr>
          <w:sz w:val="22"/>
          <w:szCs w:val="18"/>
        </w:rPr>
        <w:t>l'emplacement</w:t>
      </w:r>
      <w:r w:rsidR="00963D6A" w:rsidRPr="000B2F37">
        <w:rPr>
          <w:sz w:val="22"/>
          <w:szCs w:val="18"/>
        </w:rPr>
        <w:t xml:space="preserve"> des projets de texte de</w:t>
      </w:r>
      <w:r w:rsidR="0009036F" w:rsidRPr="000B2F37">
        <w:rPr>
          <w:sz w:val="22"/>
          <w:szCs w:val="18"/>
        </w:rPr>
        <w:t> </w:t>
      </w:r>
      <w:r w:rsidR="00963D6A" w:rsidRPr="000B2F37">
        <w:rPr>
          <w:sz w:val="22"/>
          <w:szCs w:val="18"/>
        </w:rPr>
        <w:t>l'UIT-T qu'il est proposé d'approuver</w:t>
      </w:r>
      <w:r w:rsidRPr="000B2F37">
        <w:rPr>
          <w:sz w:val="22"/>
          <w:szCs w:val="18"/>
        </w:rPr>
        <w:t>.</w:t>
      </w:r>
      <w:r w:rsidR="006B2E7B" w:rsidRPr="000B2F37">
        <w:rPr>
          <w:sz w:val="22"/>
          <w:szCs w:val="18"/>
        </w:rPr>
        <w:t xml:space="preserve"> Veuillez noter que la Recommandation UIT-T E.1120 a fait l'objet d'une nouvelle détermination le 28 juin 2024 en raison du nombre d'observations reçues et de l'ampleur des changements apportés par rapport au texte déterminé initialement en mars 2023.</w:t>
      </w:r>
    </w:p>
    <w:p w14:paraId="587ED75D" w14:textId="7E37D900" w:rsidR="00792F3D" w:rsidRPr="000B2F37" w:rsidRDefault="00575B79" w:rsidP="00F628AE">
      <w:pPr>
        <w:rPr>
          <w:sz w:val="22"/>
          <w:szCs w:val="18"/>
        </w:rPr>
      </w:pPr>
      <w:r w:rsidRPr="000B2F37">
        <w:rPr>
          <w:bCs/>
          <w:sz w:val="22"/>
          <w:szCs w:val="18"/>
        </w:rPr>
        <w:t>3</w:t>
      </w:r>
      <w:r w:rsidRPr="000B2F37">
        <w:rPr>
          <w:sz w:val="22"/>
          <w:szCs w:val="18"/>
        </w:rPr>
        <w:tab/>
      </w:r>
      <w:r w:rsidR="00792F3D" w:rsidRPr="000B2F37">
        <w:rPr>
          <w:sz w:val="22"/>
          <w:szCs w:val="18"/>
        </w:rPr>
        <w:t xml:space="preserve">La présente </w:t>
      </w:r>
      <w:r w:rsidR="00266CBE" w:rsidRPr="000B2F37">
        <w:rPr>
          <w:sz w:val="22"/>
          <w:szCs w:val="18"/>
        </w:rPr>
        <w:t>c</w:t>
      </w:r>
      <w:r w:rsidR="00792F3D" w:rsidRPr="000B2F37">
        <w:rPr>
          <w:sz w:val="22"/>
          <w:szCs w:val="18"/>
        </w:rPr>
        <w:t>irculaire a pour objet d'engager le processus de consultation formelle des États</w:t>
      </w:r>
      <w:r w:rsidR="0009036F" w:rsidRPr="000B2F37">
        <w:rPr>
          <w:sz w:val="22"/>
          <w:szCs w:val="18"/>
        </w:rPr>
        <w:t> </w:t>
      </w:r>
      <w:r w:rsidR="00792F3D" w:rsidRPr="000B2F37">
        <w:rPr>
          <w:sz w:val="22"/>
          <w:szCs w:val="18"/>
        </w:rPr>
        <w:t>Membres de l'UIT, qui devront indiquer si ce</w:t>
      </w:r>
      <w:r w:rsidR="00793E09" w:rsidRPr="000B2F37">
        <w:rPr>
          <w:sz w:val="22"/>
          <w:szCs w:val="18"/>
        </w:rPr>
        <w:t>s</w:t>
      </w:r>
      <w:r w:rsidR="00792F3D" w:rsidRPr="000B2F37">
        <w:rPr>
          <w:sz w:val="22"/>
          <w:szCs w:val="18"/>
        </w:rPr>
        <w:t xml:space="preserve"> texte</w:t>
      </w:r>
      <w:r w:rsidR="00793E09" w:rsidRPr="000B2F37">
        <w:rPr>
          <w:sz w:val="22"/>
          <w:szCs w:val="18"/>
        </w:rPr>
        <w:t>s</w:t>
      </w:r>
      <w:r w:rsidR="00792F3D" w:rsidRPr="000B2F37">
        <w:rPr>
          <w:sz w:val="22"/>
          <w:szCs w:val="18"/>
        </w:rPr>
        <w:t xml:space="preserve"> peu</w:t>
      </w:r>
      <w:r w:rsidR="00793E09" w:rsidRPr="000B2F37">
        <w:rPr>
          <w:sz w:val="22"/>
          <w:szCs w:val="18"/>
        </w:rPr>
        <w:t>ven</w:t>
      </w:r>
      <w:r w:rsidR="00792F3D" w:rsidRPr="000B2F37">
        <w:rPr>
          <w:sz w:val="22"/>
          <w:szCs w:val="18"/>
        </w:rPr>
        <w:t>t être examiné</w:t>
      </w:r>
      <w:r w:rsidR="00793E09" w:rsidRPr="000B2F37">
        <w:rPr>
          <w:sz w:val="22"/>
          <w:szCs w:val="18"/>
        </w:rPr>
        <w:t>s</w:t>
      </w:r>
      <w:r w:rsidR="00792F3D" w:rsidRPr="000B2F37">
        <w:rPr>
          <w:sz w:val="22"/>
          <w:szCs w:val="18"/>
        </w:rPr>
        <w:t xml:space="preserve"> en vue de </w:t>
      </w:r>
      <w:r w:rsidR="00793E09" w:rsidRPr="000B2F37">
        <w:rPr>
          <w:sz w:val="22"/>
          <w:szCs w:val="18"/>
        </w:rPr>
        <w:t xml:space="preserve">leur </w:t>
      </w:r>
      <w:r w:rsidR="00792F3D" w:rsidRPr="000B2F37">
        <w:rPr>
          <w:sz w:val="22"/>
          <w:szCs w:val="18"/>
        </w:rPr>
        <w:t>approbation à la prochaine réunion, conformément au paragraphe 9.4 de la Résolution 1. Les États</w:t>
      </w:r>
      <w:r w:rsidR="0009036F" w:rsidRPr="000B2F37">
        <w:rPr>
          <w:sz w:val="22"/>
          <w:szCs w:val="18"/>
        </w:rPr>
        <w:t> </w:t>
      </w:r>
      <w:r w:rsidR="00792F3D" w:rsidRPr="000B2F37">
        <w:rPr>
          <w:sz w:val="22"/>
          <w:szCs w:val="18"/>
        </w:rPr>
        <w:t>Membres sont priés de remplir le formulaire de l'</w:t>
      </w:r>
      <w:r w:rsidR="00792F3D" w:rsidRPr="000B2F37">
        <w:rPr>
          <w:b/>
          <w:bCs/>
          <w:sz w:val="22"/>
          <w:szCs w:val="18"/>
        </w:rPr>
        <w:t>Annexe 2</w:t>
      </w:r>
      <w:r w:rsidR="00792F3D" w:rsidRPr="000B2F37">
        <w:rPr>
          <w:sz w:val="22"/>
          <w:szCs w:val="18"/>
        </w:rPr>
        <w:t xml:space="preserve"> et de le renvoyer d'ici au</w:t>
      </w:r>
      <w:r w:rsidR="0009036F" w:rsidRPr="000B2F37">
        <w:rPr>
          <w:sz w:val="22"/>
          <w:szCs w:val="18"/>
        </w:rPr>
        <w:t> </w:t>
      </w:r>
      <w:r w:rsidR="006B2E7B" w:rsidRPr="000B2F37">
        <w:rPr>
          <w:b/>
          <w:bCs/>
          <w:sz w:val="22"/>
          <w:szCs w:val="18"/>
        </w:rPr>
        <w:t>24 janvier 2025</w:t>
      </w:r>
      <w:r w:rsidR="00792F3D" w:rsidRPr="000B2F37">
        <w:rPr>
          <w:sz w:val="22"/>
          <w:szCs w:val="18"/>
        </w:rPr>
        <w:t xml:space="preserve"> à</w:t>
      </w:r>
      <w:r w:rsidR="0009036F" w:rsidRPr="000B2F37">
        <w:rPr>
          <w:sz w:val="22"/>
          <w:szCs w:val="18"/>
        </w:rPr>
        <w:t xml:space="preserve"> </w:t>
      </w:r>
      <w:r w:rsidR="00792F3D" w:rsidRPr="000B2F37">
        <w:rPr>
          <w:sz w:val="22"/>
          <w:szCs w:val="18"/>
        </w:rPr>
        <w:t>23 h 59 (UTC).</w:t>
      </w:r>
    </w:p>
    <w:p w14:paraId="46F2C3C2" w14:textId="38189A71" w:rsidR="00307FB4" w:rsidRPr="000B2F37" w:rsidRDefault="00EC623A" w:rsidP="00F628AE">
      <w:pPr>
        <w:rPr>
          <w:bCs/>
          <w:sz w:val="22"/>
          <w:szCs w:val="18"/>
        </w:rPr>
      </w:pPr>
      <w:r w:rsidRPr="000B2F37">
        <w:rPr>
          <w:sz w:val="22"/>
          <w:szCs w:val="18"/>
        </w:rPr>
        <w:t xml:space="preserve">Les États Membres qui n'autorisent pas la </w:t>
      </w:r>
      <w:r w:rsidR="0009036F" w:rsidRPr="000B2F37">
        <w:rPr>
          <w:sz w:val="22"/>
          <w:szCs w:val="18"/>
        </w:rPr>
        <w:t>C</w:t>
      </w:r>
      <w:r w:rsidRPr="000B2F37">
        <w:rPr>
          <w:sz w:val="22"/>
          <w:szCs w:val="18"/>
        </w:rPr>
        <w:t>ommission d'études à procéder ainsi doivent informer le Directeur du TSB des motifs de cette décision et lui faire part des éventuelles modifications qui permettraient la poursuite des travaux</w:t>
      </w:r>
      <w:r w:rsidR="00575B79" w:rsidRPr="000B2F37">
        <w:rPr>
          <w:sz w:val="22"/>
          <w:szCs w:val="18"/>
        </w:rPr>
        <w:t>.</w:t>
      </w:r>
    </w:p>
    <w:p w14:paraId="6A4CD67F" w14:textId="5B547736" w:rsidR="00307FB4" w:rsidRPr="000B2F37" w:rsidRDefault="00307FB4" w:rsidP="00F628AE">
      <w:pPr>
        <w:keepNext/>
        <w:rPr>
          <w:bCs/>
          <w:sz w:val="22"/>
          <w:szCs w:val="18"/>
        </w:rPr>
      </w:pPr>
      <w:r w:rsidRPr="000B2F37">
        <w:rPr>
          <w:bCs/>
          <w:sz w:val="22"/>
          <w:szCs w:val="18"/>
        </w:rPr>
        <w:t>Veuillez agréer, Madame, Monsieur, l'assurance de ma considération distinguée.</w:t>
      </w:r>
    </w:p>
    <w:p w14:paraId="77C14010" w14:textId="526E2ABB" w:rsidR="00F269B9" w:rsidRPr="000B2F37" w:rsidRDefault="00E54F83" w:rsidP="000B2F37">
      <w:pPr>
        <w:spacing w:before="720"/>
        <w:rPr>
          <w:bCs/>
          <w:sz w:val="22"/>
          <w:szCs w:val="18"/>
        </w:rPr>
      </w:pPr>
      <w:r>
        <w:rPr>
          <w:bCs/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1EFE6769" wp14:editId="0224CC94">
            <wp:simplePos x="0" y="0"/>
            <wp:positionH relativeFrom="column">
              <wp:posOffset>635</wp:posOffset>
            </wp:positionH>
            <wp:positionV relativeFrom="paragraph">
              <wp:posOffset>31750</wp:posOffset>
            </wp:positionV>
            <wp:extent cx="546099" cy="409575"/>
            <wp:effectExtent l="0" t="0" r="6985" b="0"/>
            <wp:wrapNone/>
            <wp:docPr id="1492731241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31241" name="Picture 1" descr="A black and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9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0B2F37">
        <w:rPr>
          <w:bCs/>
          <w:sz w:val="22"/>
          <w:szCs w:val="18"/>
        </w:rPr>
        <w:t>Seizo Onoe</w:t>
      </w:r>
      <w:r w:rsidR="00B60868" w:rsidRPr="000B2F37">
        <w:rPr>
          <w:bCs/>
          <w:sz w:val="22"/>
          <w:szCs w:val="18"/>
        </w:rPr>
        <w:br/>
      </w:r>
      <w:r w:rsidR="00307FB4" w:rsidRPr="000B2F37">
        <w:rPr>
          <w:bCs/>
          <w:sz w:val="22"/>
          <w:szCs w:val="18"/>
        </w:rPr>
        <w:t>Directeur du Bureau de la normalisation</w:t>
      </w:r>
      <w:r w:rsidR="00B60868" w:rsidRPr="000B2F37">
        <w:rPr>
          <w:bCs/>
          <w:sz w:val="22"/>
          <w:szCs w:val="18"/>
        </w:rPr>
        <w:br/>
      </w:r>
      <w:r w:rsidR="00307FB4" w:rsidRPr="000B2F37">
        <w:rPr>
          <w:bCs/>
          <w:sz w:val="22"/>
          <w:szCs w:val="18"/>
        </w:rPr>
        <w:t>des télécommunications</w:t>
      </w:r>
    </w:p>
    <w:p w14:paraId="1B18EA89" w14:textId="1D7CFEA9" w:rsidR="0056634C" w:rsidRPr="000B2F37" w:rsidRDefault="00F269B9" w:rsidP="000B2F37">
      <w:pPr>
        <w:tabs>
          <w:tab w:val="clear" w:pos="1191"/>
          <w:tab w:val="left" w:pos="1134"/>
        </w:tabs>
        <w:spacing w:before="240"/>
        <w:rPr>
          <w:bCs/>
          <w:sz w:val="22"/>
          <w:szCs w:val="18"/>
        </w:rPr>
      </w:pPr>
      <w:r w:rsidRPr="000B2F37">
        <w:rPr>
          <w:b/>
          <w:sz w:val="22"/>
          <w:szCs w:val="18"/>
        </w:rPr>
        <w:t>Annexes</w:t>
      </w:r>
      <w:r w:rsidRPr="000B2F37">
        <w:rPr>
          <w:bCs/>
          <w:sz w:val="22"/>
          <w:szCs w:val="18"/>
        </w:rPr>
        <w:t>:</w:t>
      </w:r>
      <w:r w:rsidRPr="000B2F37">
        <w:rPr>
          <w:bCs/>
          <w:sz w:val="22"/>
          <w:szCs w:val="18"/>
        </w:rPr>
        <w:tab/>
        <w:t>2</w:t>
      </w:r>
      <w:r w:rsidR="0056634C" w:rsidRPr="000B2F37">
        <w:rPr>
          <w:bCs/>
          <w:sz w:val="22"/>
          <w:szCs w:val="18"/>
        </w:rPr>
        <w:br w:type="page"/>
      </w:r>
    </w:p>
    <w:p w14:paraId="0F70780F" w14:textId="11890683" w:rsidR="0056634C" w:rsidRPr="00426B28" w:rsidRDefault="0056634C" w:rsidP="0009036F">
      <w:pPr>
        <w:pStyle w:val="Annextitle0"/>
        <w:rPr>
          <w:lang w:val="fr-FR"/>
        </w:rPr>
      </w:pPr>
      <w:r w:rsidRPr="00426B28">
        <w:rPr>
          <w:lang w:val="fr-FR"/>
        </w:rPr>
        <w:lastRenderedPageBreak/>
        <w:t>Annexe 1</w:t>
      </w:r>
      <w:r w:rsidR="00266CBE" w:rsidRPr="00426B28">
        <w:rPr>
          <w:lang w:val="fr-FR"/>
        </w:rPr>
        <w:br/>
      </w:r>
      <w:r w:rsidRPr="00426B28">
        <w:rPr>
          <w:lang w:val="fr-FR"/>
        </w:rPr>
        <w:t xml:space="preserve">Résumé et </w:t>
      </w:r>
      <w:r w:rsidR="00F370B8" w:rsidRPr="00426B28">
        <w:rPr>
          <w:lang w:val="fr-FR"/>
        </w:rPr>
        <w:t xml:space="preserve">emplacement </w:t>
      </w:r>
      <w:r w:rsidRPr="00426B28">
        <w:rPr>
          <w:lang w:val="fr-FR"/>
        </w:rPr>
        <w:t xml:space="preserve">du texte déterminé </w:t>
      </w:r>
      <w:r w:rsidR="006B2E7B" w:rsidRPr="00426B28">
        <w:rPr>
          <w:lang w:val="fr-FR"/>
        </w:rPr>
        <w:t>du</w:t>
      </w:r>
      <w:r w:rsidRPr="00426B28">
        <w:rPr>
          <w:lang w:val="fr-FR"/>
        </w:rPr>
        <w:t xml:space="preserve"> projet de</w:t>
      </w:r>
      <w:r w:rsidR="00F269B9" w:rsidRPr="00426B28">
        <w:rPr>
          <w:lang w:val="fr-FR"/>
        </w:rPr>
        <w:br/>
      </w:r>
      <w:r w:rsidRPr="00426B28">
        <w:rPr>
          <w:lang w:val="fr-FR"/>
        </w:rPr>
        <w:t xml:space="preserve">Recommandation </w:t>
      </w:r>
      <w:r w:rsidR="00793E09" w:rsidRPr="00426B28">
        <w:rPr>
          <w:lang w:val="fr-FR"/>
        </w:rPr>
        <w:t xml:space="preserve">révisée </w:t>
      </w:r>
      <w:r w:rsidRPr="00426B28">
        <w:rPr>
          <w:lang w:val="fr-FR"/>
        </w:rPr>
        <w:t>UIT-T E.</w:t>
      </w:r>
      <w:r w:rsidR="006B2E7B" w:rsidRPr="00426B28">
        <w:rPr>
          <w:lang w:val="fr-FR"/>
        </w:rPr>
        <w:t>190</w:t>
      </w:r>
      <w:r w:rsidRPr="00426B28">
        <w:rPr>
          <w:lang w:val="fr-FR"/>
        </w:rPr>
        <w:t xml:space="preserve"> et du projet de</w:t>
      </w:r>
      <w:r w:rsidR="00F269B9" w:rsidRPr="00426B28">
        <w:rPr>
          <w:lang w:val="fr-FR"/>
        </w:rPr>
        <w:br/>
      </w:r>
      <w:r w:rsidRPr="00426B28">
        <w:rPr>
          <w:lang w:val="fr-FR"/>
        </w:rPr>
        <w:t xml:space="preserve">nouvelle Recommandation UIT-T </w:t>
      </w:r>
      <w:r w:rsidR="006B2E7B" w:rsidRPr="00426B28">
        <w:rPr>
          <w:lang w:val="fr-FR"/>
        </w:rPr>
        <w:t>E.1120</w:t>
      </w:r>
      <w:r w:rsidRPr="00426B28">
        <w:rPr>
          <w:lang w:val="fr-FR"/>
        </w:rPr>
        <w:t xml:space="preserve"> (</w:t>
      </w:r>
      <w:r w:rsidR="006B2E7B" w:rsidRPr="00426B28">
        <w:rPr>
          <w:lang w:val="fr-FR"/>
        </w:rPr>
        <w:t>E</w:t>
      </w:r>
      <w:r w:rsidRPr="00426B28">
        <w:rPr>
          <w:lang w:val="fr-FR"/>
        </w:rPr>
        <w:t>.</w:t>
      </w:r>
      <w:r w:rsidR="006B2E7B" w:rsidRPr="00426B28">
        <w:rPr>
          <w:lang w:val="fr-FR"/>
        </w:rPr>
        <w:t>gap</w:t>
      </w:r>
      <w:r w:rsidRPr="00426B28">
        <w:rPr>
          <w:lang w:val="fr-FR"/>
        </w:rPr>
        <w:t>)</w:t>
      </w:r>
    </w:p>
    <w:p w14:paraId="68BA8CA5" w14:textId="326AE787" w:rsidR="0056634C" w:rsidRPr="000B2F37" w:rsidRDefault="0009036F" w:rsidP="0009036F">
      <w:pPr>
        <w:pStyle w:val="Heading1"/>
        <w:rPr>
          <w:sz w:val="22"/>
          <w:szCs w:val="18"/>
        </w:rPr>
      </w:pPr>
      <w:r w:rsidRPr="000B2F37">
        <w:rPr>
          <w:sz w:val="22"/>
          <w:szCs w:val="18"/>
        </w:rPr>
        <w:t>1</w:t>
      </w:r>
      <w:r w:rsidRPr="000B2F37">
        <w:rPr>
          <w:sz w:val="22"/>
          <w:szCs w:val="18"/>
        </w:rPr>
        <w:tab/>
      </w:r>
      <w:r w:rsidR="00D3084E" w:rsidRPr="000B2F37">
        <w:rPr>
          <w:sz w:val="22"/>
          <w:szCs w:val="18"/>
        </w:rPr>
        <w:t>Projet de Recommandation UIT-T</w:t>
      </w:r>
      <w:r w:rsidR="0056634C" w:rsidRPr="000B2F37">
        <w:rPr>
          <w:sz w:val="22"/>
          <w:szCs w:val="18"/>
        </w:rPr>
        <w:t xml:space="preserve"> E.</w:t>
      </w:r>
      <w:r w:rsidR="006B2E7B" w:rsidRPr="000B2F37">
        <w:rPr>
          <w:sz w:val="22"/>
          <w:szCs w:val="18"/>
        </w:rPr>
        <w:t>190</w:t>
      </w:r>
      <w:r w:rsidR="00D3084E" w:rsidRPr="000B2F37">
        <w:rPr>
          <w:sz w:val="22"/>
          <w:szCs w:val="18"/>
        </w:rPr>
        <w:t xml:space="preserve"> révisée</w:t>
      </w:r>
      <w:r w:rsidR="0056634C" w:rsidRPr="000B2F37">
        <w:rPr>
          <w:sz w:val="22"/>
          <w:szCs w:val="18"/>
        </w:rPr>
        <w:t xml:space="preserve"> [</w:t>
      </w:r>
      <w:hyperlink r:id="rId12" w:history="1">
        <w:r w:rsidR="0056634C" w:rsidRPr="000B2F37">
          <w:rPr>
            <w:rStyle w:val="Hyperlink"/>
            <w:sz w:val="22"/>
            <w:szCs w:val="18"/>
          </w:rPr>
          <w:t>SG2-R</w:t>
        </w:r>
        <w:r w:rsidR="006B2E7B" w:rsidRPr="000B2F37">
          <w:rPr>
            <w:rStyle w:val="Hyperlink"/>
            <w:sz w:val="22"/>
            <w:szCs w:val="18"/>
          </w:rPr>
          <w:t>21</w:t>
        </w:r>
      </w:hyperlink>
      <w:r w:rsidR="0056634C" w:rsidRPr="000B2F37">
        <w:rPr>
          <w:sz w:val="22"/>
          <w:szCs w:val="18"/>
        </w:rPr>
        <w:t>]</w:t>
      </w:r>
    </w:p>
    <w:p w14:paraId="57B294CB" w14:textId="64BED662" w:rsidR="0056634C" w:rsidRPr="000B2F37" w:rsidRDefault="00F95535" w:rsidP="0009036F">
      <w:pPr>
        <w:rPr>
          <w:b/>
          <w:sz w:val="22"/>
          <w:szCs w:val="18"/>
        </w:rPr>
      </w:pPr>
      <w:r w:rsidRPr="000B2F37">
        <w:rPr>
          <w:sz w:val="22"/>
          <w:szCs w:val="18"/>
        </w:rPr>
        <w:t>Principes et responsabilités en matière d'affectation, de réservation, d'attribution, de retrait et de gestion des ressources de numérotage, de nommage, d'adressage et d'identification (NNAI) de l'UIT-T</w:t>
      </w:r>
    </w:p>
    <w:p w14:paraId="79031D70" w14:textId="5421647C" w:rsidR="0056634C" w:rsidRPr="000B2F37" w:rsidRDefault="00D90E5A" w:rsidP="0009036F">
      <w:pPr>
        <w:pStyle w:val="headingb"/>
        <w:rPr>
          <w:sz w:val="22"/>
          <w:szCs w:val="18"/>
        </w:rPr>
      </w:pPr>
      <w:r w:rsidRPr="000B2F37">
        <w:rPr>
          <w:sz w:val="22"/>
          <w:szCs w:val="18"/>
        </w:rPr>
        <w:t>Résumé</w:t>
      </w:r>
    </w:p>
    <w:p w14:paraId="211DE60E" w14:textId="7C8122F6" w:rsidR="00D90E5A" w:rsidRPr="000B2F37" w:rsidRDefault="00F95535" w:rsidP="0009036F">
      <w:pPr>
        <w:rPr>
          <w:sz w:val="22"/>
          <w:szCs w:val="18"/>
        </w:rPr>
      </w:pPr>
      <w:r w:rsidRPr="000B2F37">
        <w:rPr>
          <w:sz w:val="22"/>
          <w:szCs w:val="18"/>
          <w:lang w:eastAsia="ja-JP"/>
        </w:rPr>
        <w:t xml:space="preserve">Cette Recommandation énonce les principes applicables à l'affectation, l'attribution, le retrait et la gestion des ressources </w:t>
      </w:r>
      <w:r w:rsidRPr="000B2F37">
        <w:rPr>
          <w:sz w:val="22"/>
          <w:szCs w:val="18"/>
        </w:rPr>
        <w:t xml:space="preserve">de numérotage, de nommage, d'adressage et d'identification, par exemple des Recommandations UIT-T E.164, </w:t>
      </w:r>
      <w:r w:rsidRPr="000B2F37">
        <w:rPr>
          <w:sz w:val="22"/>
          <w:szCs w:val="18"/>
          <w:lang w:eastAsia="ja-JP"/>
        </w:rPr>
        <w:t>E.118.1, E.218 et E.212, et les responsabilités correspondantes définis par la Commission d'études de l'UIT-T compétente.</w:t>
      </w:r>
    </w:p>
    <w:p w14:paraId="6B5D8122" w14:textId="5747966F" w:rsidR="0056634C" w:rsidRPr="000B2F37" w:rsidRDefault="00144621" w:rsidP="0009036F">
      <w:pPr>
        <w:pStyle w:val="Heading1"/>
        <w:rPr>
          <w:sz w:val="22"/>
          <w:szCs w:val="18"/>
        </w:rPr>
      </w:pPr>
      <w:r w:rsidRPr="000B2F37">
        <w:rPr>
          <w:sz w:val="22"/>
          <w:szCs w:val="18"/>
        </w:rPr>
        <w:t>2</w:t>
      </w:r>
      <w:r w:rsidRPr="000B2F37">
        <w:rPr>
          <w:sz w:val="22"/>
          <w:szCs w:val="18"/>
        </w:rPr>
        <w:tab/>
      </w:r>
      <w:r w:rsidR="00535CDF" w:rsidRPr="000B2F37">
        <w:rPr>
          <w:sz w:val="22"/>
          <w:szCs w:val="18"/>
        </w:rPr>
        <w:t xml:space="preserve">Projet de </w:t>
      </w:r>
      <w:r w:rsidR="00F95535" w:rsidRPr="000B2F37">
        <w:rPr>
          <w:sz w:val="22"/>
          <w:szCs w:val="18"/>
        </w:rPr>
        <w:t xml:space="preserve">nouvelle </w:t>
      </w:r>
      <w:r w:rsidR="00535CDF" w:rsidRPr="000B2F37">
        <w:rPr>
          <w:sz w:val="22"/>
          <w:szCs w:val="18"/>
        </w:rPr>
        <w:t>Recommandation UIT</w:t>
      </w:r>
      <w:r w:rsidR="0056634C" w:rsidRPr="000B2F37">
        <w:rPr>
          <w:sz w:val="22"/>
          <w:szCs w:val="18"/>
        </w:rPr>
        <w:t>-T E.</w:t>
      </w:r>
      <w:r w:rsidR="00F95535" w:rsidRPr="000B2F37">
        <w:rPr>
          <w:sz w:val="22"/>
          <w:szCs w:val="18"/>
        </w:rPr>
        <w:t>1120 (anciennement E.gap)</w:t>
      </w:r>
      <w:r w:rsidR="0056634C" w:rsidRPr="000B2F37">
        <w:rPr>
          <w:sz w:val="22"/>
          <w:szCs w:val="18"/>
        </w:rPr>
        <w:t xml:space="preserve"> [</w:t>
      </w:r>
      <w:hyperlink r:id="rId13" w:history="1">
        <w:r w:rsidR="0056634C" w:rsidRPr="000B2F37">
          <w:rPr>
            <w:rStyle w:val="Hyperlink"/>
            <w:sz w:val="22"/>
            <w:szCs w:val="18"/>
          </w:rPr>
          <w:t>SG2-R</w:t>
        </w:r>
        <w:r w:rsidR="00F95535" w:rsidRPr="000B2F37">
          <w:rPr>
            <w:rStyle w:val="Hyperlink"/>
            <w:sz w:val="22"/>
            <w:szCs w:val="18"/>
          </w:rPr>
          <w:t>22</w:t>
        </w:r>
      </w:hyperlink>
      <w:r w:rsidR="0056634C" w:rsidRPr="000B2F37">
        <w:rPr>
          <w:sz w:val="22"/>
          <w:szCs w:val="18"/>
        </w:rPr>
        <w:t>]</w:t>
      </w:r>
    </w:p>
    <w:p w14:paraId="7D2FD6D4" w14:textId="70ACD735" w:rsidR="0056634C" w:rsidRPr="000B2F37" w:rsidRDefault="00F85B2D" w:rsidP="00144621">
      <w:pPr>
        <w:rPr>
          <w:sz w:val="22"/>
          <w:szCs w:val="18"/>
          <w:highlight w:val="yellow"/>
        </w:rPr>
      </w:pPr>
      <w:r w:rsidRPr="000B2F37">
        <w:rPr>
          <w:sz w:val="22"/>
          <w:szCs w:val="18"/>
        </w:rPr>
        <w:t>Processus d'attribution des ressources internationales UIT-T</w:t>
      </w:r>
    </w:p>
    <w:p w14:paraId="2F518F5C" w14:textId="12064792" w:rsidR="0056634C" w:rsidRPr="000B2F37" w:rsidRDefault="009C1BC2" w:rsidP="00144621">
      <w:pPr>
        <w:pStyle w:val="headingb"/>
        <w:rPr>
          <w:sz w:val="22"/>
          <w:szCs w:val="18"/>
        </w:rPr>
      </w:pPr>
      <w:r w:rsidRPr="000B2F37">
        <w:rPr>
          <w:sz w:val="22"/>
          <w:szCs w:val="18"/>
        </w:rPr>
        <w:t>Résumé</w:t>
      </w:r>
    </w:p>
    <w:p w14:paraId="0B8F36A2" w14:textId="083355FB" w:rsidR="00F85B2D" w:rsidRPr="000B2F37" w:rsidRDefault="00F85B2D" w:rsidP="00144621">
      <w:pPr>
        <w:rPr>
          <w:sz w:val="22"/>
          <w:szCs w:val="18"/>
          <w:lang w:eastAsia="ja-JP"/>
        </w:rPr>
      </w:pPr>
      <w:r w:rsidRPr="000B2F37">
        <w:rPr>
          <w:sz w:val="22"/>
          <w:szCs w:val="18"/>
          <w:lang w:eastAsia="ja-JP"/>
        </w:rPr>
        <w:t>La Recommandation UIT-T E.1120 définit les processus qu'un requérant, le Bureau de la normalisation des télécommunications (TSB) et la commission d'études de l'UIT-T compétente (actuellement la Commission d'études 2 de l'UIT-T) doivent utiliser pour l'attribution des ressources suivantes:</w:t>
      </w:r>
    </w:p>
    <w:p w14:paraId="00D395ED" w14:textId="4D7D4E60" w:rsidR="000E474D" w:rsidRPr="000B2F37" w:rsidRDefault="00F269B9" w:rsidP="00F269B9">
      <w:pPr>
        <w:pStyle w:val="enumlev1"/>
        <w:rPr>
          <w:sz w:val="22"/>
          <w:szCs w:val="18"/>
        </w:rPr>
      </w:pPr>
      <w:r w:rsidRPr="000B2F37">
        <w:rPr>
          <w:sz w:val="22"/>
          <w:szCs w:val="18"/>
        </w:rPr>
        <w:t>–</w:t>
      </w:r>
      <w:r w:rsidR="00F85B2D" w:rsidRPr="000B2F37">
        <w:rPr>
          <w:sz w:val="22"/>
          <w:szCs w:val="18"/>
        </w:rPr>
        <w:tab/>
      </w:r>
      <w:r w:rsidRPr="000B2F37">
        <w:rPr>
          <w:sz w:val="22"/>
          <w:szCs w:val="18"/>
        </w:rPr>
        <w:t>C</w:t>
      </w:r>
      <w:r w:rsidR="00F85B2D" w:rsidRPr="000B2F37">
        <w:rPr>
          <w:sz w:val="22"/>
          <w:szCs w:val="18"/>
        </w:rPr>
        <w:t xml:space="preserve">odes d'identification (IC) UIT-T E.164 associés </w:t>
      </w:r>
      <w:r w:rsidR="007D5344" w:rsidRPr="000B2F37">
        <w:rPr>
          <w:sz w:val="22"/>
          <w:szCs w:val="18"/>
        </w:rPr>
        <w:t>à</w:t>
      </w:r>
      <w:r w:rsidR="00F85B2D" w:rsidRPr="000B2F37">
        <w:rPr>
          <w:sz w:val="22"/>
          <w:szCs w:val="18"/>
        </w:rPr>
        <w:t xml:space="preserve"> la catégorie "indicatifs de pays (CC) communs pour Réseaux"</w:t>
      </w:r>
      <w:r w:rsidR="007D5344" w:rsidRPr="000B2F37">
        <w:rPr>
          <w:sz w:val="22"/>
          <w:szCs w:val="18"/>
        </w:rPr>
        <w:t xml:space="preserve"> de la Recommandation UIT-T E.164, dont l'association est désignée par "CC + IC".</w:t>
      </w:r>
    </w:p>
    <w:p w14:paraId="32F11762" w14:textId="0BE75CE8" w:rsidR="007D5344" w:rsidRPr="000B2F37" w:rsidRDefault="00F269B9" w:rsidP="00F269B9">
      <w:pPr>
        <w:pStyle w:val="enumlev1"/>
        <w:rPr>
          <w:sz w:val="22"/>
          <w:szCs w:val="18"/>
        </w:rPr>
      </w:pPr>
      <w:r w:rsidRPr="000B2F37">
        <w:rPr>
          <w:sz w:val="22"/>
          <w:szCs w:val="18"/>
        </w:rPr>
        <w:t>–</w:t>
      </w:r>
      <w:r w:rsidR="007D5344" w:rsidRPr="000B2F37">
        <w:rPr>
          <w:sz w:val="22"/>
          <w:szCs w:val="18"/>
        </w:rPr>
        <w:tab/>
      </w:r>
      <w:r w:rsidRPr="000B2F37">
        <w:rPr>
          <w:sz w:val="22"/>
          <w:szCs w:val="18"/>
        </w:rPr>
        <w:t>I</w:t>
      </w:r>
      <w:r w:rsidR="007D5344" w:rsidRPr="000B2F37">
        <w:rPr>
          <w:sz w:val="22"/>
          <w:szCs w:val="18"/>
        </w:rPr>
        <w:t>ndicatifs de pays pour mobile UIT-T E.212 partagés pour Réseaux et codes de réseau mobile qui leur sont associés.</w:t>
      </w:r>
    </w:p>
    <w:p w14:paraId="38593896" w14:textId="509752D0" w:rsidR="007D5344" w:rsidRPr="000B2F37" w:rsidRDefault="00F269B9" w:rsidP="00F269B9">
      <w:pPr>
        <w:pStyle w:val="enumlev1"/>
        <w:rPr>
          <w:sz w:val="22"/>
          <w:szCs w:val="18"/>
        </w:rPr>
      </w:pPr>
      <w:r w:rsidRPr="000B2F37">
        <w:rPr>
          <w:sz w:val="22"/>
          <w:szCs w:val="18"/>
        </w:rPr>
        <w:t>–</w:t>
      </w:r>
      <w:r w:rsidR="007D5344" w:rsidRPr="000B2F37">
        <w:rPr>
          <w:sz w:val="22"/>
          <w:szCs w:val="18"/>
        </w:rPr>
        <w:tab/>
      </w:r>
      <w:r w:rsidRPr="000B2F37">
        <w:rPr>
          <w:sz w:val="22"/>
          <w:szCs w:val="18"/>
        </w:rPr>
        <w:t>N</w:t>
      </w:r>
      <w:r w:rsidR="007D5344" w:rsidRPr="000B2F37">
        <w:rPr>
          <w:sz w:val="22"/>
          <w:szCs w:val="18"/>
        </w:rPr>
        <w:t>uméros d'identification d'entité émettrice (IIN) UIT-T E.118.1 attribués à l'échelle mondiale.</w:t>
      </w:r>
    </w:p>
    <w:p w14:paraId="7B3D290C" w14:textId="32E8E949" w:rsidR="007D5344" w:rsidRPr="000B2F37" w:rsidRDefault="00F269B9" w:rsidP="00F269B9">
      <w:pPr>
        <w:pStyle w:val="enumlev1"/>
        <w:rPr>
          <w:sz w:val="22"/>
          <w:szCs w:val="18"/>
        </w:rPr>
      </w:pPr>
      <w:r w:rsidRPr="000B2F37">
        <w:rPr>
          <w:sz w:val="22"/>
          <w:szCs w:val="18"/>
        </w:rPr>
        <w:t>–</w:t>
      </w:r>
      <w:r w:rsidR="007D5344" w:rsidRPr="000B2F37">
        <w:rPr>
          <w:sz w:val="22"/>
          <w:szCs w:val="18"/>
        </w:rPr>
        <w:tab/>
      </w:r>
      <w:r w:rsidRPr="000B2F37">
        <w:rPr>
          <w:sz w:val="22"/>
          <w:szCs w:val="18"/>
        </w:rPr>
        <w:t>C</w:t>
      </w:r>
      <w:r w:rsidR="007D5344" w:rsidRPr="000B2F37">
        <w:rPr>
          <w:sz w:val="22"/>
          <w:szCs w:val="18"/>
        </w:rPr>
        <w:t>odes de réseau mobile pour l'accès aux systèmes de radiocommunication de Terre à ressources partagées.</w:t>
      </w:r>
    </w:p>
    <w:p w14:paraId="0960D371" w14:textId="7D36E72C" w:rsidR="007D5344" w:rsidRPr="000B2F37" w:rsidRDefault="007D5344" w:rsidP="007D5344">
      <w:pPr>
        <w:rPr>
          <w:sz w:val="22"/>
          <w:szCs w:val="18"/>
        </w:rPr>
      </w:pPr>
      <w:r w:rsidRPr="000B2F37">
        <w:rPr>
          <w:sz w:val="22"/>
          <w:szCs w:val="18"/>
        </w:rPr>
        <w:t>Les ressources de nommage, de numérotage, d'adressage et d'identification (NNAI) identifiées dans la liste ci-dessus peuvent également être décrites comme des ressources mondiales.</w:t>
      </w:r>
    </w:p>
    <w:p w14:paraId="5E78BFE3" w14:textId="0A3AC7D8" w:rsidR="00DF3FB1" w:rsidRPr="00426B28" w:rsidRDefault="00DF3FB1" w:rsidP="0009036F">
      <w:r w:rsidRPr="00426B28">
        <w:br w:type="page"/>
      </w:r>
    </w:p>
    <w:p w14:paraId="2E32AAF8" w14:textId="121F9D0F" w:rsidR="00926C49" w:rsidRPr="00426B28" w:rsidRDefault="0056634C" w:rsidP="00DF3FB1">
      <w:pPr>
        <w:pStyle w:val="Annextitle0"/>
        <w:rPr>
          <w:lang w:val="fr-FR"/>
        </w:rPr>
      </w:pPr>
      <w:r w:rsidRPr="00426B28">
        <w:rPr>
          <w:lang w:val="fr-FR"/>
        </w:rPr>
        <w:lastRenderedPageBreak/>
        <w:t>Annex</w:t>
      </w:r>
      <w:r w:rsidR="00926C49" w:rsidRPr="00426B28">
        <w:rPr>
          <w:lang w:val="fr-FR"/>
        </w:rPr>
        <w:t>e</w:t>
      </w:r>
      <w:r w:rsidRPr="00426B28">
        <w:rPr>
          <w:lang w:val="fr-FR"/>
        </w:rPr>
        <w:t xml:space="preserve"> 2</w:t>
      </w:r>
      <w:r w:rsidR="00BE3A4F" w:rsidRPr="00426B28">
        <w:rPr>
          <w:lang w:val="fr-FR"/>
        </w:rPr>
        <w:br/>
      </w:r>
      <w:proofErr w:type="gramStart"/>
      <w:r w:rsidR="00F8519E" w:rsidRPr="00426B28">
        <w:rPr>
          <w:lang w:val="fr-FR"/>
        </w:rPr>
        <w:t>Objet</w:t>
      </w:r>
      <w:r w:rsidRPr="00426B28">
        <w:rPr>
          <w:lang w:val="fr-FR"/>
        </w:rPr>
        <w:t>:</w:t>
      </w:r>
      <w:proofErr w:type="gramEnd"/>
      <w:r w:rsidRPr="00426B28">
        <w:rPr>
          <w:lang w:val="fr-FR"/>
        </w:rPr>
        <w:t xml:space="preserve"> </w:t>
      </w:r>
      <w:r w:rsidR="004115DB" w:rsidRPr="00426B28">
        <w:rPr>
          <w:lang w:val="fr-FR"/>
        </w:rPr>
        <w:t>Réponse des États Membres à la Circulaire TSB</w:t>
      </w:r>
      <w:r w:rsidRPr="00426B28">
        <w:rPr>
          <w:lang w:val="fr-FR"/>
        </w:rPr>
        <w:t xml:space="preserve"> </w:t>
      </w:r>
      <w:r w:rsidR="00A6273F" w:rsidRPr="00426B28">
        <w:rPr>
          <w:lang w:val="fr-FR"/>
        </w:rPr>
        <w:t>214</w:t>
      </w:r>
      <w:r w:rsidRPr="00426B28">
        <w:rPr>
          <w:lang w:val="fr-FR"/>
        </w:rPr>
        <w:t>:</w:t>
      </w:r>
      <w:r w:rsidR="001F48A2" w:rsidRPr="00426B28">
        <w:rPr>
          <w:lang w:val="fr-FR"/>
        </w:rPr>
        <w:br/>
      </w:r>
      <w:r w:rsidR="00926C49" w:rsidRPr="00426B28">
        <w:rPr>
          <w:lang w:val="fr-FR"/>
        </w:rPr>
        <w:t>Consultation au sujet</w:t>
      </w:r>
      <w:r w:rsidR="00F269B9" w:rsidRPr="00426B28">
        <w:rPr>
          <w:lang w:val="fr-FR"/>
        </w:rPr>
        <w:t xml:space="preserve"> </w:t>
      </w:r>
      <w:r w:rsidR="00926C49" w:rsidRPr="00426B28">
        <w:rPr>
          <w:lang w:val="fr-FR"/>
        </w:rPr>
        <w:t>du</w:t>
      </w:r>
      <w:r w:rsidR="001F48A2" w:rsidRPr="00426B28">
        <w:rPr>
          <w:lang w:val="fr-FR"/>
        </w:rPr>
        <w:t xml:space="preserve"> </w:t>
      </w:r>
      <w:r w:rsidR="00926C49" w:rsidRPr="00426B28">
        <w:rPr>
          <w:lang w:val="fr-FR"/>
        </w:rPr>
        <w:t>texte déterminé d</w:t>
      </w:r>
      <w:r w:rsidR="00D63F08" w:rsidRPr="00426B28">
        <w:rPr>
          <w:lang w:val="fr-FR"/>
        </w:rPr>
        <w:t>u</w:t>
      </w:r>
      <w:r w:rsidR="00926C49" w:rsidRPr="00426B28">
        <w:rPr>
          <w:lang w:val="fr-FR"/>
        </w:rPr>
        <w:t xml:space="preserve"> projet de</w:t>
      </w:r>
      <w:r w:rsidR="001F48A2" w:rsidRPr="00426B28">
        <w:rPr>
          <w:lang w:val="fr-FR"/>
        </w:rPr>
        <w:br/>
      </w:r>
      <w:r w:rsidR="00926C49" w:rsidRPr="00426B28">
        <w:rPr>
          <w:lang w:val="fr-FR"/>
        </w:rPr>
        <w:t>Recommandation</w:t>
      </w:r>
      <w:r w:rsidR="00F269B9" w:rsidRPr="00426B28">
        <w:rPr>
          <w:lang w:val="fr-FR"/>
        </w:rPr>
        <w:t xml:space="preserve"> </w:t>
      </w:r>
      <w:r w:rsidR="007E6928" w:rsidRPr="00426B28">
        <w:rPr>
          <w:lang w:val="fr-FR"/>
        </w:rPr>
        <w:t>révisée</w:t>
      </w:r>
      <w:r w:rsidR="00926C49" w:rsidRPr="00426B28">
        <w:rPr>
          <w:lang w:val="fr-FR"/>
        </w:rPr>
        <w:t xml:space="preserve"> UIT-T E.</w:t>
      </w:r>
      <w:r w:rsidR="00D63F08" w:rsidRPr="00426B28">
        <w:rPr>
          <w:lang w:val="fr-FR"/>
        </w:rPr>
        <w:t>190</w:t>
      </w:r>
      <w:r w:rsidR="00926C49" w:rsidRPr="00426B28">
        <w:rPr>
          <w:lang w:val="fr-FR"/>
        </w:rPr>
        <w:t xml:space="preserve"> et</w:t>
      </w:r>
      <w:r w:rsidR="00F269B9" w:rsidRPr="00426B28">
        <w:rPr>
          <w:lang w:val="fr-FR"/>
        </w:rPr>
        <w:t xml:space="preserve"> </w:t>
      </w:r>
      <w:r w:rsidR="00926C49" w:rsidRPr="00426B28">
        <w:rPr>
          <w:lang w:val="fr-FR"/>
        </w:rPr>
        <w:t>du</w:t>
      </w:r>
      <w:r w:rsidR="00F269B9" w:rsidRPr="00426B28">
        <w:rPr>
          <w:lang w:val="fr-FR"/>
        </w:rPr>
        <w:t xml:space="preserve"> </w:t>
      </w:r>
      <w:r w:rsidR="00926C49" w:rsidRPr="00426B28">
        <w:rPr>
          <w:lang w:val="fr-FR"/>
        </w:rPr>
        <w:t>projet</w:t>
      </w:r>
      <w:r w:rsidR="001F48A2" w:rsidRPr="00426B28">
        <w:rPr>
          <w:lang w:val="fr-FR"/>
        </w:rPr>
        <w:br/>
      </w:r>
      <w:r w:rsidR="00926C49" w:rsidRPr="00426B28">
        <w:rPr>
          <w:lang w:val="fr-FR"/>
        </w:rPr>
        <w:t>de nouvelle</w:t>
      </w:r>
      <w:r w:rsidR="00F269B9" w:rsidRPr="00426B28">
        <w:rPr>
          <w:lang w:val="fr-FR"/>
        </w:rPr>
        <w:t xml:space="preserve"> </w:t>
      </w:r>
      <w:r w:rsidR="00926C49" w:rsidRPr="00426B28">
        <w:rPr>
          <w:lang w:val="fr-FR"/>
        </w:rPr>
        <w:t xml:space="preserve">Recommandation UIT-T </w:t>
      </w:r>
      <w:r w:rsidR="00D63F08" w:rsidRPr="00426B28">
        <w:rPr>
          <w:lang w:val="fr-FR"/>
        </w:rPr>
        <w:t>E.1120</w:t>
      </w:r>
      <w:r w:rsidR="001F48A2" w:rsidRPr="00426B28">
        <w:rPr>
          <w:lang w:val="fr-FR"/>
        </w:rPr>
        <w:br/>
      </w:r>
      <w:r w:rsidR="00926C49" w:rsidRPr="00426B28">
        <w:rPr>
          <w:lang w:val="fr-FR"/>
        </w:rPr>
        <w:t xml:space="preserve">(anciennement </w:t>
      </w:r>
      <w:r w:rsidR="00D63F08" w:rsidRPr="00426B28">
        <w:rPr>
          <w:lang w:val="fr-FR"/>
        </w:rPr>
        <w:t>E.gap</w:t>
      </w:r>
      <w:r w:rsidR="00926C49" w:rsidRPr="00426B28">
        <w:rPr>
          <w:lang w:val="fr-FR"/>
        </w:rPr>
        <w:t>)</w:t>
      </w: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276"/>
        <w:gridCol w:w="2977"/>
      </w:tblGrid>
      <w:tr w:rsidR="0056634C" w:rsidRPr="000B2F37" w14:paraId="7EFB988D" w14:textId="77777777" w:rsidTr="00BE3A4F">
        <w:tc>
          <w:tcPr>
            <w:tcW w:w="1276" w:type="dxa"/>
            <w:shd w:val="clear" w:color="auto" w:fill="auto"/>
          </w:tcPr>
          <w:p w14:paraId="55ADB8E6" w14:textId="156A65C5" w:rsidR="0056634C" w:rsidRPr="000B2F37" w:rsidRDefault="00926C49" w:rsidP="0009036F">
            <w:pPr>
              <w:jc w:val="right"/>
              <w:rPr>
                <w:b/>
                <w:bCs/>
                <w:sz w:val="22"/>
                <w:szCs w:val="22"/>
              </w:rPr>
            </w:pPr>
            <w:r w:rsidRPr="000B2F37">
              <w:rPr>
                <w:b/>
                <w:bCs/>
                <w:sz w:val="22"/>
                <w:szCs w:val="22"/>
              </w:rPr>
              <w:t>À</w:t>
            </w:r>
            <w:r w:rsidR="0056634C" w:rsidRPr="000B2F3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</w:tcPr>
          <w:p w14:paraId="4A0C44AD" w14:textId="3419FB84" w:rsidR="00926C49" w:rsidRPr="000B2F37" w:rsidRDefault="00926C49" w:rsidP="0009036F">
            <w:pPr>
              <w:ind w:right="-284"/>
              <w:rPr>
                <w:bCs/>
                <w:sz w:val="22"/>
                <w:szCs w:val="18"/>
              </w:rPr>
            </w:pPr>
            <w:r w:rsidRPr="000B2F37">
              <w:rPr>
                <w:bCs/>
                <w:sz w:val="22"/>
                <w:szCs w:val="18"/>
              </w:rPr>
              <w:t>Directeur du Bureau de la normalisation</w:t>
            </w:r>
            <w:r w:rsidRPr="000B2F37">
              <w:rPr>
                <w:bCs/>
                <w:sz w:val="22"/>
                <w:szCs w:val="18"/>
              </w:rPr>
              <w:br/>
              <w:t>des télécommunications</w:t>
            </w:r>
            <w:r w:rsidR="00DF3FB1" w:rsidRPr="000B2F37">
              <w:rPr>
                <w:bCs/>
                <w:sz w:val="22"/>
                <w:szCs w:val="18"/>
              </w:rPr>
              <w:t>,</w:t>
            </w:r>
          </w:p>
          <w:p w14:paraId="53B38939" w14:textId="5F3A5C44" w:rsidR="00926C49" w:rsidRPr="000B2F37" w:rsidRDefault="00926C49" w:rsidP="0009036F">
            <w:pPr>
              <w:spacing w:before="0"/>
              <w:ind w:right="-284"/>
              <w:rPr>
                <w:bCs/>
                <w:sz w:val="22"/>
                <w:szCs w:val="18"/>
              </w:rPr>
            </w:pPr>
            <w:r w:rsidRPr="000B2F37">
              <w:rPr>
                <w:bCs/>
                <w:sz w:val="22"/>
                <w:szCs w:val="18"/>
              </w:rPr>
              <w:t>Union internationale des télécommunications</w:t>
            </w:r>
          </w:p>
          <w:p w14:paraId="29A42A86" w14:textId="77777777" w:rsidR="00926C49" w:rsidRPr="000B2F37" w:rsidRDefault="00926C49" w:rsidP="0009036F">
            <w:pPr>
              <w:spacing w:before="0"/>
              <w:ind w:right="-284"/>
              <w:rPr>
                <w:bCs/>
                <w:sz w:val="22"/>
                <w:szCs w:val="18"/>
              </w:rPr>
            </w:pPr>
            <w:r w:rsidRPr="000B2F37">
              <w:rPr>
                <w:bCs/>
                <w:sz w:val="22"/>
                <w:szCs w:val="18"/>
              </w:rPr>
              <w:t>Place des Nations</w:t>
            </w:r>
          </w:p>
          <w:p w14:paraId="51735712" w14:textId="1A000FDA" w:rsidR="0056634C" w:rsidRPr="000B2F37" w:rsidRDefault="00926C49" w:rsidP="0009036F">
            <w:pPr>
              <w:spacing w:before="0"/>
              <w:rPr>
                <w:sz w:val="22"/>
                <w:szCs w:val="22"/>
              </w:rPr>
            </w:pPr>
            <w:r w:rsidRPr="000B2F37">
              <w:rPr>
                <w:bCs/>
                <w:sz w:val="22"/>
                <w:szCs w:val="18"/>
              </w:rPr>
              <w:t>CH-1211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50E02B93" w14:textId="1E0AD2D6" w:rsidR="0056634C" w:rsidRPr="000B2F37" w:rsidRDefault="00926C49" w:rsidP="0009036F">
            <w:pPr>
              <w:jc w:val="right"/>
              <w:rPr>
                <w:b/>
                <w:bCs/>
                <w:sz w:val="22"/>
                <w:szCs w:val="22"/>
              </w:rPr>
            </w:pPr>
            <w:r w:rsidRPr="000B2F37">
              <w:rPr>
                <w:b/>
                <w:bCs/>
                <w:sz w:val="22"/>
                <w:szCs w:val="22"/>
              </w:rPr>
              <w:t>De</w:t>
            </w:r>
            <w:r w:rsidR="0056634C" w:rsidRPr="000B2F3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42F47EAB" w14:textId="1FBBC784" w:rsidR="0056634C" w:rsidRPr="000B2F37" w:rsidRDefault="0056634C" w:rsidP="0009036F">
            <w:pPr>
              <w:rPr>
                <w:sz w:val="22"/>
                <w:szCs w:val="22"/>
                <w:highlight w:val="green"/>
              </w:rPr>
            </w:pPr>
            <w:r w:rsidRPr="000B2F37">
              <w:rPr>
                <w:sz w:val="22"/>
                <w:szCs w:val="22"/>
                <w:highlight w:val="green"/>
              </w:rPr>
              <w:t>[</w:t>
            </w:r>
            <w:r w:rsidR="00926C49" w:rsidRPr="000B2F37">
              <w:rPr>
                <w:sz w:val="22"/>
                <w:szCs w:val="22"/>
                <w:highlight w:val="green"/>
              </w:rPr>
              <w:t>Nom</w:t>
            </w:r>
            <w:r w:rsidRPr="000B2F37">
              <w:rPr>
                <w:sz w:val="22"/>
                <w:szCs w:val="22"/>
                <w:highlight w:val="green"/>
              </w:rPr>
              <w:t>]</w:t>
            </w:r>
          </w:p>
          <w:p w14:paraId="38AC3EE9" w14:textId="47EE84BE" w:rsidR="0056634C" w:rsidRPr="000B2F37" w:rsidRDefault="0056634C" w:rsidP="0009036F">
            <w:pPr>
              <w:spacing w:before="0"/>
              <w:rPr>
                <w:sz w:val="22"/>
                <w:szCs w:val="22"/>
                <w:highlight w:val="green"/>
              </w:rPr>
            </w:pPr>
            <w:r w:rsidRPr="000B2F37">
              <w:rPr>
                <w:sz w:val="22"/>
                <w:szCs w:val="22"/>
                <w:highlight w:val="green"/>
              </w:rPr>
              <w:t>[</w:t>
            </w:r>
            <w:r w:rsidR="00926C49" w:rsidRPr="000B2F37">
              <w:rPr>
                <w:sz w:val="22"/>
                <w:szCs w:val="22"/>
                <w:highlight w:val="green"/>
              </w:rPr>
              <w:t>Rôle/titre officiel</w:t>
            </w:r>
            <w:r w:rsidRPr="000B2F37">
              <w:rPr>
                <w:sz w:val="22"/>
                <w:szCs w:val="22"/>
                <w:highlight w:val="green"/>
              </w:rPr>
              <w:t>]</w:t>
            </w:r>
          </w:p>
          <w:p w14:paraId="42F653DA" w14:textId="226270B1" w:rsidR="0056634C" w:rsidRPr="000B2F37" w:rsidRDefault="00926C49" w:rsidP="0009036F">
            <w:pPr>
              <w:spacing w:before="0"/>
              <w:rPr>
                <w:sz w:val="22"/>
                <w:szCs w:val="22"/>
              </w:rPr>
            </w:pPr>
            <w:r w:rsidRPr="000B2F37">
              <w:rPr>
                <w:sz w:val="22"/>
                <w:szCs w:val="22"/>
                <w:highlight w:val="green"/>
              </w:rPr>
              <w:t>[A</w:t>
            </w:r>
            <w:r w:rsidR="0056634C" w:rsidRPr="000B2F37">
              <w:rPr>
                <w:sz w:val="22"/>
                <w:szCs w:val="22"/>
                <w:highlight w:val="green"/>
              </w:rPr>
              <w:t>dress</w:t>
            </w:r>
            <w:r w:rsidRPr="000B2F37">
              <w:rPr>
                <w:sz w:val="22"/>
                <w:szCs w:val="22"/>
                <w:highlight w:val="green"/>
              </w:rPr>
              <w:t>e</w:t>
            </w:r>
            <w:r w:rsidR="0056634C" w:rsidRPr="000B2F37">
              <w:rPr>
                <w:sz w:val="22"/>
                <w:szCs w:val="22"/>
                <w:highlight w:val="green"/>
              </w:rPr>
              <w:t>]</w:t>
            </w:r>
          </w:p>
        </w:tc>
      </w:tr>
      <w:tr w:rsidR="0056634C" w:rsidRPr="000B2F37" w14:paraId="416D8AD4" w14:textId="77777777" w:rsidTr="00BE3A4F">
        <w:tc>
          <w:tcPr>
            <w:tcW w:w="1276" w:type="dxa"/>
            <w:shd w:val="clear" w:color="auto" w:fill="auto"/>
          </w:tcPr>
          <w:p w14:paraId="15184892" w14:textId="13BC415F" w:rsidR="0056634C" w:rsidRPr="000B2F37" w:rsidRDefault="00926C49" w:rsidP="0009036F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2F37">
              <w:rPr>
                <w:b/>
                <w:bCs/>
                <w:sz w:val="22"/>
                <w:szCs w:val="22"/>
              </w:rPr>
              <w:t>Télécopie</w:t>
            </w:r>
            <w:r w:rsidR="0056634C" w:rsidRPr="000B2F37">
              <w:rPr>
                <w:b/>
                <w:bCs/>
                <w:sz w:val="22"/>
                <w:szCs w:val="22"/>
              </w:rPr>
              <w:t>:</w:t>
            </w:r>
          </w:p>
          <w:p w14:paraId="5FA4B984" w14:textId="552F544C" w:rsidR="0056634C" w:rsidRPr="000B2F37" w:rsidRDefault="00926C49" w:rsidP="0009036F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2F37">
              <w:rPr>
                <w:b/>
                <w:bCs/>
                <w:sz w:val="22"/>
                <w:szCs w:val="22"/>
              </w:rPr>
              <w:t>Courriel</w:t>
            </w:r>
            <w:r w:rsidR="0056634C" w:rsidRPr="000B2F3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</w:tcPr>
          <w:p w14:paraId="4D6DEACC" w14:textId="77777777" w:rsidR="0056634C" w:rsidRPr="000B2F37" w:rsidRDefault="0056634C" w:rsidP="0009036F">
            <w:pPr>
              <w:spacing w:before="0"/>
              <w:rPr>
                <w:sz w:val="22"/>
                <w:szCs w:val="22"/>
              </w:rPr>
            </w:pPr>
            <w:r w:rsidRPr="000B2F37">
              <w:rPr>
                <w:sz w:val="22"/>
                <w:szCs w:val="22"/>
              </w:rPr>
              <w:t>+41-22-730-5853</w:t>
            </w:r>
          </w:p>
          <w:p w14:paraId="0CD578E4" w14:textId="77777777" w:rsidR="0056634C" w:rsidRPr="000B2F37" w:rsidRDefault="00E54F83" w:rsidP="0009036F">
            <w:pPr>
              <w:spacing w:before="0"/>
              <w:rPr>
                <w:sz w:val="22"/>
                <w:szCs w:val="22"/>
              </w:rPr>
            </w:pPr>
            <w:hyperlink r:id="rId14" w:history="1">
              <w:r w:rsidR="0056634C" w:rsidRPr="000B2F37">
                <w:rPr>
                  <w:rStyle w:val="Hyperlink"/>
                  <w:sz w:val="22"/>
                  <w:szCs w:val="22"/>
                </w:rPr>
                <w:t>tsbdir@itu.int</w:t>
              </w:r>
            </w:hyperlink>
            <w:r w:rsidR="0056634C" w:rsidRPr="000B2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48B8211" w14:textId="2352C91C" w:rsidR="0056634C" w:rsidRPr="000B2F37" w:rsidRDefault="00926C49" w:rsidP="0009036F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2F37">
              <w:rPr>
                <w:b/>
                <w:bCs/>
                <w:sz w:val="22"/>
                <w:szCs w:val="22"/>
              </w:rPr>
              <w:t>Télécopie</w:t>
            </w:r>
            <w:r w:rsidR="0056634C" w:rsidRPr="000B2F37">
              <w:rPr>
                <w:b/>
                <w:bCs/>
                <w:sz w:val="22"/>
                <w:szCs w:val="22"/>
              </w:rPr>
              <w:t>:</w:t>
            </w:r>
          </w:p>
          <w:p w14:paraId="2709ABB5" w14:textId="0ED1277C" w:rsidR="0056634C" w:rsidRPr="000B2F37" w:rsidRDefault="00926C49" w:rsidP="0009036F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2F37">
              <w:rPr>
                <w:b/>
                <w:bCs/>
                <w:sz w:val="22"/>
                <w:szCs w:val="22"/>
              </w:rPr>
              <w:t>Courriel</w:t>
            </w:r>
            <w:r w:rsidR="0056634C" w:rsidRPr="000B2F3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390CF707" w14:textId="77777777" w:rsidR="0056634C" w:rsidRPr="000B2F37" w:rsidRDefault="0056634C" w:rsidP="0009036F">
            <w:pPr>
              <w:spacing w:before="0"/>
              <w:rPr>
                <w:sz w:val="22"/>
                <w:szCs w:val="22"/>
              </w:rPr>
            </w:pPr>
          </w:p>
        </w:tc>
      </w:tr>
      <w:tr w:rsidR="0056634C" w:rsidRPr="000B2F37" w14:paraId="64BDAA0A" w14:textId="77777777" w:rsidTr="00BE3A4F">
        <w:tc>
          <w:tcPr>
            <w:tcW w:w="1276" w:type="dxa"/>
            <w:shd w:val="clear" w:color="auto" w:fill="auto"/>
          </w:tcPr>
          <w:p w14:paraId="2273C534" w14:textId="77777777" w:rsidR="0056634C" w:rsidRPr="000B2F37" w:rsidRDefault="0056634C" w:rsidP="0009036F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</w:tcPr>
          <w:p w14:paraId="4E611BBB" w14:textId="77777777" w:rsidR="0056634C" w:rsidRPr="000B2F37" w:rsidRDefault="0056634C" w:rsidP="0009036F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E71A57A" w14:textId="77777777" w:rsidR="0056634C" w:rsidRPr="000B2F37" w:rsidRDefault="0056634C" w:rsidP="0009036F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2F37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977" w:type="dxa"/>
            <w:shd w:val="clear" w:color="auto" w:fill="auto"/>
          </w:tcPr>
          <w:p w14:paraId="68E643A3" w14:textId="634A495A" w:rsidR="0056634C" w:rsidRPr="000B2F37" w:rsidRDefault="0056634C" w:rsidP="0009036F">
            <w:pPr>
              <w:spacing w:before="0"/>
              <w:rPr>
                <w:sz w:val="22"/>
                <w:szCs w:val="22"/>
              </w:rPr>
            </w:pPr>
            <w:r w:rsidRPr="000B2F37">
              <w:rPr>
                <w:sz w:val="22"/>
                <w:szCs w:val="22"/>
                <w:highlight w:val="green"/>
              </w:rPr>
              <w:t>[</w:t>
            </w:r>
            <w:r w:rsidR="00926C49" w:rsidRPr="000B2F37">
              <w:rPr>
                <w:sz w:val="22"/>
                <w:szCs w:val="22"/>
                <w:highlight w:val="green"/>
              </w:rPr>
              <w:t>Lieu</w:t>
            </w:r>
            <w:r w:rsidRPr="000B2F37">
              <w:rPr>
                <w:sz w:val="22"/>
                <w:szCs w:val="22"/>
                <w:highlight w:val="green"/>
              </w:rPr>
              <w:t>,] [Date]</w:t>
            </w:r>
          </w:p>
        </w:tc>
      </w:tr>
    </w:tbl>
    <w:p w14:paraId="5B313C10" w14:textId="7B180C1F" w:rsidR="0056634C" w:rsidRPr="000B2F37" w:rsidRDefault="000B3E68" w:rsidP="00DF3FB1">
      <w:pPr>
        <w:pStyle w:val="Normalaftertitle"/>
        <w:rPr>
          <w:sz w:val="22"/>
          <w:szCs w:val="18"/>
        </w:rPr>
      </w:pPr>
      <w:r w:rsidRPr="000B2F37">
        <w:rPr>
          <w:sz w:val="22"/>
          <w:szCs w:val="18"/>
        </w:rPr>
        <w:t>Madame, Monsieur</w:t>
      </w:r>
      <w:r w:rsidR="0056634C" w:rsidRPr="000B2F37">
        <w:rPr>
          <w:sz w:val="22"/>
          <w:szCs w:val="18"/>
        </w:rPr>
        <w:t>,</w:t>
      </w:r>
    </w:p>
    <w:p w14:paraId="38225D6F" w14:textId="6E890258" w:rsidR="00AB594E" w:rsidRPr="000B2F37" w:rsidRDefault="00AB594E" w:rsidP="000B2F37">
      <w:pPr>
        <w:spacing w:after="120"/>
        <w:rPr>
          <w:sz w:val="22"/>
          <w:szCs w:val="18"/>
        </w:rPr>
      </w:pPr>
      <w:r w:rsidRPr="000B2F37">
        <w:rPr>
          <w:sz w:val="22"/>
          <w:szCs w:val="18"/>
        </w:rPr>
        <w:t xml:space="preserve">Dans le cadre de la consultation des États Membres au sujet des projets de texte déterminé dont il est question dans la Circulaire TSB </w:t>
      </w:r>
      <w:r w:rsidR="00D63F08" w:rsidRPr="000B2F37">
        <w:rPr>
          <w:sz w:val="22"/>
          <w:szCs w:val="18"/>
        </w:rPr>
        <w:t>214</w:t>
      </w:r>
      <w:r w:rsidRPr="000B2F37">
        <w:rPr>
          <w:sz w:val="22"/>
          <w:szCs w:val="18"/>
        </w:rPr>
        <w:t>, je vous indique par la présente l'opinion de mon Administration, qui figure dans le tableau ci-après.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993"/>
      </w:tblGrid>
      <w:tr w:rsidR="0056634C" w:rsidRPr="000B2F37" w14:paraId="1C676113" w14:textId="77777777" w:rsidTr="00E87676">
        <w:trPr>
          <w:cantSplit/>
          <w:tblHeader/>
        </w:trPr>
        <w:tc>
          <w:tcPr>
            <w:tcW w:w="2067" w:type="dxa"/>
            <w:shd w:val="clear" w:color="auto" w:fill="auto"/>
            <w:vAlign w:val="center"/>
          </w:tcPr>
          <w:p w14:paraId="6E986250" w14:textId="77777777" w:rsidR="0056634C" w:rsidRPr="000B2F37" w:rsidRDefault="0056634C" w:rsidP="0009036F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3" w:type="dxa"/>
            <w:shd w:val="clear" w:color="auto" w:fill="auto"/>
            <w:vAlign w:val="center"/>
          </w:tcPr>
          <w:p w14:paraId="6700952A" w14:textId="7D8957A5" w:rsidR="0056634C" w:rsidRPr="000B2F37" w:rsidRDefault="00AB594E" w:rsidP="000903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sz w:val="22"/>
                <w:szCs w:val="22"/>
              </w:rPr>
            </w:pPr>
            <w:r w:rsidRPr="000B2F37">
              <w:rPr>
                <w:b/>
                <w:bCs/>
                <w:sz w:val="22"/>
                <w:szCs w:val="22"/>
              </w:rPr>
              <w:t>Cochez l'une des deux cases</w:t>
            </w:r>
          </w:p>
        </w:tc>
      </w:tr>
      <w:tr w:rsidR="0056634C" w:rsidRPr="000B2F37" w14:paraId="4E3E4C78" w14:textId="77777777" w:rsidTr="00E87676">
        <w:trPr>
          <w:cantSplit/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4503D032" w14:textId="6B2EE90A" w:rsidR="0056634C" w:rsidRPr="000B2F37" w:rsidRDefault="006D6C6F" w:rsidP="0009036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0B2F37">
              <w:rPr>
                <w:b/>
                <w:bCs/>
                <w:sz w:val="22"/>
                <w:szCs w:val="22"/>
              </w:rPr>
              <w:t>Projet de Recommandation UIT</w:t>
            </w:r>
            <w:r w:rsidR="00DF3FB1" w:rsidRPr="000B2F37">
              <w:rPr>
                <w:b/>
                <w:bCs/>
                <w:sz w:val="22"/>
                <w:szCs w:val="22"/>
              </w:rPr>
              <w:noBreakHyphen/>
            </w:r>
            <w:r w:rsidRPr="000B2F37">
              <w:rPr>
                <w:b/>
                <w:bCs/>
                <w:sz w:val="22"/>
                <w:szCs w:val="22"/>
              </w:rPr>
              <w:t>T</w:t>
            </w:r>
            <w:r w:rsidR="00DF3FB1" w:rsidRPr="000B2F37">
              <w:rPr>
                <w:b/>
                <w:bCs/>
                <w:sz w:val="22"/>
                <w:szCs w:val="22"/>
              </w:rPr>
              <w:t> </w:t>
            </w:r>
            <w:r w:rsidR="0056634C" w:rsidRPr="000B2F37">
              <w:rPr>
                <w:b/>
                <w:bCs/>
                <w:sz w:val="22"/>
                <w:szCs w:val="22"/>
              </w:rPr>
              <w:t>E.</w:t>
            </w:r>
            <w:r w:rsidR="00D63F08" w:rsidRPr="000B2F37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7993" w:type="dxa"/>
            <w:shd w:val="clear" w:color="auto" w:fill="auto"/>
            <w:vAlign w:val="center"/>
          </w:tcPr>
          <w:p w14:paraId="3E56F424" w14:textId="20030949" w:rsidR="0056634C" w:rsidRPr="000B2F37" w:rsidRDefault="00E54F83" w:rsidP="000903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7059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36" w:rsidRPr="000B2F3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6634C" w:rsidRPr="000B2F37">
              <w:rPr>
                <w:sz w:val="18"/>
                <w:szCs w:val="18"/>
              </w:rPr>
              <w:tab/>
            </w:r>
            <w:r w:rsidR="006D6C6F" w:rsidRPr="000B2F37">
              <w:rPr>
                <w:b/>
                <w:bCs/>
                <w:sz w:val="22"/>
                <w:szCs w:val="22"/>
              </w:rPr>
              <w:t>autorise</w:t>
            </w:r>
            <w:r w:rsidR="006D6C6F" w:rsidRPr="000B2F37">
              <w:rPr>
                <w:sz w:val="22"/>
                <w:szCs w:val="22"/>
              </w:rPr>
              <w:t xml:space="preserve"> la CE 2 à procéder à l'examen de ce document en vue de son approbation (dans ce cas, sélectionnez l'une des deux options):</w:t>
            </w:r>
          </w:p>
          <w:p w14:paraId="28E0EB16" w14:textId="225BF867" w:rsidR="0056634C" w:rsidRPr="000B2F37" w:rsidRDefault="00E54F83" w:rsidP="000903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939" w:hanging="459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01052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4C" w:rsidRPr="000B2F3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6634C" w:rsidRPr="000B2F37">
              <w:rPr>
                <w:sz w:val="18"/>
                <w:szCs w:val="18"/>
              </w:rPr>
              <w:tab/>
            </w:r>
            <w:r w:rsidR="006D6C6F" w:rsidRPr="000B2F37">
              <w:rPr>
                <w:sz w:val="22"/>
                <w:szCs w:val="22"/>
              </w:rPr>
              <w:t>Pas de commentaire ou de proposition de modification</w:t>
            </w:r>
          </w:p>
          <w:p w14:paraId="57A774F2" w14:textId="79FBB1F1" w:rsidR="00DF3FB1" w:rsidRPr="000B2F37" w:rsidRDefault="00E54F83" w:rsidP="000E57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60"/>
              <w:ind w:left="939" w:hanging="459"/>
              <w:rPr>
                <w:sz w:val="22"/>
              </w:rPr>
            </w:pPr>
            <w:sdt>
              <w:sdtPr>
                <w:rPr>
                  <w:sz w:val="28"/>
                  <w:szCs w:val="28"/>
                </w:rPr>
                <w:id w:val="210545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4C" w:rsidRPr="000B2F3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6634C" w:rsidRPr="000B2F37">
              <w:rPr>
                <w:sz w:val="18"/>
                <w:szCs w:val="18"/>
              </w:rPr>
              <w:tab/>
            </w:r>
            <w:r w:rsidR="006D6C6F" w:rsidRPr="000B2F37">
              <w:rPr>
                <w:sz w:val="22"/>
                <w:szCs w:val="22"/>
              </w:rPr>
              <w:t>Des commentaires ou propositions de modification sont joints à la présente</w:t>
            </w:r>
          </w:p>
        </w:tc>
      </w:tr>
      <w:tr w:rsidR="0056634C" w:rsidRPr="000B2F37" w14:paraId="1677195E" w14:textId="77777777" w:rsidTr="00E87676">
        <w:trPr>
          <w:cantSplit/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4708684B" w14:textId="77777777" w:rsidR="0056634C" w:rsidRPr="000B2F37" w:rsidRDefault="0056634C" w:rsidP="0009036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3" w:type="dxa"/>
            <w:shd w:val="clear" w:color="auto" w:fill="auto"/>
            <w:vAlign w:val="center"/>
          </w:tcPr>
          <w:p w14:paraId="2895D0C7" w14:textId="644C51F8" w:rsidR="00DF3FB1" w:rsidRPr="000B2F37" w:rsidRDefault="00E54F83" w:rsidP="000E57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2"/>
              </w:rPr>
            </w:pPr>
            <w:sdt>
              <w:sdtPr>
                <w:rPr>
                  <w:sz w:val="28"/>
                  <w:szCs w:val="28"/>
                </w:rPr>
                <w:id w:val="-17673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4C" w:rsidRPr="000B2F3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6634C" w:rsidRPr="000B2F37">
              <w:rPr>
                <w:sz w:val="20"/>
              </w:rPr>
              <w:tab/>
            </w:r>
            <w:r w:rsidR="00954A26" w:rsidRPr="000B2F37">
              <w:rPr>
                <w:b/>
                <w:bCs/>
                <w:sz w:val="22"/>
              </w:rPr>
              <w:t>n'autorise pas</w:t>
            </w:r>
            <w:r w:rsidR="00954A26" w:rsidRPr="000B2F37">
              <w:rPr>
                <w:sz w:val="22"/>
              </w:rPr>
              <w:t xml:space="preserve"> la CE 2 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  <w:tr w:rsidR="0056634C" w:rsidRPr="000B2F37" w14:paraId="6FF0BDC8" w14:textId="77777777" w:rsidTr="00E87676">
        <w:trPr>
          <w:cantSplit/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7214F207" w14:textId="46F15E7D" w:rsidR="0056634C" w:rsidRPr="000B2F37" w:rsidRDefault="001147D7" w:rsidP="0009036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0B2F37">
              <w:rPr>
                <w:b/>
                <w:bCs/>
                <w:sz w:val="22"/>
                <w:szCs w:val="22"/>
              </w:rPr>
              <w:t xml:space="preserve">Projet de </w:t>
            </w:r>
            <w:r w:rsidR="00D63F08" w:rsidRPr="000B2F37">
              <w:rPr>
                <w:b/>
                <w:bCs/>
                <w:sz w:val="22"/>
                <w:szCs w:val="22"/>
              </w:rPr>
              <w:t xml:space="preserve">nouvelle </w:t>
            </w:r>
            <w:r w:rsidRPr="000B2F37">
              <w:rPr>
                <w:b/>
                <w:bCs/>
                <w:sz w:val="22"/>
                <w:szCs w:val="22"/>
              </w:rPr>
              <w:t>Recommandation UIT</w:t>
            </w:r>
            <w:r w:rsidR="00DF3FB1" w:rsidRPr="000B2F37">
              <w:rPr>
                <w:b/>
                <w:bCs/>
                <w:sz w:val="22"/>
                <w:szCs w:val="22"/>
              </w:rPr>
              <w:noBreakHyphen/>
            </w:r>
            <w:r w:rsidRPr="000B2F37">
              <w:rPr>
                <w:b/>
                <w:bCs/>
                <w:sz w:val="22"/>
                <w:szCs w:val="22"/>
              </w:rPr>
              <w:t>T</w:t>
            </w:r>
            <w:r w:rsidR="00DF3FB1" w:rsidRPr="000B2F37">
              <w:rPr>
                <w:b/>
                <w:bCs/>
                <w:sz w:val="22"/>
                <w:szCs w:val="22"/>
              </w:rPr>
              <w:t> </w:t>
            </w:r>
            <w:r w:rsidR="0056634C" w:rsidRPr="000B2F37">
              <w:rPr>
                <w:b/>
                <w:bCs/>
                <w:sz w:val="22"/>
                <w:szCs w:val="22"/>
              </w:rPr>
              <w:t>E.</w:t>
            </w:r>
            <w:r w:rsidR="00D63F08" w:rsidRPr="000B2F37">
              <w:rPr>
                <w:b/>
                <w:bCs/>
                <w:sz w:val="22"/>
                <w:szCs w:val="22"/>
              </w:rPr>
              <w:t>1120 (anciennement E.gap)</w:t>
            </w:r>
          </w:p>
        </w:tc>
        <w:tc>
          <w:tcPr>
            <w:tcW w:w="7993" w:type="dxa"/>
            <w:shd w:val="clear" w:color="auto" w:fill="auto"/>
            <w:vAlign w:val="center"/>
          </w:tcPr>
          <w:p w14:paraId="2895F04E" w14:textId="2495A092" w:rsidR="0056634C" w:rsidRPr="000B2F37" w:rsidRDefault="00E54F83" w:rsidP="000903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7557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4C" w:rsidRPr="000B2F3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6634C" w:rsidRPr="000B2F37">
              <w:rPr>
                <w:sz w:val="18"/>
                <w:szCs w:val="18"/>
              </w:rPr>
              <w:tab/>
            </w:r>
            <w:r w:rsidR="00954A26" w:rsidRPr="000B2F37">
              <w:rPr>
                <w:b/>
                <w:bCs/>
                <w:sz w:val="22"/>
                <w:szCs w:val="22"/>
              </w:rPr>
              <w:t>autorise</w:t>
            </w:r>
            <w:r w:rsidR="00954A26" w:rsidRPr="000B2F37">
              <w:rPr>
                <w:sz w:val="22"/>
                <w:szCs w:val="22"/>
              </w:rPr>
              <w:t xml:space="preserve"> la CE 2 à procéder à l'examen de ce document en vue de son approbation (dans ce cas, sélectionnez l'une des deux options):</w:t>
            </w:r>
          </w:p>
          <w:p w14:paraId="1B309A42" w14:textId="6A1D891A" w:rsidR="0056634C" w:rsidRPr="000B2F37" w:rsidRDefault="00E54F83" w:rsidP="000903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939" w:hanging="459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9896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4C" w:rsidRPr="000B2F3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6634C" w:rsidRPr="000B2F37">
              <w:rPr>
                <w:sz w:val="18"/>
                <w:szCs w:val="18"/>
              </w:rPr>
              <w:tab/>
            </w:r>
            <w:r w:rsidR="00487F29" w:rsidRPr="000B2F37">
              <w:rPr>
                <w:sz w:val="22"/>
                <w:szCs w:val="22"/>
              </w:rPr>
              <w:t>Pas de commentaire ou de proposition de modification</w:t>
            </w:r>
          </w:p>
          <w:p w14:paraId="329A991D" w14:textId="6B618406" w:rsidR="00DF3FB1" w:rsidRPr="000B2F37" w:rsidRDefault="00E54F83" w:rsidP="000E57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60"/>
              <w:ind w:left="939" w:hanging="459"/>
              <w:rPr>
                <w:sz w:val="22"/>
              </w:rPr>
            </w:pPr>
            <w:sdt>
              <w:sdtPr>
                <w:rPr>
                  <w:sz w:val="28"/>
                  <w:szCs w:val="28"/>
                </w:rPr>
                <w:id w:val="-139773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4C" w:rsidRPr="000B2F3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6634C" w:rsidRPr="000B2F37">
              <w:rPr>
                <w:sz w:val="18"/>
                <w:szCs w:val="18"/>
              </w:rPr>
              <w:tab/>
            </w:r>
            <w:r w:rsidR="00487F29" w:rsidRPr="000B2F37">
              <w:rPr>
                <w:sz w:val="22"/>
                <w:szCs w:val="22"/>
              </w:rPr>
              <w:t>Des commentaires ou propositions de modification sont joints à la présente</w:t>
            </w:r>
          </w:p>
        </w:tc>
      </w:tr>
      <w:tr w:rsidR="0056634C" w:rsidRPr="000B2F37" w14:paraId="4FA1C644" w14:textId="77777777" w:rsidTr="00E87676">
        <w:trPr>
          <w:cantSplit/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01AD901B" w14:textId="77777777" w:rsidR="0056634C" w:rsidRPr="000B2F37" w:rsidRDefault="0056634C" w:rsidP="0009036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3" w:type="dxa"/>
            <w:shd w:val="clear" w:color="auto" w:fill="auto"/>
            <w:vAlign w:val="center"/>
          </w:tcPr>
          <w:p w14:paraId="7A7E0564" w14:textId="252EAF41" w:rsidR="00DF3FB1" w:rsidRPr="000B2F37" w:rsidRDefault="00E54F83" w:rsidP="000E57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2"/>
              </w:rPr>
            </w:pPr>
            <w:sdt>
              <w:sdtPr>
                <w:rPr>
                  <w:sz w:val="28"/>
                  <w:szCs w:val="28"/>
                </w:rPr>
                <w:id w:val="109205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4C" w:rsidRPr="000B2F3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6634C" w:rsidRPr="000B2F37">
              <w:rPr>
                <w:sz w:val="20"/>
              </w:rPr>
              <w:tab/>
            </w:r>
            <w:r w:rsidR="005F2C18" w:rsidRPr="000B2F37">
              <w:rPr>
                <w:b/>
                <w:bCs/>
                <w:sz w:val="22"/>
              </w:rPr>
              <w:t>n'autorise pas</w:t>
            </w:r>
            <w:r w:rsidR="005F2C18" w:rsidRPr="000B2F37">
              <w:rPr>
                <w:sz w:val="22"/>
              </w:rPr>
              <w:t xml:space="preserve"> la CE 2 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46AC5FF6" w14:textId="258B3965" w:rsidR="0056634C" w:rsidRPr="000B2F37" w:rsidRDefault="002070DD" w:rsidP="001F48A2">
      <w:pPr>
        <w:keepNext/>
        <w:keepLines/>
        <w:spacing w:before="240"/>
        <w:rPr>
          <w:sz w:val="22"/>
          <w:szCs w:val="18"/>
        </w:rPr>
      </w:pPr>
      <w:r w:rsidRPr="000B2F37">
        <w:rPr>
          <w:sz w:val="22"/>
          <w:szCs w:val="18"/>
        </w:rPr>
        <w:t>Veuillez agréer, Madame, Monsieur, l'assurance de ma considération distinguée.</w:t>
      </w:r>
    </w:p>
    <w:p w14:paraId="19909620" w14:textId="6D1DD26D" w:rsidR="0056634C" w:rsidRPr="000B2F37" w:rsidRDefault="0056634C" w:rsidP="001F48A2">
      <w:pPr>
        <w:keepNext/>
        <w:keepLines/>
        <w:spacing w:before="840"/>
        <w:rPr>
          <w:sz w:val="22"/>
          <w:szCs w:val="22"/>
        </w:rPr>
      </w:pPr>
      <w:r w:rsidRPr="000B2F37">
        <w:rPr>
          <w:sz w:val="22"/>
          <w:szCs w:val="22"/>
          <w:highlight w:val="green"/>
        </w:rPr>
        <w:t>[</w:t>
      </w:r>
      <w:r w:rsidR="002070DD" w:rsidRPr="000B2F37">
        <w:rPr>
          <w:sz w:val="22"/>
          <w:szCs w:val="22"/>
          <w:highlight w:val="green"/>
        </w:rPr>
        <w:t>Nom</w:t>
      </w:r>
      <w:r w:rsidRPr="000B2F37">
        <w:rPr>
          <w:sz w:val="22"/>
          <w:szCs w:val="22"/>
          <w:highlight w:val="green"/>
        </w:rPr>
        <w:t>]</w:t>
      </w:r>
      <w:r w:rsidR="001F48A2" w:rsidRPr="000B2F37">
        <w:rPr>
          <w:sz w:val="22"/>
          <w:szCs w:val="22"/>
          <w:highlight w:val="green"/>
        </w:rPr>
        <w:br/>
      </w:r>
      <w:r w:rsidRPr="000B2F37">
        <w:rPr>
          <w:sz w:val="22"/>
          <w:szCs w:val="22"/>
          <w:highlight w:val="green"/>
        </w:rPr>
        <w:t>[</w:t>
      </w:r>
      <w:r w:rsidR="002070DD" w:rsidRPr="000B2F37">
        <w:rPr>
          <w:sz w:val="22"/>
          <w:szCs w:val="22"/>
          <w:highlight w:val="green"/>
        </w:rPr>
        <w:t>Rôle/titre officiel</w:t>
      </w:r>
      <w:r w:rsidRPr="000B2F37">
        <w:rPr>
          <w:sz w:val="22"/>
          <w:szCs w:val="22"/>
          <w:highlight w:val="green"/>
        </w:rPr>
        <w:t>]</w:t>
      </w:r>
      <w:r w:rsidR="001F48A2" w:rsidRPr="000B2F37">
        <w:rPr>
          <w:sz w:val="22"/>
          <w:szCs w:val="22"/>
        </w:rPr>
        <w:br/>
      </w:r>
      <w:r w:rsidR="002070DD" w:rsidRPr="000B2F37">
        <w:rPr>
          <w:sz w:val="22"/>
          <w:szCs w:val="22"/>
        </w:rPr>
        <w:t>Administration de</w:t>
      </w:r>
      <w:r w:rsidRPr="000B2F37">
        <w:rPr>
          <w:sz w:val="22"/>
          <w:szCs w:val="22"/>
        </w:rPr>
        <w:t xml:space="preserve"> </w:t>
      </w:r>
      <w:r w:rsidRPr="000B2F37">
        <w:rPr>
          <w:sz w:val="22"/>
          <w:szCs w:val="22"/>
          <w:highlight w:val="green"/>
        </w:rPr>
        <w:t>[</w:t>
      </w:r>
      <w:r w:rsidR="002070DD" w:rsidRPr="000B2F37">
        <w:rPr>
          <w:sz w:val="22"/>
          <w:szCs w:val="22"/>
          <w:highlight w:val="green"/>
        </w:rPr>
        <w:t>État Membre</w:t>
      </w:r>
      <w:r w:rsidRPr="000B2F37">
        <w:rPr>
          <w:sz w:val="22"/>
          <w:szCs w:val="22"/>
          <w:highlight w:val="green"/>
        </w:rPr>
        <w:t>]</w:t>
      </w:r>
    </w:p>
    <w:p w14:paraId="3D9F6252" w14:textId="77777777" w:rsidR="006D777B" w:rsidRPr="00426B28" w:rsidRDefault="006D777B">
      <w:pPr>
        <w:jc w:val="center"/>
      </w:pPr>
      <w:r w:rsidRPr="00426B28">
        <w:t>______________</w:t>
      </w:r>
    </w:p>
    <w:sectPr w:rsidR="006D777B" w:rsidRPr="00426B28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4F71C028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</w:t>
    </w:r>
    <w:r w:rsidR="0009036F">
      <w:rPr>
        <w:color w:val="0070C0"/>
        <w:sz w:val="18"/>
        <w:szCs w:val="18"/>
        <w:lang w:val="fr-CH"/>
      </w:rPr>
      <w:t>Télécopie</w:t>
    </w:r>
    <w:r w:rsidRPr="003E66AD">
      <w:rPr>
        <w:color w:val="0070C0"/>
        <w:sz w:val="18"/>
        <w:szCs w:val="18"/>
        <w:lang w:val="fr-CH"/>
      </w:rPr>
      <w:t xml:space="preserve">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7F194D00" w:rsidR="00697BC1" w:rsidRPr="00697BC1" w:rsidRDefault="00E54F83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E5571">
          <w:rPr>
            <w:noProof/>
            <w:sz w:val="18"/>
            <w:szCs w:val="16"/>
          </w:rPr>
          <w:t>5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D63F08">
      <w:rPr>
        <w:noProof/>
        <w:sz w:val="18"/>
        <w:szCs w:val="16"/>
      </w:rPr>
      <w:t>214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1943">
    <w:abstractNumId w:val="1"/>
  </w:num>
  <w:num w:numId="2" w16cid:durableId="67071948">
    <w:abstractNumId w:val="3"/>
  </w:num>
  <w:num w:numId="3" w16cid:durableId="1912234132">
    <w:abstractNumId w:val="2"/>
  </w:num>
  <w:num w:numId="4" w16cid:durableId="1665553126">
    <w:abstractNumId w:val="0"/>
  </w:num>
  <w:num w:numId="5" w16cid:durableId="586353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E9"/>
    <w:rsid w:val="000039EE"/>
    <w:rsid w:val="00005622"/>
    <w:rsid w:val="00010F98"/>
    <w:rsid w:val="0002519E"/>
    <w:rsid w:val="00035B43"/>
    <w:rsid w:val="00036F4F"/>
    <w:rsid w:val="00047751"/>
    <w:rsid w:val="0005024E"/>
    <w:rsid w:val="00051859"/>
    <w:rsid w:val="0005299B"/>
    <w:rsid w:val="000758B3"/>
    <w:rsid w:val="00085F5A"/>
    <w:rsid w:val="0009036F"/>
    <w:rsid w:val="000A217E"/>
    <w:rsid w:val="000B0D96"/>
    <w:rsid w:val="000B2F37"/>
    <w:rsid w:val="000B3E68"/>
    <w:rsid w:val="000B59D8"/>
    <w:rsid w:val="000C1F6B"/>
    <w:rsid w:val="000C25CC"/>
    <w:rsid w:val="000C56BE"/>
    <w:rsid w:val="000D387B"/>
    <w:rsid w:val="000E474D"/>
    <w:rsid w:val="000E5571"/>
    <w:rsid w:val="000E5736"/>
    <w:rsid w:val="000F3791"/>
    <w:rsid w:val="00100F79"/>
    <w:rsid w:val="001026FD"/>
    <w:rsid w:val="001077FD"/>
    <w:rsid w:val="001147D7"/>
    <w:rsid w:val="00115DD7"/>
    <w:rsid w:val="00126C1E"/>
    <w:rsid w:val="00144621"/>
    <w:rsid w:val="00152A34"/>
    <w:rsid w:val="00167472"/>
    <w:rsid w:val="00167F92"/>
    <w:rsid w:val="00172382"/>
    <w:rsid w:val="00173738"/>
    <w:rsid w:val="001A1332"/>
    <w:rsid w:val="001B79A3"/>
    <w:rsid w:val="001F48A2"/>
    <w:rsid w:val="002070DD"/>
    <w:rsid w:val="002152A3"/>
    <w:rsid w:val="0023667A"/>
    <w:rsid w:val="00266CBE"/>
    <w:rsid w:val="002937DB"/>
    <w:rsid w:val="0029580A"/>
    <w:rsid w:val="002A2163"/>
    <w:rsid w:val="002A3362"/>
    <w:rsid w:val="002A7D41"/>
    <w:rsid w:val="002E395D"/>
    <w:rsid w:val="00307FB4"/>
    <w:rsid w:val="003131F0"/>
    <w:rsid w:val="00320DA3"/>
    <w:rsid w:val="00333A80"/>
    <w:rsid w:val="00341117"/>
    <w:rsid w:val="00364E95"/>
    <w:rsid w:val="00372875"/>
    <w:rsid w:val="003742F8"/>
    <w:rsid w:val="00377B1D"/>
    <w:rsid w:val="00382C35"/>
    <w:rsid w:val="003B1E80"/>
    <w:rsid w:val="003B66E8"/>
    <w:rsid w:val="003C23F2"/>
    <w:rsid w:val="003D0049"/>
    <w:rsid w:val="003D5DF2"/>
    <w:rsid w:val="003D6309"/>
    <w:rsid w:val="003E66AD"/>
    <w:rsid w:val="004033F1"/>
    <w:rsid w:val="004115DB"/>
    <w:rsid w:val="00414B0C"/>
    <w:rsid w:val="00423C21"/>
    <w:rsid w:val="004257AC"/>
    <w:rsid w:val="00426B28"/>
    <w:rsid w:val="0043711B"/>
    <w:rsid w:val="004419E9"/>
    <w:rsid w:val="00445B68"/>
    <w:rsid w:val="00462EFE"/>
    <w:rsid w:val="00463E4A"/>
    <w:rsid w:val="0048088B"/>
    <w:rsid w:val="00480E7C"/>
    <w:rsid w:val="00487F29"/>
    <w:rsid w:val="004977C9"/>
    <w:rsid w:val="004A427E"/>
    <w:rsid w:val="004B732E"/>
    <w:rsid w:val="004D51F4"/>
    <w:rsid w:val="004D64E0"/>
    <w:rsid w:val="005120A2"/>
    <w:rsid w:val="0051210D"/>
    <w:rsid w:val="005136D2"/>
    <w:rsid w:val="00517A03"/>
    <w:rsid w:val="00531B4E"/>
    <w:rsid w:val="00535CDF"/>
    <w:rsid w:val="00544A90"/>
    <w:rsid w:val="0056634C"/>
    <w:rsid w:val="00575B79"/>
    <w:rsid w:val="005A3DD9"/>
    <w:rsid w:val="005B1DFC"/>
    <w:rsid w:val="005F2C18"/>
    <w:rsid w:val="00601682"/>
    <w:rsid w:val="00603470"/>
    <w:rsid w:val="006124AB"/>
    <w:rsid w:val="00615702"/>
    <w:rsid w:val="0061622F"/>
    <w:rsid w:val="00621884"/>
    <w:rsid w:val="00621F58"/>
    <w:rsid w:val="00625E79"/>
    <w:rsid w:val="006333F7"/>
    <w:rsid w:val="006427A1"/>
    <w:rsid w:val="00644741"/>
    <w:rsid w:val="00655CAE"/>
    <w:rsid w:val="00676228"/>
    <w:rsid w:val="00677CFE"/>
    <w:rsid w:val="0068290E"/>
    <w:rsid w:val="0068423A"/>
    <w:rsid w:val="006917EE"/>
    <w:rsid w:val="00697BC1"/>
    <w:rsid w:val="006A6FFE"/>
    <w:rsid w:val="006B27B0"/>
    <w:rsid w:val="006B2E7B"/>
    <w:rsid w:val="006B3CB1"/>
    <w:rsid w:val="006C5A91"/>
    <w:rsid w:val="006D2BBB"/>
    <w:rsid w:val="006D6C6F"/>
    <w:rsid w:val="006D777B"/>
    <w:rsid w:val="006E23D3"/>
    <w:rsid w:val="006F52F7"/>
    <w:rsid w:val="007022C2"/>
    <w:rsid w:val="00716069"/>
    <w:rsid w:val="00716BBC"/>
    <w:rsid w:val="007321BC"/>
    <w:rsid w:val="00741785"/>
    <w:rsid w:val="00742EF5"/>
    <w:rsid w:val="0074463F"/>
    <w:rsid w:val="00760063"/>
    <w:rsid w:val="00762A27"/>
    <w:rsid w:val="00775E4B"/>
    <w:rsid w:val="007910CE"/>
    <w:rsid w:val="00792F3D"/>
    <w:rsid w:val="00793E09"/>
    <w:rsid w:val="0079553B"/>
    <w:rsid w:val="00795679"/>
    <w:rsid w:val="007A40FE"/>
    <w:rsid w:val="007A447E"/>
    <w:rsid w:val="007C3952"/>
    <w:rsid w:val="007D5344"/>
    <w:rsid w:val="007D7B0E"/>
    <w:rsid w:val="007E6928"/>
    <w:rsid w:val="007E69D8"/>
    <w:rsid w:val="00810105"/>
    <w:rsid w:val="008157E0"/>
    <w:rsid w:val="0082672E"/>
    <w:rsid w:val="0083352C"/>
    <w:rsid w:val="00850477"/>
    <w:rsid w:val="00854E1D"/>
    <w:rsid w:val="00866C95"/>
    <w:rsid w:val="008751D8"/>
    <w:rsid w:val="00887FA6"/>
    <w:rsid w:val="008A4A8E"/>
    <w:rsid w:val="008A58AC"/>
    <w:rsid w:val="008B15E2"/>
    <w:rsid w:val="008C4397"/>
    <w:rsid w:val="008C465A"/>
    <w:rsid w:val="008F2C9B"/>
    <w:rsid w:val="00920B8F"/>
    <w:rsid w:val="00923CD6"/>
    <w:rsid w:val="00926C49"/>
    <w:rsid w:val="009275FF"/>
    <w:rsid w:val="00935872"/>
    <w:rsid w:val="00935AA8"/>
    <w:rsid w:val="009532A8"/>
    <w:rsid w:val="00954A26"/>
    <w:rsid w:val="00963AB0"/>
    <w:rsid w:val="00963D6A"/>
    <w:rsid w:val="00971C9A"/>
    <w:rsid w:val="00972A1C"/>
    <w:rsid w:val="009769D2"/>
    <w:rsid w:val="00981E8C"/>
    <w:rsid w:val="009B2A5F"/>
    <w:rsid w:val="009C1BC2"/>
    <w:rsid w:val="009D51FA"/>
    <w:rsid w:val="009F1E23"/>
    <w:rsid w:val="009F24E8"/>
    <w:rsid w:val="00A01286"/>
    <w:rsid w:val="00A039ED"/>
    <w:rsid w:val="00A15179"/>
    <w:rsid w:val="00A51537"/>
    <w:rsid w:val="00A5280F"/>
    <w:rsid w:val="00A52C9A"/>
    <w:rsid w:val="00A5645A"/>
    <w:rsid w:val="00A604BB"/>
    <w:rsid w:val="00A60FC1"/>
    <w:rsid w:val="00A6273F"/>
    <w:rsid w:val="00A70CB1"/>
    <w:rsid w:val="00A94B85"/>
    <w:rsid w:val="00A97C37"/>
    <w:rsid w:val="00A97C3A"/>
    <w:rsid w:val="00AA131B"/>
    <w:rsid w:val="00AA1FF8"/>
    <w:rsid w:val="00AB0BD9"/>
    <w:rsid w:val="00AB594E"/>
    <w:rsid w:val="00AC279F"/>
    <w:rsid w:val="00AC37B5"/>
    <w:rsid w:val="00AC417F"/>
    <w:rsid w:val="00AD0A5E"/>
    <w:rsid w:val="00AD752F"/>
    <w:rsid w:val="00AE6FFB"/>
    <w:rsid w:val="00AF08A4"/>
    <w:rsid w:val="00AF0D7D"/>
    <w:rsid w:val="00B0214A"/>
    <w:rsid w:val="00B1354B"/>
    <w:rsid w:val="00B27B41"/>
    <w:rsid w:val="00B42659"/>
    <w:rsid w:val="00B46F2D"/>
    <w:rsid w:val="00B60868"/>
    <w:rsid w:val="00B66F1C"/>
    <w:rsid w:val="00B71D88"/>
    <w:rsid w:val="00B8573E"/>
    <w:rsid w:val="00B86D2C"/>
    <w:rsid w:val="00BB24C0"/>
    <w:rsid w:val="00BB7147"/>
    <w:rsid w:val="00BC1446"/>
    <w:rsid w:val="00BC585B"/>
    <w:rsid w:val="00BD3736"/>
    <w:rsid w:val="00BD5F6D"/>
    <w:rsid w:val="00BD6ECF"/>
    <w:rsid w:val="00BE3A4F"/>
    <w:rsid w:val="00C001B3"/>
    <w:rsid w:val="00C26F2E"/>
    <w:rsid w:val="00C302E3"/>
    <w:rsid w:val="00C41012"/>
    <w:rsid w:val="00C41B89"/>
    <w:rsid w:val="00C423F5"/>
    <w:rsid w:val="00C45376"/>
    <w:rsid w:val="00C468C7"/>
    <w:rsid w:val="00C619A1"/>
    <w:rsid w:val="00C660FC"/>
    <w:rsid w:val="00C9028F"/>
    <w:rsid w:val="00C9771E"/>
    <w:rsid w:val="00CA0416"/>
    <w:rsid w:val="00CA1114"/>
    <w:rsid w:val="00CB0D3E"/>
    <w:rsid w:val="00CB1125"/>
    <w:rsid w:val="00CB4E80"/>
    <w:rsid w:val="00CB4F38"/>
    <w:rsid w:val="00CB6D1F"/>
    <w:rsid w:val="00CC646C"/>
    <w:rsid w:val="00CD042E"/>
    <w:rsid w:val="00CD0E1F"/>
    <w:rsid w:val="00CD258F"/>
    <w:rsid w:val="00CD4265"/>
    <w:rsid w:val="00CF17BF"/>
    <w:rsid w:val="00CF2560"/>
    <w:rsid w:val="00CF5B46"/>
    <w:rsid w:val="00CF7F68"/>
    <w:rsid w:val="00D3084E"/>
    <w:rsid w:val="00D42CB4"/>
    <w:rsid w:val="00D46B68"/>
    <w:rsid w:val="00D542A5"/>
    <w:rsid w:val="00D6348D"/>
    <w:rsid w:val="00D63F08"/>
    <w:rsid w:val="00D90E5A"/>
    <w:rsid w:val="00D9112D"/>
    <w:rsid w:val="00D91B85"/>
    <w:rsid w:val="00DC3D47"/>
    <w:rsid w:val="00DD6643"/>
    <w:rsid w:val="00DD77DA"/>
    <w:rsid w:val="00DF3D81"/>
    <w:rsid w:val="00DF3FB1"/>
    <w:rsid w:val="00DF446A"/>
    <w:rsid w:val="00E0366B"/>
    <w:rsid w:val="00E06C61"/>
    <w:rsid w:val="00E10740"/>
    <w:rsid w:val="00E13DB3"/>
    <w:rsid w:val="00E2408B"/>
    <w:rsid w:val="00E54F83"/>
    <w:rsid w:val="00E62CEA"/>
    <w:rsid w:val="00E72AE1"/>
    <w:rsid w:val="00E776DD"/>
    <w:rsid w:val="00E90EF0"/>
    <w:rsid w:val="00EB0653"/>
    <w:rsid w:val="00EC3395"/>
    <w:rsid w:val="00EC623A"/>
    <w:rsid w:val="00ED2675"/>
    <w:rsid w:val="00ED6A7A"/>
    <w:rsid w:val="00EE4C36"/>
    <w:rsid w:val="00EF6A23"/>
    <w:rsid w:val="00F0607D"/>
    <w:rsid w:val="00F14A34"/>
    <w:rsid w:val="00F269B9"/>
    <w:rsid w:val="00F346CE"/>
    <w:rsid w:val="00F34F98"/>
    <w:rsid w:val="00F370B8"/>
    <w:rsid w:val="00F40540"/>
    <w:rsid w:val="00F5782E"/>
    <w:rsid w:val="00F57F5E"/>
    <w:rsid w:val="00F57FFD"/>
    <w:rsid w:val="00F628AE"/>
    <w:rsid w:val="00F67402"/>
    <w:rsid w:val="00F766A2"/>
    <w:rsid w:val="00F77C75"/>
    <w:rsid w:val="00F80405"/>
    <w:rsid w:val="00F8519E"/>
    <w:rsid w:val="00F85B2D"/>
    <w:rsid w:val="00F9451D"/>
    <w:rsid w:val="00F95535"/>
    <w:rsid w:val="00F96245"/>
    <w:rsid w:val="00FE570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link w:val="TabletextChar"/>
    <w:qFormat/>
    <w:rsid w:val="000A217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character" w:customStyle="1" w:styleId="TabletextChar">
    <w:name w:val="Table_text Char"/>
    <w:link w:val="Tabletext0"/>
    <w:qFormat/>
    <w:locked/>
    <w:rsid w:val="000A217E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01286"/>
    <w:pPr>
      <w:ind w:left="720"/>
      <w:contextualSpacing/>
    </w:pPr>
  </w:style>
  <w:style w:type="paragraph" w:customStyle="1" w:styleId="Annextitle0">
    <w:name w:val="Annex_title"/>
    <w:basedOn w:val="Normal"/>
    <w:next w:val="Normal"/>
    <w:rsid w:val="0056634C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CommentReference">
    <w:name w:val="annotation reference"/>
    <w:basedOn w:val="DefaultParagraphFont"/>
    <w:semiHidden/>
    <w:unhideWhenUsed/>
    <w:rsid w:val="006842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423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423A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423A"/>
    <w:rPr>
      <w:rFonts w:asciiTheme="minorHAnsi" w:hAnsiTheme="minorHAns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68423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423A"/>
    <w:rPr>
      <w:rFonts w:ascii="Segoe UI" w:hAnsi="Segoe UI" w:cs="Segoe UI"/>
      <w:sz w:val="18"/>
      <w:szCs w:val="18"/>
      <w:lang w:val="fr-FR" w:eastAsia="en-US"/>
    </w:rPr>
  </w:style>
  <w:style w:type="paragraph" w:styleId="Revision">
    <w:name w:val="Revision"/>
    <w:hidden/>
    <w:uiPriority w:val="99"/>
    <w:semiHidden/>
    <w:rsid w:val="00F77C75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BE3A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02-R-0022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R-002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SG02-COL-000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BFC2-8980-4B88-ABCC-6CB582C8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49</TotalTime>
  <Pages>3</Pages>
  <Words>979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6946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2024-07-12T12:54:00Z</cp:lastPrinted>
  <dcterms:created xsi:type="dcterms:W3CDTF">2024-07-09T06:13:00Z</dcterms:created>
  <dcterms:modified xsi:type="dcterms:W3CDTF">2024-07-12T12:55:00Z</dcterms:modified>
</cp:coreProperties>
</file>