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Ind w:w="8" w:type="dxa"/>
        <w:tblLayout w:type="fixed"/>
        <w:tblLook w:val="0000" w:firstRow="0" w:lastRow="0" w:firstColumn="0" w:lastColumn="0" w:noHBand="0" w:noVBand="0"/>
      </w:tblPr>
      <w:tblGrid>
        <w:gridCol w:w="1409"/>
        <w:gridCol w:w="3470"/>
        <w:gridCol w:w="5327"/>
      </w:tblGrid>
      <w:tr w:rsidR="007B6316" w14:paraId="57C19FE3" w14:textId="77777777" w:rsidTr="000324A7">
        <w:trPr>
          <w:cantSplit/>
          <w:trHeight w:val="340"/>
        </w:trPr>
        <w:tc>
          <w:tcPr>
            <w:tcW w:w="1409" w:type="dxa"/>
          </w:tcPr>
          <w:p w14:paraId="4073FDEF"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7AF7EF1A" wp14:editId="149CAE9C">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7" w:type="dxa"/>
            <w:gridSpan w:val="2"/>
            <w:vAlign w:val="center"/>
          </w:tcPr>
          <w:p w14:paraId="3CE1A100"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36EA5B69"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913865" w14:paraId="29942F58" w14:textId="77777777" w:rsidTr="000324A7">
        <w:trPr>
          <w:cantSplit/>
          <w:trHeight w:val="340"/>
        </w:trPr>
        <w:tc>
          <w:tcPr>
            <w:tcW w:w="1409" w:type="dxa"/>
          </w:tcPr>
          <w:p w14:paraId="3A1FB203" w14:textId="77777777" w:rsidR="007B6316" w:rsidRPr="00913865" w:rsidRDefault="007B6316" w:rsidP="00101541">
            <w:pPr>
              <w:spacing w:after="120"/>
              <w:rPr>
                <w:sz w:val="22"/>
                <w:szCs w:val="22"/>
              </w:rPr>
            </w:pPr>
          </w:p>
        </w:tc>
        <w:tc>
          <w:tcPr>
            <w:tcW w:w="3470" w:type="dxa"/>
          </w:tcPr>
          <w:p w14:paraId="6CFD022A" w14:textId="77777777" w:rsidR="007B6316" w:rsidRPr="00913865" w:rsidRDefault="007B6316" w:rsidP="00101541">
            <w:pPr>
              <w:rPr>
                <w:sz w:val="22"/>
                <w:szCs w:val="22"/>
              </w:rPr>
            </w:pPr>
          </w:p>
        </w:tc>
        <w:tc>
          <w:tcPr>
            <w:tcW w:w="5327" w:type="dxa"/>
          </w:tcPr>
          <w:p w14:paraId="414906BC" w14:textId="1CC85646" w:rsidR="007B6316" w:rsidRPr="00913865" w:rsidRDefault="000324A7" w:rsidP="00101541">
            <w:pPr>
              <w:rPr>
                <w:sz w:val="22"/>
                <w:szCs w:val="22"/>
              </w:rPr>
            </w:pPr>
            <w:r w:rsidRPr="00913865">
              <w:rPr>
                <w:sz w:val="22"/>
                <w:szCs w:val="22"/>
              </w:rPr>
              <w:t>Ginebra, 19 de julio de 2024</w:t>
            </w:r>
          </w:p>
        </w:tc>
      </w:tr>
      <w:tr w:rsidR="001350B9" w:rsidRPr="00913865" w14:paraId="2099D7D1" w14:textId="77777777" w:rsidTr="000324A7">
        <w:trPr>
          <w:cantSplit/>
          <w:trHeight w:val="340"/>
        </w:trPr>
        <w:tc>
          <w:tcPr>
            <w:tcW w:w="1409" w:type="dxa"/>
          </w:tcPr>
          <w:p w14:paraId="6931DA5A" w14:textId="1C97CDAF" w:rsidR="001350B9" w:rsidRPr="00913865" w:rsidRDefault="001350B9" w:rsidP="00EA2B05">
            <w:pPr>
              <w:spacing w:before="40" w:after="40"/>
              <w:ind w:left="-120"/>
              <w:rPr>
                <w:sz w:val="22"/>
                <w:szCs w:val="22"/>
              </w:rPr>
            </w:pPr>
            <w:r w:rsidRPr="00913865">
              <w:rPr>
                <w:sz w:val="22"/>
                <w:szCs w:val="22"/>
              </w:rPr>
              <w:t>Ref.:</w:t>
            </w:r>
          </w:p>
        </w:tc>
        <w:tc>
          <w:tcPr>
            <w:tcW w:w="3470" w:type="dxa"/>
          </w:tcPr>
          <w:p w14:paraId="6B133364" w14:textId="6652058A" w:rsidR="001350B9" w:rsidRPr="00913865" w:rsidRDefault="001350B9" w:rsidP="000324A7">
            <w:pPr>
              <w:spacing w:before="40"/>
              <w:rPr>
                <w:b/>
                <w:bCs/>
                <w:sz w:val="22"/>
                <w:szCs w:val="22"/>
              </w:rPr>
            </w:pPr>
            <w:r w:rsidRPr="00913865">
              <w:rPr>
                <w:b/>
                <w:bCs/>
                <w:sz w:val="22"/>
                <w:szCs w:val="22"/>
              </w:rPr>
              <w:t xml:space="preserve">Circular TSB </w:t>
            </w:r>
            <w:r w:rsidR="000324A7" w:rsidRPr="00913865">
              <w:rPr>
                <w:b/>
                <w:bCs/>
                <w:sz w:val="22"/>
                <w:szCs w:val="22"/>
              </w:rPr>
              <w:t>217</w:t>
            </w:r>
          </w:p>
        </w:tc>
        <w:tc>
          <w:tcPr>
            <w:tcW w:w="5327" w:type="dxa"/>
            <w:vMerge w:val="restart"/>
          </w:tcPr>
          <w:p w14:paraId="43F6A64B" w14:textId="77777777" w:rsidR="00101541" w:rsidRPr="00913865" w:rsidRDefault="00101541" w:rsidP="00101541">
            <w:pPr>
              <w:spacing w:before="40" w:after="40"/>
              <w:rPr>
                <w:b/>
                <w:bCs/>
                <w:sz w:val="22"/>
                <w:szCs w:val="22"/>
              </w:rPr>
            </w:pPr>
            <w:bookmarkStart w:id="0" w:name="Addressee_S"/>
            <w:bookmarkEnd w:id="0"/>
            <w:r w:rsidRPr="00913865">
              <w:rPr>
                <w:b/>
                <w:bCs/>
                <w:sz w:val="22"/>
                <w:szCs w:val="22"/>
              </w:rPr>
              <w:t>A:</w:t>
            </w:r>
          </w:p>
          <w:p w14:paraId="50930E59" w14:textId="0FC78B47" w:rsidR="000324A7" w:rsidRPr="00913865" w:rsidRDefault="000324A7" w:rsidP="000324A7">
            <w:pPr>
              <w:tabs>
                <w:tab w:val="clear" w:pos="794"/>
                <w:tab w:val="left" w:pos="390"/>
              </w:tabs>
              <w:spacing w:before="40" w:after="40"/>
              <w:ind w:left="390" w:hanging="390"/>
              <w:rPr>
                <w:sz w:val="22"/>
                <w:szCs w:val="22"/>
                <w:lang w:val="es-ES"/>
              </w:rPr>
            </w:pPr>
            <w:r w:rsidRPr="00913865">
              <w:rPr>
                <w:sz w:val="22"/>
                <w:szCs w:val="22"/>
                <w:lang w:val="es-ES"/>
              </w:rPr>
              <w:t>–</w:t>
            </w:r>
            <w:r w:rsidRPr="00913865">
              <w:rPr>
                <w:sz w:val="22"/>
                <w:szCs w:val="22"/>
                <w:lang w:val="es-ES"/>
              </w:rPr>
              <w:tab/>
              <w:t>las Administraciones de los Estados Miembros de la Unión</w:t>
            </w:r>
            <w:r w:rsidR="00E50D39" w:rsidRPr="00913865">
              <w:rPr>
                <w:sz w:val="22"/>
                <w:szCs w:val="22"/>
                <w:lang w:val="es-ES"/>
              </w:rPr>
              <w:t>;</w:t>
            </w:r>
          </w:p>
          <w:p w14:paraId="349A431A" w14:textId="6CB8F48A" w:rsidR="000324A7" w:rsidRPr="00913865" w:rsidRDefault="000324A7" w:rsidP="000324A7">
            <w:pPr>
              <w:tabs>
                <w:tab w:val="clear" w:pos="794"/>
                <w:tab w:val="left" w:pos="390"/>
              </w:tabs>
              <w:spacing w:before="40" w:after="40"/>
              <w:ind w:left="390" w:hanging="390"/>
              <w:rPr>
                <w:sz w:val="22"/>
                <w:szCs w:val="22"/>
                <w:lang w:val="es-ES"/>
              </w:rPr>
            </w:pPr>
            <w:r w:rsidRPr="00913865">
              <w:rPr>
                <w:sz w:val="22"/>
                <w:szCs w:val="22"/>
                <w:lang w:val="es-ES"/>
              </w:rPr>
              <w:t>–</w:t>
            </w:r>
            <w:r w:rsidRPr="00913865">
              <w:rPr>
                <w:sz w:val="22"/>
                <w:szCs w:val="22"/>
                <w:lang w:val="es-ES"/>
              </w:rPr>
              <w:tab/>
              <w:t>los Miembros de Sector del UIT</w:t>
            </w:r>
            <w:r w:rsidRPr="00913865">
              <w:rPr>
                <w:sz w:val="22"/>
                <w:szCs w:val="22"/>
                <w:lang w:val="es-ES"/>
              </w:rPr>
              <w:noBreakHyphen/>
              <w:t>T</w:t>
            </w:r>
            <w:r w:rsidR="00E50D39" w:rsidRPr="00913865">
              <w:rPr>
                <w:sz w:val="22"/>
                <w:szCs w:val="22"/>
                <w:lang w:val="es-ES"/>
              </w:rPr>
              <w:t>;</w:t>
            </w:r>
          </w:p>
          <w:p w14:paraId="1D0CFCF6" w14:textId="0E8A38CA" w:rsidR="000324A7" w:rsidRPr="00913865" w:rsidRDefault="000324A7" w:rsidP="000324A7">
            <w:pPr>
              <w:tabs>
                <w:tab w:val="clear" w:pos="794"/>
                <w:tab w:val="left" w:pos="390"/>
              </w:tabs>
              <w:spacing w:before="40" w:after="40"/>
              <w:ind w:left="390" w:hanging="390"/>
              <w:rPr>
                <w:sz w:val="22"/>
                <w:szCs w:val="22"/>
                <w:lang w:val="es-ES"/>
              </w:rPr>
            </w:pPr>
            <w:r w:rsidRPr="00913865">
              <w:rPr>
                <w:sz w:val="22"/>
                <w:szCs w:val="22"/>
                <w:lang w:val="es-ES"/>
              </w:rPr>
              <w:t>–</w:t>
            </w:r>
            <w:r w:rsidRPr="00913865">
              <w:rPr>
                <w:sz w:val="22"/>
                <w:szCs w:val="22"/>
                <w:lang w:val="es-ES"/>
              </w:rPr>
              <w:tab/>
              <w:t>los Asociados del UIT</w:t>
            </w:r>
            <w:r w:rsidRPr="00913865">
              <w:rPr>
                <w:sz w:val="22"/>
                <w:szCs w:val="22"/>
                <w:lang w:val="es-ES"/>
              </w:rPr>
              <w:noBreakHyphen/>
              <w:t>T</w:t>
            </w:r>
            <w:r w:rsidR="00E50D39" w:rsidRPr="00913865">
              <w:rPr>
                <w:sz w:val="22"/>
                <w:szCs w:val="22"/>
                <w:lang w:val="es-ES"/>
              </w:rPr>
              <w:t>;</w:t>
            </w:r>
          </w:p>
          <w:p w14:paraId="5DACB977" w14:textId="77777777" w:rsidR="001350B9" w:rsidRPr="00913865" w:rsidRDefault="000324A7" w:rsidP="000324A7">
            <w:pPr>
              <w:tabs>
                <w:tab w:val="clear" w:pos="794"/>
                <w:tab w:val="left" w:pos="390"/>
              </w:tabs>
              <w:spacing w:before="40" w:after="40"/>
              <w:ind w:left="390" w:hanging="390"/>
              <w:rPr>
                <w:sz w:val="22"/>
                <w:szCs w:val="22"/>
                <w:lang w:val="es-ES"/>
              </w:rPr>
            </w:pPr>
            <w:r w:rsidRPr="00913865">
              <w:rPr>
                <w:sz w:val="22"/>
                <w:szCs w:val="22"/>
                <w:lang w:val="es-ES"/>
              </w:rPr>
              <w:t>–</w:t>
            </w:r>
            <w:r w:rsidRPr="00913865">
              <w:rPr>
                <w:sz w:val="22"/>
                <w:szCs w:val="22"/>
                <w:lang w:val="es-ES"/>
              </w:rPr>
              <w:tab/>
              <w:t>las Instituciones Académicas de la UIT</w:t>
            </w:r>
          </w:p>
          <w:p w14:paraId="40353E31" w14:textId="77777777" w:rsidR="000324A7" w:rsidRPr="00913865" w:rsidRDefault="000324A7" w:rsidP="000324A7">
            <w:pPr>
              <w:tabs>
                <w:tab w:val="clear" w:pos="794"/>
                <w:tab w:val="left" w:pos="390"/>
              </w:tabs>
              <w:spacing w:before="40" w:after="40"/>
              <w:ind w:left="390" w:hanging="390"/>
              <w:rPr>
                <w:b/>
                <w:bCs/>
                <w:sz w:val="22"/>
                <w:szCs w:val="22"/>
              </w:rPr>
            </w:pPr>
            <w:r w:rsidRPr="00913865">
              <w:rPr>
                <w:b/>
                <w:bCs/>
                <w:sz w:val="22"/>
                <w:szCs w:val="22"/>
              </w:rPr>
              <w:t>Copia a:</w:t>
            </w:r>
          </w:p>
          <w:p w14:paraId="31C568B1" w14:textId="3D538453" w:rsidR="000324A7" w:rsidRPr="00913865" w:rsidRDefault="000324A7" w:rsidP="000324A7">
            <w:pPr>
              <w:tabs>
                <w:tab w:val="clear" w:pos="794"/>
                <w:tab w:val="left" w:pos="390"/>
              </w:tabs>
              <w:spacing w:before="40" w:after="40"/>
              <w:ind w:left="390" w:hanging="390"/>
              <w:rPr>
                <w:sz w:val="22"/>
                <w:szCs w:val="22"/>
                <w:lang w:val="es-ES"/>
              </w:rPr>
            </w:pPr>
            <w:r w:rsidRPr="00913865">
              <w:rPr>
                <w:sz w:val="22"/>
                <w:szCs w:val="22"/>
                <w:lang w:val="es-ES"/>
              </w:rPr>
              <w:t>–</w:t>
            </w:r>
            <w:r w:rsidRPr="00913865">
              <w:rPr>
                <w:sz w:val="22"/>
                <w:szCs w:val="22"/>
                <w:lang w:val="es-ES"/>
              </w:rPr>
              <w:tab/>
              <w:t xml:space="preserve">los </w:t>
            </w:r>
            <w:proofErr w:type="gramStart"/>
            <w:r w:rsidRPr="00913865">
              <w:rPr>
                <w:sz w:val="22"/>
                <w:szCs w:val="22"/>
                <w:lang w:val="es-ES"/>
              </w:rPr>
              <w:t>Presidentes</w:t>
            </w:r>
            <w:proofErr w:type="gramEnd"/>
            <w:r w:rsidRPr="00913865">
              <w:rPr>
                <w:sz w:val="22"/>
                <w:szCs w:val="22"/>
                <w:lang w:val="es-ES"/>
              </w:rPr>
              <w:t xml:space="preserve"> y Vicepresidentes de las Comisiones de Estudio</w:t>
            </w:r>
            <w:r w:rsidR="00E50D39" w:rsidRPr="00913865">
              <w:rPr>
                <w:sz w:val="22"/>
                <w:szCs w:val="22"/>
                <w:lang w:val="es-ES"/>
              </w:rPr>
              <w:t>;</w:t>
            </w:r>
          </w:p>
          <w:p w14:paraId="7D4E24D7" w14:textId="4D855CED" w:rsidR="000324A7" w:rsidRPr="00913865" w:rsidRDefault="000324A7" w:rsidP="000324A7">
            <w:pPr>
              <w:tabs>
                <w:tab w:val="clear" w:pos="794"/>
                <w:tab w:val="left" w:pos="390"/>
              </w:tabs>
              <w:spacing w:before="40" w:after="40"/>
              <w:ind w:left="390" w:hanging="390"/>
              <w:rPr>
                <w:sz w:val="22"/>
                <w:szCs w:val="22"/>
                <w:lang w:val="es-ES"/>
              </w:rPr>
            </w:pPr>
            <w:r w:rsidRPr="00913865">
              <w:rPr>
                <w:sz w:val="22"/>
                <w:szCs w:val="22"/>
                <w:lang w:val="es-ES"/>
              </w:rPr>
              <w:t>–</w:t>
            </w:r>
            <w:r w:rsidRPr="00913865">
              <w:rPr>
                <w:sz w:val="22"/>
                <w:szCs w:val="22"/>
                <w:lang w:val="es-ES"/>
              </w:rPr>
              <w:tab/>
              <w:t xml:space="preserve">el </w:t>
            </w:r>
            <w:proofErr w:type="gramStart"/>
            <w:r w:rsidRPr="00913865">
              <w:rPr>
                <w:sz w:val="22"/>
                <w:szCs w:val="22"/>
                <w:lang w:val="es-ES"/>
              </w:rPr>
              <w:t>Director</w:t>
            </w:r>
            <w:proofErr w:type="gramEnd"/>
            <w:r w:rsidRPr="00913865">
              <w:rPr>
                <w:sz w:val="22"/>
                <w:szCs w:val="22"/>
                <w:lang w:val="es-ES"/>
              </w:rPr>
              <w:t xml:space="preserve"> de la Oficina de Desarrollo de las Telecomunicaciones</w:t>
            </w:r>
            <w:r w:rsidR="00E50D39" w:rsidRPr="00913865">
              <w:rPr>
                <w:sz w:val="22"/>
                <w:szCs w:val="22"/>
                <w:lang w:val="es-ES"/>
              </w:rPr>
              <w:t>;</w:t>
            </w:r>
          </w:p>
          <w:p w14:paraId="4E2FF369" w14:textId="39E84471" w:rsidR="000324A7" w:rsidRPr="00913865" w:rsidRDefault="000324A7" w:rsidP="000324A7">
            <w:pPr>
              <w:tabs>
                <w:tab w:val="clear" w:pos="794"/>
                <w:tab w:val="left" w:pos="390"/>
              </w:tabs>
              <w:spacing w:before="40" w:after="40"/>
              <w:ind w:left="390" w:hanging="390"/>
              <w:rPr>
                <w:sz w:val="22"/>
                <w:szCs w:val="22"/>
              </w:rPr>
            </w:pPr>
            <w:r w:rsidRPr="00913865">
              <w:rPr>
                <w:sz w:val="22"/>
                <w:szCs w:val="22"/>
                <w:lang w:val="es-ES"/>
              </w:rPr>
              <w:t>–</w:t>
            </w:r>
            <w:r w:rsidRPr="00913865">
              <w:rPr>
                <w:sz w:val="22"/>
                <w:szCs w:val="22"/>
                <w:lang w:val="es-ES"/>
              </w:rPr>
              <w:tab/>
              <w:t xml:space="preserve">el </w:t>
            </w:r>
            <w:proofErr w:type="gramStart"/>
            <w:r w:rsidRPr="00913865">
              <w:rPr>
                <w:sz w:val="22"/>
                <w:szCs w:val="22"/>
                <w:lang w:val="es-ES"/>
              </w:rPr>
              <w:t>Director</w:t>
            </w:r>
            <w:proofErr w:type="gramEnd"/>
            <w:r w:rsidRPr="00913865">
              <w:rPr>
                <w:sz w:val="22"/>
                <w:szCs w:val="22"/>
                <w:lang w:val="es-ES"/>
              </w:rPr>
              <w:t xml:space="preserve"> de la Oficina de Radiocomunicaciones</w:t>
            </w:r>
          </w:p>
        </w:tc>
      </w:tr>
      <w:tr w:rsidR="000324A7" w:rsidRPr="00913865" w14:paraId="757A923D" w14:textId="77777777" w:rsidTr="000324A7">
        <w:trPr>
          <w:cantSplit/>
        </w:trPr>
        <w:tc>
          <w:tcPr>
            <w:tcW w:w="1409" w:type="dxa"/>
          </w:tcPr>
          <w:p w14:paraId="7DA75C7D" w14:textId="2884C3A1" w:rsidR="000324A7" w:rsidRPr="00913865" w:rsidRDefault="000324A7" w:rsidP="00EA2B05">
            <w:pPr>
              <w:spacing w:before="40" w:after="40"/>
              <w:ind w:left="-120"/>
              <w:rPr>
                <w:sz w:val="22"/>
                <w:szCs w:val="22"/>
              </w:rPr>
            </w:pPr>
            <w:r w:rsidRPr="00913865">
              <w:rPr>
                <w:sz w:val="22"/>
                <w:szCs w:val="22"/>
              </w:rPr>
              <w:t>Contacto:</w:t>
            </w:r>
          </w:p>
        </w:tc>
        <w:tc>
          <w:tcPr>
            <w:tcW w:w="3470" w:type="dxa"/>
          </w:tcPr>
          <w:p w14:paraId="18941F26" w14:textId="3CF44290" w:rsidR="000324A7" w:rsidRPr="00913865" w:rsidRDefault="000324A7" w:rsidP="00101541">
            <w:pPr>
              <w:spacing w:before="40" w:after="40"/>
              <w:rPr>
                <w:sz w:val="22"/>
                <w:szCs w:val="22"/>
              </w:rPr>
            </w:pPr>
            <w:r w:rsidRPr="00913865">
              <w:rPr>
                <w:sz w:val="22"/>
                <w:szCs w:val="22"/>
              </w:rPr>
              <w:t xml:space="preserve">Reyna </w:t>
            </w:r>
            <w:r w:rsidR="000943DD" w:rsidRPr="00913865">
              <w:rPr>
                <w:sz w:val="22"/>
                <w:szCs w:val="22"/>
              </w:rPr>
              <w:t>Ú</w:t>
            </w:r>
            <w:r w:rsidRPr="00913865">
              <w:rPr>
                <w:sz w:val="22"/>
                <w:szCs w:val="22"/>
              </w:rPr>
              <w:t>beda</w:t>
            </w:r>
          </w:p>
        </w:tc>
        <w:tc>
          <w:tcPr>
            <w:tcW w:w="5327" w:type="dxa"/>
            <w:vMerge/>
          </w:tcPr>
          <w:p w14:paraId="057BB279" w14:textId="77777777" w:rsidR="000324A7" w:rsidRPr="00913865" w:rsidRDefault="000324A7" w:rsidP="00303D62">
            <w:pPr>
              <w:tabs>
                <w:tab w:val="left" w:pos="226"/>
                <w:tab w:val="left" w:pos="510"/>
              </w:tabs>
              <w:spacing w:before="0"/>
              <w:ind w:left="226" w:hanging="169"/>
              <w:rPr>
                <w:b/>
                <w:sz w:val="22"/>
                <w:szCs w:val="22"/>
              </w:rPr>
            </w:pPr>
          </w:p>
        </w:tc>
      </w:tr>
      <w:tr w:rsidR="001350B9" w:rsidRPr="00913865" w14:paraId="1A010FF9" w14:textId="77777777" w:rsidTr="000324A7">
        <w:trPr>
          <w:cantSplit/>
        </w:trPr>
        <w:tc>
          <w:tcPr>
            <w:tcW w:w="1409" w:type="dxa"/>
          </w:tcPr>
          <w:p w14:paraId="48F92A24" w14:textId="77777777" w:rsidR="001350B9" w:rsidRPr="00913865" w:rsidRDefault="001350B9" w:rsidP="00EA2B05">
            <w:pPr>
              <w:spacing w:before="40" w:after="40"/>
              <w:ind w:left="-120"/>
              <w:rPr>
                <w:sz w:val="22"/>
                <w:szCs w:val="22"/>
              </w:rPr>
            </w:pPr>
            <w:r w:rsidRPr="00913865">
              <w:rPr>
                <w:sz w:val="22"/>
                <w:szCs w:val="22"/>
              </w:rPr>
              <w:t>Tel.:</w:t>
            </w:r>
          </w:p>
        </w:tc>
        <w:tc>
          <w:tcPr>
            <w:tcW w:w="3470" w:type="dxa"/>
          </w:tcPr>
          <w:p w14:paraId="19D29048" w14:textId="0D2FE909" w:rsidR="001350B9" w:rsidRPr="00913865" w:rsidRDefault="000324A7" w:rsidP="00101541">
            <w:pPr>
              <w:spacing w:before="40" w:after="40"/>
              <w:rPr>
                <w:sz w:val="22"/>
                <w:szCs w:val="22"/>
              </w:rPr>
            </w:pPr>
            <w:r w:rsidRPr="00913865">
              <w:rPr>
                <w:sz w:val="22"/>
                <w:szCs w:val="22"/>
              </w:rPr>
              <w:t>+41 22 730 5697</w:t>
            </w:r>
          </w:p>
        </w:tc>
        <w:tc>
          <w:tcPr>
            <w:tcW w:w="5327" w:type="dxa"/>
            <w:vMerge/>
          </w:tcPr>
          <w:p w14:paraId="3DF5CE88" w14:textId="77777777" w:rsidR="001350B9" w:rsidRPr="00913865" w:rsidRDefault="001350B9" w:rsidP="00303D62">
            <w:pPr>
              <w:tabs>
                <w:tab w:val="left" w:pos="226"/>
                <w:tab w:val="left" w:pos="510"/>
              </w:tabs>
              <w:spacing w:before="0"/>
              <w:ind w:left="226" w:hanging="169"/>
              <w:rPr>
                <w:b/>
                <w:sz w:val="22"/>
                <w:szCs w:val="22"/>
              </w:rPr>
            </w:pPr>
          </w:p>
        </w:tc>
      </w:tr>
      <w:tr w:rsidR="001350B9" w:rsidRPr="00913865" w14:paraId="07D56EDD" w14:textId="77777777" w:rsidTr="000324A7">
        <w:trPr>
          <w:cantSplit/>
        </w:trPr>
        <w:tc>
          <w:tcPr>
            <w:tcW w:w="1409" w:type="dxa"/>
          </w:tcPr>
          <w:p w14:paraId="35CE91C2" w14:textId="77777777" w:rsidR="001350B9" w:rsidRPr="00913865" w:rsidRDefault="001350B9" w:rsidP="00EA2B05">
            <w:pPr>
              <w:spacing w:before="40" w:after="40"/>
              <w:ind w:left="-120"/>
              <w:rPr>
                <w:sz w:val="22"/>
                <w:szCs w:val="22"/>
              </w:rPr>
            </w:pPr>
            <w:r w:rsidRPr="00913865">
              <w:rPr>
                <w:sz w:val="22"/>
                <w:szCs w:val="22"/>
              </w:rPr>
              <w:t>Fax:</w:t>
            </w:r>
          </w:p>
        </w:tc>
        <w:tc>
          <w:tcPr>
            <w:tcW w:w="3470" w:type="dxa"/>
          </w:tcPr>
          <w:p w14:paraId="50BA9232" w14:textId="6CEDCA3F" w:rsidR="001350B9" w:rsidRPr="00913865" w:rsidRDefault="000324A7" w:rsidP="00101541">
            <w:pPr>
              <w:spacing w:before="40" w:after="40"/>
              <w:rPr>
                <w:sz w:val="22"/>
                <w:szCs w:val="22"/>
              </w:rPr>
            </w:pPr>
            <w:r w:rsidRPr="00913865">
              <w:rPr>
                <w:sz w:val="22"/>
                <w:szCs w:val="22"/>
              </w:rPr>
              <w:t>+41 22 730 5853</w:t>
            </w:r>
          </w:p>
        </w:tc>
        <w:tc>
          <w:tcPr>
            <w:tcW w:w="5327" w:type="dxa"/>
            <w:vMerge/>
          </w:tcPr>
          <w:p w14:paraId="20877663" w14:textId="77777777" w:rsidR="001350B9" w:rsidRPr="00913865" w:rsidRDefault="001350B9" w:rsidP="00303D62">
            <w:pPr>
              <w:tabs>
                <w:tab w:val="left" w:pos="226"/>
                <w:tab w:val="left" w:pos="510"/>
              </w:tabs>
              <w:spacing w:before="0"/>
              <w:ind w:left="226" w:hanging="169"/>
              <w:rPr>
                <w:b/>
                <w:sz w:val="22"/>
                <w:szCs w:val="22"/>
              </w:rPr>
            </w:pPr>
          </w:p>
        </w:tc>
      </w:tr>
      <w:tr w:rsidR="001350B9" w:rsidRPr="00913865" w14:paraId="30FF827C" w14:textId="77777777" w:rsidTr="000324A7">
        <w:trPr>
          <w:cantSplit/>
        </w:trPr>
        <w:tc>
          <w:tcPr>
            <w:tcW w:w="1409" w:type="dxa"/>
          </w:tcPr>
          <w:p w14:paraId="220ABEEC" w14:textId="77777777" w:rsidR="001350B9" w:rsidRPr="00913865" w:rsidRDefault="001350B9" w:rsidP="00EA2B05">
            <w:pPr>
              <w:spacing w:before="40" w:after="40"/>
              <w:ind w:left="-120"/>
              <w:rPr>
                <w:sz w:val="22"/>
                <w:szCs w:val="22"/>
              </w:rPr>
            </w:pPr>
            <w:r w:rsidRPr="00913865">
              <w:rPr>
                <w:sz w:val="22"/>
                <w:szCs w:val="22"/>
              </w:rPr>
              <w:t>Correo-e:</w:t>
            </w:r>
          </w:p>
        </w:tc>
        <w:tc>
          <w:tcPr>
            <w:tcW w:w="3470" w:type="dxa"/>
          </w:tcPr>
          <w:p w14:paraId="114B24C6" w14:textId="17A2AFDF" w:rsidR="001350B9" w:rsidRPr="00913865" w:rsidRDefault="00220B4B" w:rsidP="000324A7">
            <w:pPr>
              <w:spacing w:before="40" w:after="40"/>
              <w:rPr>
                <w:sz w:val="22"/>
                <w:szCs w:val="22"/>
              </w:rPr>
            </w:pPr>
            <w:hyperlink r:id="rId9" w:history="1">
              <w:r w:rsidR="000324A7" w:rsidRPr="00913865">
                <w:rPr>
                  <w:rStyle w:val="Hyperlink"/>
                  <w:sz w:val="22"/>
                  <w:szCs w:val="22"/>
                </w:rPr>
                <w:t>tsbevents@itu.int</w:t>
              </w:r>
            </w:hyperlink>
          </w:p>
        </w:tc>
        <w:tc>
          <w:tcPr>
            <w:tcW w:w="5327" w:type="dxa"/>
            <w:vMerge/>
          </w:tcPr>
          <w:p w14:paraId="0ACE8CE2" w14:textId="77777777" w:rsidR="001350B9" w:rsidRPr="00913865" w:rsidRDefault="001350B9" w:rsidP="00303D62">
            <w:pPr>
              <w:tabs>
                <w:tab w:val="clear" w:pos="794"/>
                <w:tab w:val="clear" w:pos="1191"/>
                <w:tab w:val="clear" w:pos="1588"/>
                <w:tab w:val="clear" w:pos="1985"/>
                <w:tab w:val="left" w:pos="226"/>
                <w:tab w:val="left" w:pos="510"/>
              </w:tabs>
              <w:spacing w:before="0"/>
              <w:ind w:left="226" w:hanging="169"/>
              <w:rPr>
                <w:sz w:val="22"/>
                <w:szCs w:val="22"/>
              </w:rPr>
            </w:pPr>
          </w:p>
        </w:tc>
      </w:tr>
      <w:tr w:rsidR="007B6316" w:rsidRPr="00913865" w14:paraId="7F4E66DD" w14:textId="77777777" w:rsidTr="000324A7">
        <w:trPr>
          <w:cantSplit/>
        </w:trPr>
        <w:tc>
          <w:tcPr>
            <w:tcW w:w="1409" w:type="dxa"/>
          </w:tcPr>
          <w:p w14:paraId="7BBE0879" w14:textId="77777777" w:rsidR="007B6316" w:rsidRPr="00913865" w:rsidRDefault="007B6316" w:rsidP="00EA2B05">
            <w:pPr>
              <w:ind w:left="-120"/>
              <w:rPr>
                <w:sz w:val="22"/>
                <w:szCs w:val="22"/>
              </w:rPr>
            </w:pPr>
            <w:r w:rsidRPr="00EA2B05">
              <w:rPr>
                <w:b/>
                <w:bCs/>
                <w:sz w:val="22"/>
                <w:szCs w:val="22"/>
              </w:rPr>
              <w:t>Asunto</w:t>
            </w:r>
            <w:r w:rsidRPr="00913865">
              <w:rPr>
                <w:sz w:val="22"/>
                <w:szCs w:val="22"/>
              </w:rPr>
              <w:t>:</w:t>
            </w:r>
          </w:p>
        </w:tc>
        <w:tc>
          <w:tcPr>
            <w:tcW w:w="8797" w:type="dxa"/>
            <w:gridSpan w:val="2"/>
          </w:tcPr>
          <w:p w14:paraId="445801EB" w14:textId="1B84228C" w:rsidR="007B6316" w:rsidRPr="00913865" w:rsidRDefault="000324A7" w:rsidP="000324A7">
            <w:pPr>
              <w:rPr>
                <w:sz w:val="22"/>
                <w:szCs w:val="22"/>
              </w:rPr>
            </w:pPr>
            <w:r w:rsidRPr="00913865">
              <w:rPr>
                <w:b/>
                <w:bCs/>
                <w:sz w:val="22"/>
                <w:szCs w:val="22"/>
                <w:lang w:val="es-ES"/>
              </w:rPr>
              <w:t>Simposio UIT-ETSI sobre la sostenibilidad de las TIC: las normas al servicio de la innovación medioambiental</w:t>
            </w:r>
            <w:r w:rsidR="005A73D0" w:rsidRPr="00913865">
              <w:rPr>
                <w:b/>
                <w:bCs/>
                <w:sz w:val="22"/>
                <w:szCs w:val="22"/>
                <w:lang w:val="es-ES"/>
              </w:rPr>
              <w:t xml:space="preserve"> </w:t>
            </w:r>
            <w:r w:rsidRPr="00913865">
              <w:rPr>
                <w:b/>
                <w:bCs/>
                <w:sz w:val="22"/>
                <w:szCs w:val="22"/>
                <w:lang w:val="es-ES"/>
              </w:rPr>
              <w:t>(Ginebra</w:t>
            </w:r>
            <w:r w:rsidR="00913865">
              <w:rPr>
                <w:b/>
                <w:bCs/>
                <w:sz w:val="22"/>
                <w:szCs w:val="22"/>
                <w:lang w:val="es-ES"/>
              </w:rPr>
              <w:t>,</w:t>
            </w:r>
            <w:r w:rsidRPr="00913865">
              <w:rPr>
                <w:b/>
                <w:bCs/>
                <w:sz w:val="22"/>
                <w:szCs w:val="22"/>
                <w:lang w:val="es-ES"/>
              </w:rPr>
              <w:t xml:space="preserve"> Suiza, 11-12 de diciembre de 2024)</w:t>
            </w:r>
          </w:p>
        </w:tc>
      </w:tr>
    </w:tbl>
    <w:p w14:paraId="7DCD2BF6" w14:textId="0D9DEE53" w:rsidR="00C34772" w:rsidRPr="00913865" w:rsidRDefault="00C34772" w:rsidP="00101541">
      <w:pPr>
        <w:pStyle w:val="Normalaftertitle"/>
        <w:rPr>
          <w:sz w:val="22"/>
          <w:szCs w:val="22"/>
        </w:rPr>
      </w:pPr>
      <w:bookmarkStart w:id="1" w:name="StartTyping_S"/>
      <w:bookmarkStart w:id="2" w:name="suitetext"/>
      <w:bookmarkStart w:id="3" w:name="text"/>
      <w:bookmarkEnd w:id="1"/>
      <w:bookmarkEnd w:id="2"/>
      <w:bookmarkEnd w:id="3"/>
      <w:r w:rsidRPr="00913865">
        <w:rPr>
          <w:sz w:val="22"/>
          <w:szCs w:val="22"/>
        </w:rPr>
        <w:t>Muy Señora mía/Muy Señor mío</w:t>
      </w:r>
      <w:r w:rsidR="00EA2B05">
        <w:rPr>
          <w:sz w:val="22"/>
          <w:szCs w:val="22"/>
        </w:rPr>
        <w:t>,</w:t>
      </w:r>
    </w:p>
    <w:p w14:paraId="693107B3" w14:textId="0FA0E1A1" w:rsidR="000324A7" w:rsidRPr="00913865" w:rsidRDefault="000324A7" w:rsidP="000324A7">
      <w:pPr>
        <w:rPr>
          <w:sz w:val="22"/>
          <w:szCs w:val="22"/>
          <w:lang w:val="es-ES"/>
        </w:rPr>
      </w:pPr>
      <w:r w:rsidRPr="00913865">
        <w:rPr>
          <w:sz w:val="22"/>
          <w:szCs w:val="22"/>
          <w:lang w:val="es-ES"/>
        </w:rPr>
        <w:t>1</w:t>
      </w:r>
      <w:r w:rsidRPr="00913865">
        <w:rPr>
          <w:sz w:val="22"/>
          <w:szCs w:val="22"/>
          <w:lang w:val="es-ES"/>
        </w:rPr>
        <w:tab/>
      </w:r>
      <w:proofErr w:type="gramStart"/>
      <w:r w:rsidRPr="00913865">
        <w:rPr>
          <w:sz w:val="22"/>
          <w:szCs w:val="22"/>
          <w:lang w:val="es-ES"/>
        </w:rPr>
        <w:t>Me</w:t>
      </w:r>
      <w:proofErr w:type="gramEnd"/>
      <w:r w:rsidRPr="00913865">
        <w:rPr>
          <w:sz w:val="22"/>
          <w:szCs w:val="22"/>
          <w:lang w:val="es-ES"/>
        </w:rPr>
        <w:t xml:space="preserve"> complace informarle de que la Unión Internacional de Telecomunicaciones (UIT), de consuno con el ETSI y su Comité Técnico sobre Ingeniería Ambiental (ETSI TC EE), están organizando el "</w:t>
      </w:r>
      <w:r w:rsidRPr="00913865">
        <w:rPr>
          <w:b/>
          <w:bCs/>
          <w:sz w:val="22"/>
          <w:szCs w:val="22"/>
          <w:lang w:val="es-ES"/>
        </w:rPr>
        <w:t>Simposio UIT-ETSI sobre sostenibilidad de las TIC: las normas al servicio de la innovación medioambiental</w:t>
      </w:r>
      <w:r w:rsidRPr="00913865">
        <w:rPr>
          <w:sz w:val="22"/>
          <w:szCs w:val="22"/>
          <w:lang w:val="es-ES"/>
        </w:rPr>
        <w:t xml:space="preserve">", que tendrá lugar los días </w:t>
      </w:r>
      <w:r w:rsidRPr="00913865">
        <w:rPr>
          <w:b/>
          <w:bCs/>
          <w:sz w:val="22"/>
          <w:szCs w:val="22"/>
          <w:lang w:val="es-ES"/>
        </w:rPr>
        <w:t>11 y 12 de diciembre de 2024</w:t>
      </w:r>
      <w:r w:rsidRPr="00913865">
        <w:rPr>
          <w:sz w:val="22"/>
          <w:szCs w:val="22"/>
          <w:lang w:val="es-ES"/>
        </w:rPr>
        <w:t xml:space="preserve">, en la </w:t>
      </w:r>
      <w:r w:rsidRPr="00913865">
        <w:rPr>
          <w:b/>
          <w:bCs/>
          <w:sz w:val="22"/>
          <w:szCs w:val="22"/>
          <w:lang w:val="es-ES"/>
        </w:rPr>
        <w:t xml:space="preserve">Sede de la UIT </w:t>
      </w:r>
      <w:r w:rsidRPr="00913865">
        <w:rPr>
          <w:sz w:val="22"/>
          <w:szCs w:val="22"/>
          <w:lang w:val="es-ES"/>
        </w:rPr>
        <w:t>en</w:t>
      </w:r>
      <w:r w:rsidRPr="00913865">
        <w:rPr>
          <w:b/>
          <w:bCs/>
          <w:sz w:val="22"/>
          <w:szCs w:val="22"/>
          <w:lang w:val="es-ES"/>
        </w:rPr>
        <w:t xml:space="preserve"> Ginebra</w:t>
      </w:r>
      <w:r w:rsidR="00E3356E">
        <w:rPr>
          <w:b/>
          <w:bCs/>
          <w:sz w:val="22"/>
          <w:szCs w:val="22"/>
          <w:lang w:val="es-ES"/>
        </w:rPr>
        <w:t xml:space="preserve">, </w:t>
      </w:r>
      <w:r w:rsidRPr="00913865">
        <w:rPr>
          <w:b/>
          <w:bCs/>
          <w:sz w:val="22"/>
          <w:szCs w:val="22"/>
          <w:lang w:val="es-ES"/>
        </w:rPr>
        <w:t>Suiza</w:t>
      </w:r>
      <w:r w:rsidRPr="00913865">
        <w:rPr>
          <w:sz w:val="22"/>
          <w:szCs w:val="22"/>
          <w:lang w:val="es-ES"/>
        </w:rPr>
        <w:t>.</w:t>
      </w:r>
    </w:p>
    <w:p w14:paraId="19014C1A" w14:textId="77777777" w:rsidR="000324A7" w:rsidRPr="00913865" w:rsidRDefault="000324A7" w:rsidP="000324A7">
      <w:pPr>
        <w:rPr>
          <w:sz w:val="22"/>
          <w:szCs w:val="22"/>
          <w:lang w:val="es-ES"/>
        </w:rPr>
      </w:pPr>
      <w:r w:rsidRPr="00913865">
        <w:rPr>
          <w:sz w:val="22"/>
          <w:szCs w:val="22"/>
          <w:lang w:val="es-ES"/>
        </w:rPr>
        <w:t>2</w:t>
      </w:r>
      <w:r w:rsidRPr="00913865">
        <w:rPr>
          <w:sz w:val="22"/>
          <w:szCs w:val="22"/>
          <w:lang w:val="es-ES"/>
        </w:rPr>
        <w:tab/>
      </w:r>
      <w:proofErr w:type="gramStart"/>
      <w:r w:rsidRPr="00913865">
        <w:rPr>
          <w:sz w:val="22"/>
          <w:szCs w:val="22"/>
          <w:lang w:val="es-ES"/>
        </w:rPr>
        <w:t>Este</w:t>
      </w:r>
      <w:proofErr w:type="gramEnd"/>
      <w:r w:rsidRPr="00913865">
        <w:rPr>
          <w:sz w:val="22"/>
          <w:szCs w:val="22"/>
          <w:lang w:val="es-ES"/>
        </w:rPr>
        <w:t xml:space="preserve"> Simposio reunirá a líderes de la industria, responsables políticos, investigadores y partes interesadas para analizar el papel crucial que desempeñan las normas en el fomento de prácticas sostenibles en el ámbito de las TIC. Las normas sirven de orientación para desarrollar tecnologías que reduzcan al mínimo el impacto ambiental y mejoren la eficiencia energética.</w:t>
      </w:r>
    </w:p>
    <w:p w14:paraId="61D12E67" w14:textId="77777777" w:rsidR="000324A7" w:rsidRPr="00913865" w:rsidRDefault="000324A7" w:rsidP="000324A7">
      <w:pPr>
        <w:rPr>
          <w:sz w:val="22"/>
          <w:szCs w:val="22"/>
          <w:lang w:val="es-ES"/>
        </w:rPr>
      </w:pPr>
      <w:r w:rsidRPr="00913865">
        <w:rPr>
          <w:sz w:val="22"/>
          <w:szCs w:val="22"/>
          <w:lang w:val="es-ES"/>
        </w:rPr>
        <w:t>3</w:t>
      </w:r>
      <w:r w:rsidRPr="00913865">
        <w:rPr>
          <w:sz w:val="22"/>
          <w:szCs w:val="22"/>
          <w:lang w:val="es-ES"/>
        </w:rPr>
        <w:tab/>
      </w:r>
      <w:proofErr w:type="gramStart"/>
      <w:r w:rsidRPr="00913865">
        <w:rPr>
          <w:sz w:val="22"/>
          <w:szCs w:val="22"/>
          <w:lang w:val="es-ES"/>
        </w:rPr>
        <w:t>Entre</w:t>
      </w:r>
      <w:proofErr w:type="gramEnd"/>
      <w:r w:rsidRPr="00913865">
        <w:rPr>
          <w:sz w:val="22"/>
          <w:szCs w:val="22"/>
          <w:lang w:val="es-ES"/>
        </w:rPr>
        <w:t xml:space="preserve"> los objetivos de este Simposio cabe citar los siguientes:</w:t>
      </w:r>
    </w:p>
    <w:p w14:paraId="30EDFEA9" w14:textId="12FECBD4" w:rsidR="000324A7" w:rsidRPr="00913865" w:rsidRDefault="000324A7" w:rsidP="00913865">
      <w:pPr>
        <w:pStyle w:val="enumlev1"/>
        <w:tabs>
          <w:tab w:val="clear" w:pos="794"/>
        </w:tabs>
        <w:ind w:left="1134" w:hanging="567"/>
        <w:rPr>
          <w:sz w:val="22"/>
          <w:szCs w:val="22"/>
          <w:lang w:val="es-ES"/>
        </w:rPr>
      </w:pPr>
      <w:r w:rsidRPr="00913865">
        <w:rPr>
          <w:sz w:val="22"/>
          <w:szCs w:val="22"/>
          <w:lang w:val="es-ES"/>
        </w:rPr>
        <w:t>–</w:t>
      </w:r>
      <w:r w:rsidRPr="00913865">
        <w:rPr>
          <w:sz w:val="22"/>
          <w:szCs w:val="22"/>
          <w:lang w:val="es-ES"/>
        </w:rPr>
        <w:tab/>
      </w:r>
      <w:r w:rsidR="0055695E" w:rsidRPr="00913865">
        <w:rPr>
          <w:sz w:val="22"/>
          <w:szCs w:val="22"/>
          <w:lang w:val="es-ES"/>
        </w:rPr>
        <w:t>i</w:t>
      </w:r>
      <w:r w:rsidRPr="00913865">
        <w:rPr>
          <w:sz w:val="22"/>
          <w:szCs w:val="22"/>
          <w:lang w:val="es-ES"/>
        </w:rPr>
        <w:t>nformar a los participantes sobre las actividades de normalización más recientes en pro de las TIC sostenibles</w:t>
      </w:r>
      <w:r w:rsidR="0055695E" w:rsidRPr="00913865">
        <w:rPr>
          <w:sz w:val="22"/>
          <w:szCs w:val="22"/>
          <w:lang w:val="es-ES"/>
        </w:rPr>
        <w:t>;</w:t>
      </w:r>
    </w:p>
    <w:p w14:paraId="354F59AF" w14:textId="45F3D4E4" w:rsidR="000324A7" w:rsidRPr="00913865" w:rsidRDefault="000324A7" w:rsidP="00913865">
      <w:pPr>
        <w:pStyle w:val="enumlev1"/>
        <w:tabs>
          <w:tab w:val="clear" w:pos="794"/>
        </w:tabs>
        <w:ind w:left="1134" w:hanging="567"/>
        <w:rPr>
          <w:sz w:val="22"/>
          <w:szCs w:val="22"/>
          <w:lang w:val="es-ES"/>
        </w:rPr>
      </w:pPr>
      <w:r w:rsidRPr="00913865">
        <w:rPr>
          <w:sz w:val="22"/>
          <w:szCs w:val="22"/>
          <w:lang w:val="es-ES"/>
        </w:rPr>
        <w:t>–</w:t>
      </w:r>
      <w:r w:rsidRPr="00913865">
        <w:rPr>
          <w:sz w:val="22"/>
          <w:szCs w:val="22"/>
          <w:lang w:val="es-ES"/>
        </w:rPr>
        <w:tab/>
      </w:r>
      <w:r w:rsidR="0055695E" w:rsidRPr="00913865">
        <w:rPr>
          <w:sz w:val="22"/>
          <w:szCs w:val="22"/>
          <w:lang w:val="es-ES"/>
        </w:rPr>
        <w:t>e</w:t>
      </w:r>
      <w:r w:rsidRPr="00913865">
        <w:rPr>
          <w:sz w:val="22"/>
          <w:szCs w:val="22"/>
          <w:lang w:val="es-ES"/>
        </w:rPr>
        <w:t>xplicar cómo aprovechar las normas de sostenibilidad medioambiental para reforzar las políticas y reglamentaciones relacionadas con los productos, redes y servicios de las TIC</w:t>
      </w:r>
      <w:r w:rsidR="0055695E" w:rsidRPr="00913865">
        <w:rPr>
          <w:sz w:val="22"/>
          <w:szCs w:val="22"/>
          <w:lang w:val="es-ES"/>
        </w:rPr>
        <w:t>;</w:t>
      </w:r>
    </w:p>
    <w:p w14:paraId="40306292" w14:textId="4FDB0E5C" w:rsidR="000324A7" w:rsidRPr="00913865" w:rsidRDefault="000324A7" w:rsidP="00913865">
      <w:pPr>
        <w:pStyle w:val="enumlev1"/>
        <w:tabs>
          <w:tab w:val="clear" w:pos="794"/>
        </w:tabs>
        <w:ind w:left="1134" w:hanging="567"/>
        <w:rPr>
          <w:sz w:val="22"/>
          <w:szCs w:val="22"/>
          <w:lang w:val="es-ES"/>
        </w:rPr>
      </w:pPr>
      <w:r w:rsidRPr="00913865">
        <w:rPr>
          <w:sz w:val="22"/>
          <w:szCs w:val="22"/>
          <w:lang w:val="es-ES"/>
        </w:rPr>
        <w:t>–</w:t>
      </w:r>
      <w:r w:rsidRPr="00913865">
        <w:rPr>
          <w:sz w:val="22"/>
          <w:szCs w:val="22"/>
          <w:lang w:val="es-ES"/>
        </w:rPr>
        <w:tab/>
      </w:r>
      <w:r w:rsidR="0055695E" w:rsidRPr="00913865">
        <w:rPr>
          <w:sz w:val="22"/>
          <w:szCs w:val="22"/>
          <w:lang w:val="es-ES"/>
        </w:rPr>
        <w:t>p</w:t>
      </w:r>
      <w:r w:rsidRPr="00913865">
        <w:rPr>
          <w:sz w:val="22"/>
          <w:szCs w:val="22"/>
          <w:lang w:val="es-ES"/>
        </w:rPr>
        <w:t>resentar innovaciones punteras, ejemplos de casos y proyectos de investigación de iniciativas TIC orientadas a la sostenibilidad</w:t>
      </w:r>
      <w:r w:rsidR="0055695E" w:rsidRPr="00913865">
        <w:rPr>
          <w:sz w:val="22"/>
          <w:szCs w:val="22"/>
          <w:lang w:val="es-ES"/>
        </w:rPr>
        <w:t>;</w:t>
      </w:r>
    </w:p>
    <w:p w14:paraId="1B424645" w14:textId="113CD4D8" w:rsidR="000324A7" w:rsidRPr="00913865" w:rsidRDefault="000324A7" w:rsidP="00913865">
      <w:pPr>
        <w:pStyle w:val="enumlev1"/>
        <w:tabs>
          <w:tab w:val="clear" w:pos="794"/>
        </w:tabs>
        <w:ind w:left="1134" w:hanging="567"/>
        <w:rPr>
          <w:sz w:val="22"/>
          <w:szCs w:val="22"/>
          <w:lang w:val="es-ES"/>
        </w:rPr>
      </w:pPr>
      <w:r w:rsidRPr="00913865">
        <w:rPr>
          <w:sz w:val="22"/>
          <w:szCs w:val="22"/>
          <w:lang w:val="es-ES"/>
        </w:rPr>
        <w:t>–</w:t>
      </w:r>
      <w:r w:rsidRPr="00913865">
        <w:rPr>
          <w:sz w:val="22"/>
          <w:szCs w:val="22"/>
          <w:lang w:val="es-ES"/>
        </w:rPr>
        <w:tab/>
      </w:r>
      <w:r w:rsidR="0055695E" w:rsidRPr="00913865">
        <w:rPr>
          <w:sz w:val="22"/>
          <w:szCs w:val="22"/>
          <w:lang w:val="es-ES"/>
        </w:rPr>
        <w:t>f</w:t>
      </w:r>
      <w:r w:rsidRPr="00913865">
        <w:rPr>
          <w:sz w:val="22"/>
          <w:szCs w:val="22"/>
          <w:lang w:val="es-ES"/>
        </w:rPr>
        <w:t>acilitar oportunidades para establecer contactos con expertos, ponentes y partes interesadas de diversas organizaciones.</w:t>
      </w:r>
    </w:p>
    <w:p w14:paraId="588E86A1" w14:textId="77777777" w:rsidR="000324A7" w:rsidRPr="00913865" w:rsidRDefault="000324A7" w:rsidP="00415239">
      <w:pPr>
        <w:keepNext/>
        <w:keepLines/>
        <w:rPr>
          <w:sz w:val="22"/>
          <w:szCs w:val="22"/>
          <w:lang w:val="es-ES"/>
        </w:rPr>
      </w:pPr>
      <w:r w:rsidRPr="00913865">
        <w:rPr>
          <w:sz w:val="22"/>
          <w:szCs w:val="22"/>
          <w:lang w:val="es-ES"/>
        </w:rPr>
        <w:t>4</w:t>
      </w:r>
      <w:r w:rsidRPr="00913865">
        <w:rPr>
          <w:sz w:val="22"/>
          <w:szCs w:val="22"/>
          <w:lang w:val="es-ES"/>
        </w:rPr>
        <w:tab/>
      </w:r>
      <w:proofErr w:type="gramStart"/>
      <w:r w:rsidRPr="00913865">
        <w:rPr>
          <w:sz w:val="22"/>
          <w:szCs w:val="22"/>
          <w:lang w:val="es-ES"/>
        </w:rPr>
        <w:t>El</w:t>
      </w:r>
      <w:proofErr w:type="gramEnd"/>
      <w:r w:rsidRPr="00913865">
        <w:rPr>
          <w:sz w:val="22"/>
          <w:szCs w:val="22"/>
          <w:lang w:val="es-ES"/>
        </w:rPr>
        <w:t xml:space="preserve"> Comité del Programa del Simposio ha publicado una </w:t>
      </w:r>
      <w:r w:rsidRPr="00913865">
        <w:rPr>
          <w:b/>
          <w:bCs/>
          <w:sz w:val="22"/>
          <w:szCs w:val="22"/>
          <w:lang w:val="es-ES"/>
        </w:rPr>
        <w:t>invitación a presentar ponencias sobre los siguientes temas</w:t>
      </w:r>
      <w:r w:rsidRPr="00913865">
        <w:rPr>
          <w:sz w:val="22"/>
          <w:szCs w:val="22"/>
          <w:lang w:val="es-ES"/>
        </w:rPr>
        <w:t>:</w:t>
      </w:r>
    </w:p>
    <w:p w14:paraId="6ECFA5DA" w14:textId="04C1E8C7" w:rsidR="000324A7" w:rsidRPr="00913865" w:rsidRDefault="00415239" w:rsidP="00913865">
      <w:pPr>
        <w:pStyle w:val="enumlev1"/>
        <w:keepNext/>
        <w:keepLines/>
        <w:tabs>
          <w:tab w:val="clear" w:pos="794"/>
        </w:tabs>
        <w:ind w:left="1134" w:hanging="567"/>
        <w:rPr>
          <w:sz w:val="22"/>
          <w:szCs w:val="22"/>
          <w:lang w:val="es-ES"/>
        </w:rPr>
      </w:pPr>
      <w:r w:rsidRPr="00913865">
        <w:rPr>
          <w:sz w:val="22"/>
          <w:szCs w:val="22"/>
          <w:lang w:val="es-ES"/>
        </w:rPr>
        <w:t>–</w:t>
      </w:r>
      <w:r w:rsidRPr="00913865">
        <w:rPr>
          <w:sz w:val="22"/>
          <w:szCs w:val="22"/>
          <w:lang w:val="es-ES"/>
        </w:rPr>
        <w:tab/>
      </w:r>
      <w:r w:rsidR="0055695E" w:rsidRPr="00913865">
        <w:rPr>
          <w:sz w:val="22"/>
          <w:szCs w:val="22"/>
          <w:lang w:val="es-ES"/>
        </w:rPr>
        <w:t>e</w:t>
      </w:r>
      <w:r w:rsidR="000324A7" w:rsidRPr="00913865">
        <w:rPr>
          <w:sz w:val="22"/>
          <w:szCs w:val="22"/>
          <w:lang w:val="es-ES"/>
        </w:rPr>
        <w:t>ficiencia energética</w:t>
      </w:r>
      <w:r w:rsidR="0055695E" w:rsidRPr="00913865">
        <w:rPr>
          <w:sz w:val="22"/>
          <w:szCs w:val="22"/>
          <w:lang w:val="es-ES"/>
        </w:rPr>
        <w:t>;</w:t>
      </w:r>
    </w:p>
    <w:p w14:paraId="2F1A9475" w14:textId="1A8AB0CF" w:rsidR="000324A7" w:rsidRPr="00913865" w:rsidRDefault="00415239" w:rsidP="00913865">
      <w:pPr>
        <w:pStyle w:val="enumlev1"/>
        <w:tabs>
          <w:tab w:val="clear" w:pos="794"/>
        </w:tabs>
        <w:ind w:left="1134" w:hanging="567"/>
        <w:rPr>
          <w:sz w:val="22"/>
          <w:szCs w:val="22"/>
          <w:lang w:val="es-ES"/>
        </w:rPr>
      </w:pPr>
      <w:r w:rsidRPr="00913865">
        <w:rPr>
          <w:sz w:val="22"/>
          <w:szCs w:val="22"/>
          <w:lang w:val="es-ES"/>
        </w:rPr>
        <w:t>–</w:t>
      </w:r>
      <w:r w:rsidRPr="00913865">
        <w:rPr>
          <w:sz w:val="22"/>
          <w:szCs w:val="22"/>
          <w:lang w:val="es-ES"/>
        </w:rPr>
        <w:tab/>
      </w:r>
      <w:r w:rsidR="0055695E" w:rsidRPr="00913865">
        <w:rPr>
          <w:sz w:val="22"/>
          <w:szCs w:val="22"/>
          <w:lang w:val="es-ES"/>
        </w:rPr>
        <w:t>d</w:t>
      </w:r>
      <w:r w:rsidR="000324A7" w:rsidRPr="00913865">
        <w:rPr>
          <w:sz w:val="22"/>
          <w:szCs w:val="22"/>
          <w:lang w:val="es-ES"/>
        </w:rPr>
        <w:t>iseño circular de productos y servicios de TIC</w:t>
      </w:r>
      <w:r w:rsidR="0055695E" w:rsidRPr="00913865">
        <w:rPr>
          <w:sz w:val="22"/>
          <w:szCs w:val="22"/>
          <w:lang w:val="es-ES"/>
        </w:rPr>
        <w:t>;</w:t>
      </w:r>
    </w:p>
    <w:p w14:paraId="29BE1483" w14:textId="391A224F" w:rsidR="000324A7" w:rsidRPr="00913865" w:rsidRDefault="00415239" w:rsidP="00913865">
      <w:pPr>
        <w:pStyle w:val="enumlev1"/>
        <w:tabs>
          <w:tab w:val="clear" w:pos="794"/>
        </w:tabs>
        <w:ind w:left="1134" w:hanging="567"/>
        <w:rPr>
          <w:sz w:val="22"/>
          <w:szCs w:val="22"/>
          <w:lang w:val="es-ES"/>
        </w:rPr>
      </w:pPr>
      <w:r w:rsidRPr="00913865">
        <w:rPr>
          <w:sz w:val="22"/>
          <w:szCs w:val="22"/>
          <w:lang w:val="es-ES"/>
        </w:rPr>
        <w:t>–</w:t>
      </w:r>
      <w:r w:rsidRPr="00913865">
        <w:rPr>
          <w:sz w:val="22"/>
          <w:szCs w:val="22"/>
          <w:lang w:val="es-ES"/>
        </w:rPr>
        <w:tab/>
      </w:r>
      <w:r w:rsidR="0055695E" w:rsidRPr="00913865">
        <w:rPr>
          <w:sz w:val="22"/>
          <w:szCs w:val="22"/>
          <w:lang w:val="es-ES"/>
        </w:rPr>
        <w:t>e</w:t>
      </w:r>
      <w:r w:rsidR="000324A7" w:rsidRPr="00913865">
        <w:rPr>
          <w:sz w:val="22"/>
          <w:szCs w:val="22"/>
          <w:lang w:val="es-ES"/>
        </w:rPr>
        <w:t>valuación de la vida útil de productos, redes y servicios de TIC</w:t>
      </w:r>
      <w:r w:rsidR="0055695E" w:rsidRPr="00913865">
        <w:rPr>
          <w:sz w:val="22"/>
          <w:szCs w:val="22"/>
          <w:lang w:val="es-ES"/>
        </w:rPr>
        <w:t>;</w:t>
      </w:r>
    </w:p>
    <w:p w14:paraId="7C25AE6B" w14:textId="3F16827A" w:rsidR="000324A7" w:rsidRPr="00913865" w:rsidRDefault="00415239" w:rsidP="00913865">
      <w:pPr>
        <w:pStyle w:val="enumlev1"/>
        <w:tabs>
          <w:tab w:val="clear" w:pos="794"/>
        </w:tabs>
        <w:ind w:left="1134" w:hanging="567"/>
        <w:rPr>
          <w:sz w:val="22"/>
          <w:szCs w:val="22"/>
          <w:lang w:val="es-ES"/>
        </w:rPr>
      </w:pPr>
      <w:r w:rsidRPr="00913865">
        <w:rPr>
          <w:sz w:val="22"/>
          <w:szCs w:val="22"/>
          <w:lang w:val="es-ES"/>
        </w:rPr>
        <w:t>–</w:t>
      </w:r>
      <w:r w:rsidRPr="00913865">
        <w:rPr>
          <w:sz w:val="22"/>
          <w:szCs w:val="22"/>
          <w:lang w:val="es-ES"/>
        </w:rPr>
        <w:tab/>
      </w:r>
      <w:r w:rsidR="0055695E" w:rsidRPr="00913865">
        <w:rPr>
          <w:sz w:val="22"/>
          <w:szCs w:val="22"/>
          <w:lang w:val="es-ES"/>
        </w:rPr>
        <w:t>e</w:t>
      </w:r>
      <w:r w:rsidR="000324A7" w:rsidRPr="00913865">
        <w:rPr>
          <w:sz w:val="22"/>
          <w:szCs w:val="22"/>
          <w:lang w:val="es-ES"/>
        </w:rPr>
        <w:t>valuación del impacto ambiental y de la importancia de recopilar datos</w:t>
      </w:r>
      <w:r w:rsidR="0055695E" w:rsidRPr="00913865">
        <w:rPr>
          <w:sz w:val="22"/>
          <w:szCs w:val="22"/>
          <w:lang w:val="es-ES"/>
        </w:rPr>
        <w:t>;</w:t>
      </w:r>
    </w:p>
    <w:p w14:paraId="4CA12DFD" w14:textId="2B48CF4D" w:rsidR="000324A7" w:rsidRPr="00913865" w:rsidRDefault="00415239" w:rsidP="00913865">
      <w:pPr>
        <w:pStyle w:val="enumlev1"/>
        <w:tabs>
          <w:tab w:val="clear" w:pos="794"/>
        </w:tabs>
        <w:ind w:left="1134" w:hanging="567"/>
        <w:rPr>
          <w:sz w:val="22"/>
          <w:szCs w:val="22"/>
          <w:lang w:val="es-ES"/>
        </w:rPr>
      </w:pPr>
      <w:r w:rsidRPr="00913865">
        <w:rPr>
          <w:sz w:val="22"/>
          <w:szCs w:val="22"/>
          <w:lang w:val="es-ES"/>
        </w:rPr>
        <w:t>–</w:t>
      </w:r>
      <w:r w:rsidRPr="00913865">
        <w:rPr>
          <w:sz w:val="22"/>
          <w:szCs w:val="22"/>
          <w:lang w:val="es-ES"/>
        </w:rPr>
        <w:tab/>
      </w:r>
      <w:r w:rsidR="0055695E" w:rsidRPr="00913865">
        <w:rPr>
          <w:sz w:val="22"/>
          <w:szCs w:val="22"/>
          <w:lang w:val="es-ES"/>
        </w:rPr>
        <w:t>e</w:t>
      </w:r>
      <w:r w:rsidR="000324A7" w:rsidRPr="00913865">
        <w:rPr>
          <w:sz w:val="22"/>
          <w:szCs w:val="22"/>
          <w:lang w:val="es-ES"/>
        </w:rPr>
        <w:t>fecto catalizador de las soluciones TIC en otros sectores.</w:t>
      </w:r>
    </w:p>
    <w:p w14:paraId="5E6E2B22" w14:textId="4808299C" w:rsidR="000324A7" w:rsidRPr="00913865" w:rsidRDefault="000324A7" w:rsidP="000324A7">
      <w:pPr>
        <w:rPr>
          <w:sz w:val="22"/>
          <w:szCs w:val="22"/>
          <w:lang w:val="es-ES"/>
        </w:rPr>
      </w:pPr>
      <w:r w:rsidRPr="00913865">
        <w:rPr>
          <w:sz w:val="22"/>
          <w:szCs w:val="22"/>
          <w:lang w:val="es-ES"/>
        </w:rPr>
        <w:lastRenderedPageBreak/>
        <w:t>5</w:t>
      </w:r>
      <w:r w:rsidRPr="00913865">
        <w:rPr>
          <w:sz w:val="22"/>
          <w:szCs w:val="22"/>
          <w:lang w:val="es-ES"/>
        </w:rPr>
        <w:tab/>
      </w:r>
      <w:proofErr w:type="gramStart"/>
      <w:r w:rsidRPr="00913865">
        <w:rPr>
          <w:sz w:val="22"/>
          <w:szCs w:val="22"/>
          <w:lang w:val="es-ES"/>
        </w:rPr>
        <w:t>Si</w:t>
      </w:r>
      <w:proofErr w:type="gramEnd"/>
      <w:r w:rsidRPr="00913865">
        <w:rPr>
          <w:sz w:val="22"/>
          <w:szCs w:val="22"/>
          <w:lang w:val="es-ES"/>
        </w:rPr>
        <w:t xml:space="preserve"> desea presentar una ponencia, tenga a bien consultar el proceso de presentación disponible en el </w:t>
      </w:r>
      <w:hyperlink r:id="rId10" w:history="1">
        <w:r w:rsidRPr="00913865">
          <w:rPr>
            <w:rStyle w:val="Hyperlink"/>
            <w:sz w:val="22"/>
            <w:szCs w:val="22"/>
            <w:lang w:val="es-ES"/>
          </w:rPr>
          <w:t>sitio web del evento</w:t>
        </w:r>
      </w:hyperlink>
      <w:r w:rsidRPr="00913865">
        <w:rPr>
          <w:sz w:val="22"/>
          <w:szCs w:val="22"/>
          <w:lang w:val="es-ES"/>
        </w:rPr>
        <w:t xml:space="preserve">. El plazo para presentar propuestas termina el </w:t>
      </w:r>
      <w:r w:rsidRPr="00913865">
        <w:rPr>
          <w:b/>
          <w:bCs/>
          <w:sz w:val="22"/>
          <w:szCs w:val="22"/>
          <w:lang w:val="es-ES"/>
        </w:rPr>
        <w:t>22 de septiembre de 2024</w:t>
      </w:r>
      <w:r w:rsidRPr="00913865">
        <w:rPr>
          <w:sz w:val="22"/>
          <w:szCs w:val="22"/>
          <w:lang w:val="es-ES"/>
        </w:rPr>
        <w:t>.</w:t>
      </w:r>
    </w:p>
    <w:p w14:paraId="4379AA97" w14:textId="41359C3E" w:rsidR="000324A7" w:rsidRPr="00913865" w:rsidRDefault="000324A7" w:rsidP="000324A7">
      <w:pPr>
        <w:rPr>
          <w:sz w:val="22"/>
          <w:szCs w:val="22"/>
          <w:lang w:val="es-ES"/>
        </w:rPr>
      </w:pPr>
      <w:r w:rsidRPr="00913865">
        <w:rPr>
          <w:sz w:val="22"/>
          <w:szCs w:val="22"/>
          <w:lang w:val="es-ES"/>
        </w:rPr>
        <w:t>6</w:t>
      </w:r>
      <w:r w:rsidRPr="00913865">
        <w:rPr>
          <w:sz w:val="22"/>
          <w:szCs w:val="22"/>
          <w:lang w:val="es-ES"/>
        </w:rPr>
        <w:tab/>
      </w:r>
      <w:proofErr w:type="gramStart"/>
      <w:r w:rsidRPr="00913865">
        <w:rPr>
          <w:sz w:val="22"/>
          <w:szCs w:val="22"/>
          <w:lang w:val="es-ES"/>
        </w:rPr>
        <w:t>La</w:t>
      </w:r>
      <w:proofErr w:type="gramEnd"/>
      <w:r w:rsidRPr="00913865">
        <w:rPr>
          <w:sz w:val="22"/>
          <w:szCs w:val="22"/>
          <w:lang w:val="es-ES"/>
        </w:rPr>
        <w:t xml:space="preserve"> participación en el Simposio está abierta a todos. En particular, a los miembros del ETSI, los Estados Miembros, los Miembros de Sector, los Asociados y las Instituciones Académicas de la</w:t>
      </w:r>
      <w:r w:rsidR="000943DD" w:rsidRPr="00913865">
        <w:rPr>
          <w:sz w:val="22"/>
          <w:szCs w:val="22"/>
          <w:lang w:val="es-ES"/>
        </w:rPr>
        <w:t> </w:t>
      </w:r>
      <w:r w:rsidRPr="00913865">
        <w:rPr>
          <w:sz w:val="22"/>
          <w:szCs w:val="22"/>
          <w:lang w:val="es-ES"/>
        </w:rPr>
        <w:t>UIT, así como cualquier nacional de un país que sea Miembro de la UIT y desee aportar su contribución a los trabajos, comprendidos aquellos que también formen parte de organizaciones internacionales, regionales y nacionales. La participación es gratuita.</w:t>
      </w:r>
    </w:p>
    <w:p w14:paraId="2D924AA2" w14:textId="0BA0B06F" w:rsidR="000324A7" w:rsidRPr="00913865" w:rsidRDefault="000324A7" w:rsidP="000324A7">
      <w:pPr>
        <w:rPr>
          <w:sz w:val="22"/>
          <w:szCs w:val="22"/>
          <w:lang w:val="es-ES"/>
        </w:rPr>
      </w:pPr>
      <w:r w:rsidRPr="00913865">
        <w:rPr>
          <w:sz w:val="22"/>
          <w:szCs w:val="22"/>
          <w:lang w:val="es-ES"/>
        </w:rPr>
        <w:t>7</w:t>
      </w:r>
      <w:r w:rsidRPr="00913865">
        <w:rPr>
          <w:sz w:val="22"/>
          <w:szCs w:val="22"/>
          <w:lang w:val="es-ES"/>
        </w:rPr>
        <w:tab/>
      </w:r>
      <w:proofErr w:type="gramStart"/>
      <w:r w:rsidRPr="00913865">
        <w:rPr>
          <w:sz w:val="22"/>
          <w:szCs w:val="22"/>
          <w:lang w:val="es-ES"/>
        </w:rPr>
        <w:t>Toda</w:t>
      </w:r>
      <w:proofErr w:type="gramEnd"/>
      <w:r w:rsidRPr="00913865">
        <w:rPr>
          <w:sz w:val="22"/>
          <w:szCs w:val="22"/>
          <w:lang w:val="es-ES"/>
        </w:rPr>
        <w:t xml:space="preserve"> la información pertinente del evento (a saber, el proyecto de programa, la lista de ponentes, el enlace para la inscripción y los detalles relativos a la conexión a distancia) estará disponible en su sitio web: </w:t>
      </w:r>
      <w:hyperlink r:id="rId11" w:history="1">
        <w:r w:rsidRPr="00913865">
          <w:rPr>
            <w:rStyle w:val="Hyperlink"/>
            <w:sz w:val="22"/>
            <w:szCs w:val="22"/>
            <w:lang w:val="es-ES"/>
          </w:rPr>
          <w:t>https://www.itu.int/en/ITU-T/Workshops-and-Seminars/2024/1211/Pages/default.aspx</w:t>
        </w:r>
      </w:hyperlink>
      <w:r w:rsidRPr="00913865">
        <w:rPr>
          <w:sz w:val="22"/>
          <w:szCs w:val="22"/>
          <w:lang w:val="es-ES"/>
        </w:rPr>
        <w:t>.</w:t>
      </w:r>
    </w:p>
    <w:p w14:paraId="6045F248" w14:textId="77777777" w:rsidR="000324A7" w:rsidRPr="00913865" w:rsidRDefault="000324A7" w:rsidP="000324A7">
      <w:pPr>
        <w:rPr>
          <w:sz w:val="22"/>
          <w:szCs w:val="22"/>
          <w:lang w:val="es-ES"/>
        </w:rPr>
      </w:pPr>
      <w:r w:rsidRPr="00913865">
        <w:rPr>
          <w:sz w:val="22"/>
          <w:szCs w:val="22"/>
          <w:lang w:val="es-ES"/>
        </w:rPr>
        <w:t>Este sitio web se irá actualizando periódicamente a medida que se disponga de más información.</w:t>
      </w:r>
      <w:r w:rsidRPr="00913865">
        <w:rPr>
          <w:sz w:val="22"/>
          <w:szCs w:val="22"/>
        </w:rPr>
        <w:t xml:space="preserve"> </w:t>
      </w:r>
      <w:r w:rsidRPr="00913865">
        <w:rPr>
          <w:sz w:val="22"/>
          <w:szCs w:val="22"/>
          <w:lang w:val="es-ES"/>
        </w:rPr>
        <w:t>Se alienta a los participantes a que consulten regularmente el sitio web para obtener la información más reciente.</w:t>
      </w:r>
    </w:p>
    <w:p w14:paraId="766C8E4B" w14:textId="72DFB7F2" w:rsidR="000324A7" w:rsidRPr="00913865" w:rsidRDefault="000324A7" w:rsidP="000324A7">
      <w:pPr>
        <w:rPr>
          <w:sz w:val="22"/>
          <w:szCs w:val="22"/>
          <w:lang w:val="es-ES"/>
        </w:rPr>
      </w:pPr>
      <w:r w:rsidRPr="00913865">
        <w:rPr>
          <w:sz w:val="22"/>
          <w:szCs w:val="22"/>
          <w:lang w:val="es-ES"/>
        </w:rPr>
        <w:t>8</w:t>
      </w:r>
      <w:r w:rsidRPr="00913865">
        <w:rPr>
          <w:sz w:val="22"/>
          <w:szCs w:val="22"/>
          <w:lang w:val="es-ES"/>
        </w:rPr>
        <w:tab/>
      </w:r>
      <w:proofErr w:type="gramStart"/>
      <w:r w:rsidRPr="00913865">
        <w:rPr>
          <w:sz w:val="22"/>
          <w:szCs w:val="22"/>
          <w:lang w:val="es-ES"/>
        </w:rPr>
        <w:t>Tenga</w:t>
      </w:r>
      <w:proofErr w:type="gramEnd"/>
      <w:r w:rsidRPr="00913865">
        <w:rPr>
          <w:sz w:val="22"/>
          <w:szCs w:val="22"/>
          <w:lang w:val="es-ES"/>
        </w:rPr>
        <w:t xml:space="preserve"> presente que es </w:t>
      </w:r>
      <w:r w:rsidRPr="00913865">
        <w:rPr>
          <w:b/>
          <w:bCs/>
          <w:sz w:val="22"/>
          <w:szCs w:val="22"/>
          <w:lang w:val="es-ES"/>
        </w:rPr>
        <w:t>obligatorio</w:t>
      </w:r>
      <w:r w:rsidRPr="00913865">
        <w:rPr>
          <w:sz w:val="22"/>
          <w:szCs w:val="22"/>
          <w:lang w:val="es-ES"/>
        </w:rPr>
        <w:t xml:space="preserve"> inscribirse para participar tanto en persona como en línea. Para que la TSB pueda tomar las disposiciones necesarias sobre la organización del Simposio, le agradecería que se inscribiese a la mayor brevedad posible a través del formulario en línea disponible en </w:t>
      </w:r>
      <w:hyperlink r:id="rId12" w:history="1">
        <w:r w:rsidRPr="00913865">
          <w:rPr>
            <w:rStyle w:val="Hyperlink"/>
            <w:sz w:val="22"/>
            <w:szCs w:val="22"/>
            <w:lang w:val="es-ES"/>
          </w:rPr>
          <w:t>https://www.itu.int/net4/CRM/xreg/web/Registration.aspx?Event=C-00014355</w:t>
        </w:r>
      </w:hyperlink>
      <w:r w:rsidRPr="00913865">
        <w:rPr>
          <w:sz w:val="22"/>
          <w:szCs w:val="22"/>
          <w:lang w:val="es-ES"/>
        </w:rPr>
        <w:t xml:space="preserve"> y a más tardar el </w:t>
      </w:r>
      <w:r w:rsidRPr="00913865">
        <w:rPr>
          <w:b/>
          <w:bCs/>
          <w:sz w:val="22"/>
          <w:szCs w:val="22"/>
          <w:lang w:val="es-ES"/>
        </w:rPr>
        <w:t>6 de diciembre de 2024</w:t>
      </w:r>
      <w:r w:rsidRPr="00913865">
        <w:rPr>
          <w:sz w:val="22"/>
          <w:szCs w:val="22"/>
          <w:lang w:val="es-ES"/>
        </w:rPr>
        <w:t>. Le ruego que tenga presente que la preinscripción de los participantes en el Simposio es obligatoria y se lleva a cabo exclusivamente en línea.</w:t>
      </w:r>
    </w:p>
    <w:p w14:paraId="3D9BC0CB" w14:textId="77777777" w:rsidR="000324A7" w:rsidRPr="00913865" w:rsidRDefault="000324A7" w:rsidP="000324A7">
      <w:pPr>
        <w:rPr>
          <w:sz w:val="22"/>
          <w:szCs w:val="22"/>
          <w:lang w:val="es-ES"/>
        </w:rPr>
      </w:pPr>
      <w:r w:rsidRPr="00913865">
        <w:rPr>
          <w:sz w:val="22"/>
          <w:szCs w:val="22"/>
          <w:lang w:val="es-ES"/>
        </w:rPr>
        <w:t>9</w:t>
      </w:r>
      <w:r w:rsidRPr="00913865">
        <w:rPr>
          <w:sz w:val="22"/>
          <w:szCs w:val="22"/>
          <w:lang w:val="es-ES"/>
        </w:rPr>
        <w:tab/>
      </w:r>
      <w:proofErr w:type="gramStart"/>
      <w:r w:rsidRPr="00913865">
        <w:rPr>
          <w:sz w:val="22"/>
          <w:szCs w:val="22"/>
          <w:lang w:val="es-ES"/>
        </w:rPr>
        <w:t>Recuerde</w:t>
      </w:r>
      <w:proofErr w:type="gramEnd"/>
      <w:r w:rsidRPr="00913865">
        <w:rPr>
          <w:sz w:val="22"/>
          <w:szCs w:val="22"/>
          <w:lang w:val="es-ES"/>
        </w:rPr>
        <w:t xml:space="preserve"> que los ciudadanos de algunos países necesitan obtener un visado para entrar y permanecer en Suiza. El visado debe solicitarse y obtenerse en la oficina (embajada o consulado) que representa a Suiza en su país o, en su defecto, en la más próxima a su país de partida. La tramitación y aprobación de visados puede llevar algún tiempo, por lo que se recomienda consultar directamente con la representación competente y presentar la solicitud con suficiente antelación.</w:t>
      </w:r>
    </w:p>
    <w:p w14:paraId="05E4707F" w14:textId="77777777" w:rsidR="007B6316" w:rsidRPr="00913865" w:rsidRDefault="007B6316" w:rsidP="007B6316">
      <w:pPr>
        <w:rPr>
          <w:sz w:val="22"/>
          <w:szCs w:val="22"/>
        </w:rPr>
      </w:pPr>
      <w:r w:rsidRPr="00913865">
        <w:rPr>
          <w:sz w:val="22"/>
          <w:szCs w:val="22"/>
        </w:rPr>
        <w:t>Atentamente,</w:t>
      </w:r>
    </w:p>
    <w:p w14:paraId="37895485" w14:textId="03C7CFC5" w:rsidR="00101541" w:rsidRPr="00913865" w:rsidRDefault="00220B4B" w:rsidP="00EA2B05">
      <w:pPr>
        <w:spacing w:before="840"/>
        <w:rPr>
          <w:sz w:val="22"/>
          <w:szCs w:val="22"/>
        </w:rPr>
      </w:pPr>
      <w:r>
        <w:rPr>
          <w:rFonts w:cstheme="minorHAnsi"/>
          <w:noProof/>
          <w:sz w:val="22"/>
          <w:szCs w:val="22"/>
          <w:lang w:val="es-ES"/>
        </w:rPr>
        <w:drawing>
          <wp:anchor distT="0" distB="0" distL="114300" distR="114300" simplePos="0" relativeHeight="251658240" behindDoc="1" locked="0" layoutInCell="1" allowOverlap="1" wp14:anchorId="237A70D7" wp14:editId="5557B396">
            <wp:simplePos x="0" y="0"/>
            <wp:positionH relativeFrom="column">
              <wp:posOffset>-2540</wp:posOffset>
            </wp:positionH>
            <wp:positionV relativeFrom="paragraph">
              <wp:posOffset>133985</wp:posOffset>
            </wp:positionV>
            <wp:extent cx="754305" cy="339725"/>
            <wp:effectExtent l="0" t="0" r="8255" b="3175"/>
            <wp:wrapNone/>
            <wp:docPr id="812604610"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04610" name="Picture 1" descr="A black and blu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54305" cy="339725"/>
                    </a:xfrm>
                    <a:prstGeom prst="rect">
                      <a:avLst/>
                    </a:prstGeom>
                  </pic:spPr>
                </pic:pic>
              </a:graphicData>
            </a:graphic>
            <wp14:sizeRelH relativeFrom="margin">
              <wp14:pctWidth>0</wp14:pctWidth>
            </wp14:sizeRelH>
            <wp14:sizeRelV relativeFrom="margin">
              <wp14:pctHeight>0</wp14:pctHeight>
            </wp14:sizeRelV>
          </wp:anchor>
        </w:drawing>
      </w:r>
      <w:r w:rsidR="001350B9" w:rsidRPr="00913865">
        <w:rPr>
          <w:rFonts w:cstheme="minorHAnsi"/>
          <w:sz w:val="22"/>
          <w:szCs w:val="22"/>
          <w:lang w:val="es-ES"/>
        </w:rPr>
        <w:t>Seizo Onoe</w:t>
      </w:r>
      <w:r w:rsidR="007B6316" w:rsidRPr="00913865">
        <w:rPr>
          <w:sz w:val="22"/>
          <w:szCs w:val="22"/>
        </w:rPr>
        <w:br/>
      </w:r>
      <w:proofErr w:type="gramStart"/>
      <w:r w:rsidR="007B6316" w:rsidRPr="00913865">
        <w:rPr>
          <w:sz w:val="22"/>
          <w:szCs w:val="22"/>
        </w:rPr>
        <w:t>Director</w:t>
      </w:r>
      <w:proofErr w:type="gramEnd"/>
      <w:r w:rsidR="007B6316" w:rsidRPr="00913865">
        <w:rPr>
          <w:sz w:val="22"/>
          <w:szCs w:val="22"/>
        </w:rPr>
        <w:t xml:space="preserve"> de la Oficina de </w:t>
      </w:r>
      <w:r w:rsidR="007B6316" w:rsidRPr="00913865">
        <w:rPr>
          <w:sz w:val="22"/>
          <w:szCs w:val="22"/>
        </w:rPr>
        <w:br/>
        <w:t>Normalización de las Telecomunicaciones</w:t>
      </w:r>
    </w:p>
    <w:sectPr w:rsidR="00101541" w:rsidRPr="00913865" w:rsidSect="00B87E9E">
      <w:headerReference w:type="default" r:id="rId14"/>
      <w:footerReference w:type="first" r:id="rId1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EC659" w14:textId="77777777" w:rsidR="00615632" w:rsidRDefault="00615632">
      <w:r>
        <w:separator/>
      </w:r>
    </w:p>
  </w:endnote>
  <w:endnote w:type="continuationSeparator" w:id="0">
    <w:p w14:paraId="04045C05" w14:textId="77777777" w:rsidR="00615632" w:rsidRDefault="0061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800008E7" w:usb1="00000000" w:usb2="00000000" w:usb3="00000000" w:csb0="000001F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72DDA" w14:textId="2A7C35AE"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Tel</w:t>
    </w:r>
    <w:r w:rsidR="00101541">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E66B7" w14:textId="77777777" w:rsidR="00615632" w:rsidRDefault="00615632">
      <w:r>
        <w:t>____________________</w:t>
      </w:r>
    </w:p>
  </w:footnote>
  <w:footnote w:type="continuationSeparator" w:id="0">
    <w:p w14:paraId="240ED35D" w14:textId="77777777" w:rsidR="00615632" w:rsidRDefault="00615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ECB14" w14:textId="4E1E967D"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06800910" w14:textId="3F13668D" w:rsidR="00101541" w:rsidRPr="00303D62" w:rsidRDefault="00101541">
    <w:pPr>
      <w:pStyle w:val="Header"/>
      <w:rPr>
        <w:sz w:val="18"/>
        <w:szCs w:val="18"/>
      </w:rPr>
    </w:pPr>
    <w:r w:rsidRPr="00101541">
      <w:rPr>
        <w:sz w:val="18"/>
        <w:szCs w:val="18"/>
      </w:rPr>
      <w:t xml:space="preserve">Circular TSB </w:t>
    </w:r>
    <w:r w:rsidR="000324A7">
      <w:rPr>
        <w:sz w:val="18"/>
        <w:szCs w:val="18"/>
      </w:rPr>
      <w:t>217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4032B"/>
    <w:multiLevelType w:val="hybridMultilevel"/>
    <w:tmpl w:val="638208AC"/>
    <w:lvl w:ilvl="0" w:tplc="10ECA860">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0F61BD"/>
    <w:multiLevelType w:val="hybridMultilevel"/>
    <w:tmpl w:val="CFC66934"/>
    <w:lvl w:ilvl="0" w:tplc="10ECA860">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1"/>
  </w:num>
  <w:num w:numId="2" w16cid:durableId="1345282128">
    <w:abstractNumId w:val="5"/>
  </w:num>
  <w:num w:numId="3" w16cid:durableId="1069613404">
    <w:abstractNumId w:val="4"/>
  </w:num>
  <w:num w:numId="4" w16cid:durableId="374936234">
    <w:abstractNumId w:val="2"/>
  </w:num>
  <w:num w:numId="5" w16cid:durableId="1253660325">
    <w:abstractNumId w:val="3"/>
  </w:num>
  <w:num w:numId="6" w16cid:durableId="1199858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58"/>
    <w:rsid w:val="00002529"/>
    <w:rsid w:val="00005EBD"/>
    <w:rsid w:val="00020CC0"/>
    <w:rsid w:val="000324A7"/>
    <w:rsid w:val="00085662"/>
    <w:rsid w:val="000943DD"/>
    <w:rsid w:val="000C382F"/>
    <w:rsid w:val="00101541"/>
    <w:rsid w:val="00110B04"/>
    <w:rsid w:val="001173CC"/>
    <w:rsid w:val="001350B9"/>
    <w:rsid w:val="0014464D"/>
    <w:rsid w:val="001A54CC"/>
    <w:rsid w:val="00220B4B"/>
    <w:rsid w:val="00257FB4"/>
    <w:rsid w:val="002E496E"/>
    <w:rsid w:val="00303D62"/>
    <w:rsid w:val="00335367"/>
    <w:rsid w:val="00370C2D"/>
    <w:rsid w:val="003B0CBC"/>
    <w:rsid w:val="003D1E8D"/>
    <w:rsid w:val="003D673B"/>
    <w:rsid w:val="003F2855"/>
    <w:rsid w:val="00401C20"/>
    <w:rsid w:val="00415239"/>
    <w:rsid w:val="004824F5"/>
    <w:rsid w:val="004A7957"/>
    <w:rsid w:val="004C4144"/>
    <w:rsid w:val="0055695E"/>
    <w:rsid w:val="0055719E"/>
    <w:rsid w:val="005A73D0"/>
    <w:rsid w:val="00615632"/>
    <w:rsid w:val="006969B4"/>
    <w:rsid w:val="006E4F7B"/>
    <w:rsid w:val="00781E2A"/>
    <w:rsid w:val="007933A2"/>
    <w:rsid w:val="007B6316"/>
    <w:rsid w:val="00814503"/>
    <w:rsid w:val="008258C2"/>
    <w:rsid w:val="008505BD"/>
    <w:rsid w:val="00850C78"/>
    <w:rsid w:val="00876165"/>
    <w:rsid w:val="00884D12"/>
    <w:rsid w:val="008C17AD"/>
    <w:rsid w:val="008D02CD"/>
    <w:rsid w:val="0091370C"/>
    <w:rsid w:val="00913865"/>
    <w:rsid w:val="0095172A"/>
    <w:rsid w:val="009A0BA0"/>
    <w:rsid w:val="009A5575"/>
    <w:rsid w:val="00A31158"/>
    <w:rsid w:val="00A54E47"/>
    <w:rsid w:val="00AB6E3A"/>
    <w:rsid w:val="00AE7093"/>
    <w:rsid w:val="00B014EE"/>
    <w:rsid w:val="00B422BC"/>
    <w:rsid w:val="00B43F77"/>
    <w:rsid w:val="00B55A3E"/>
    <w:rsid w:val="00B87E9E"/>
    <w:rsid w:val="00B95F0A"/>
    <w:rsid w:val="00B96180"/>
    <w:rsid w:val="00BA6F31"/>
    <w:rsid w:val="00C116FE"/>
    <w:rsid w:val="00C17AC0"/>
    <w:rsid w:val="00C34772"/>
    <w:rsid w:val="00C5465A"/>
    <w:rsid w:val="00D54642"/>
    <w:rsid w:val="00D834E7"/>
    <w:rsid w:val="00DD77C9"/>
    <w:rsid w:val="00DF3538"/>
    <w:rsid w:val="00E3356E"/>
    <w:rsid w:val="00E50D39"/>
    <w:rsid w:val="00E839B0"/>
    <w:rsid w:val="00E92C09"/>
    <w:rsid w:val="00EA2B05"/>
    <w:rsid w:val="00F14380"/>
    <w:rsid w:val="00F6461F"/>
    <w:rsid w:val="00F87082"/>
    <w:rsid w:val="00F97BC4"/>
    <w:rsid w:val="00FB1474"/>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B0B40"/>
  <w15:docId w15:val="{5B4F3BED-0458-4426-AA5D-B74EAC68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032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net4/CRM/xreg/web/Registration.aspx?Event=C-0001435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4/1211/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ITU-T/Workshops-and-Seminars/2024/1211/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86</TotalTime>
  <Pages>2</Pages>
  <Words>729</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5183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Braud, Olivia</cp:lastModifiedBy>
  <cp:revision>14</cp:revision>
  <cp:lastPrinted>2024-07-30T11:27:00Z</cp:lastPrinted>
  <dcterms:created xsi:type="dcterms:W3CDTF">2024-07-22T13:32:00Z</dcterms:created>
  <dcterms:modified xsi:type="dcterms:W3CDTF">2024-07-30T11:28:00Z</dcterms:modified>
</cp:coreProperties>
</file>