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"/>
        <w:gridCol w:w="3736"/>
        <w:gridCol w:w="4436"/>
      </w:tblGrid>
      <w:tr w:rsidR="00205959" w14:paraId="49A58C11" w14:textId="77777777">
        <w:trPr>
          <w:cantSplit/>
        </w:trPr>
        <w:tc>
          <w:tcPr>
            <w:tcW w:w="1693" w:type="dxa"/>
            <w:gridSpan w:val="2"/>
          </w:tcPr>
          <w:p w14:paraId="3AF360B8" w14:textId="77777777" w:rsidR="00205959" w:rsidRDefault="00F019AB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7F1493" wp14:editId="07451B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5D23861" w14:textId="77777777" w:rsidR="00205959" w:rsidRDefault="00F019A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CC9AA4C" w14:textId="77777777" w:rsidR="00205959" w:rsidRDefault="00F019AB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F96DCE8" w14:textId="77777777" w:rsidR="00205959" w:rsidRDefault="00205959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205959" w14:paraId="3B9E4B8E" w14:textId="77777777">
        <w:trPr>
          <w:cantSplit/>
        </w:trPr>
        <w:tc>
          <w:tcPr>
            <w:tcW w:w="5429" w:type="dxa"/>
            <w:gridSpan w:val="3"/>
          </w:tcPr>
          <w:p w14:paraId="6EFB5592" w14:textId="77777777" w:rsidR="00205959" w:rsidRDefault="0020595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B0EA35F" w14:textId="3AC4A89D" w:rsidR="00205959" w:rsidRDefault="00F019AB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202</w:t>
            </w:r>
            <w:r w:rsidR="008B3BA5">
              <w:rPr>
                <w:sz w:val="22"/>
                <w:szCs w:val="22"/>
                <w:lang w:eastAsia="zh-CN"/>
              </w:rPr>
              <w:t>4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8B3BA5">
              <w:rPr>
                <w:sz w:val="22"/>
                <w:szCs w:val="22"/>
                <w:lang w:eastAsia="zh-CN"/>
              </w:rPr>
              <w:t>7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8B3BA5">
              <w:rPr>
                <w:sz w:val="22"/>
                <w:szCs w:val="22"/>
                <w:lang w:eastAsia="zh-CN"/>
              </w:rPr>
              <w:t>7</w:t>
            </w:r>
            <w:r>
              <w:rPr>
                <w:rFonts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205959" w14:paraId="0501448B" w14:textId="77777777">
        <w:trPr>
          <w:cantSplit/>
        </w:trPr>
        <w:tc>
          <w:tcPr>
            <w:tcW w:w="1268" w:type="dxa"/>
          </w:tcPr>
          <w:p w14:paraId="42C54A79" w14:textId="77777777" w:rsidR="00205959" w:rsidRDefault="00F019AB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25C6CD2A" w14:textId="1967D3FC" w:rsidR="00205959" w:rsidRDefault="00F019AB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电信标准化局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第</w:t>
            </w:r>
            <w:r w:rsidR="00004632">
              <w:rPr>
                <w:b/>
                <w:sz w:val="22"/>
                <w:szCs w:val="22"/>
                <w:lang w:eastAsia="zh-CN"/>
              </w:rPr>
              <w:t>218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56B9897E" w14:textId="77777777" w:rsidR="00205959" w:rsidRDefault="00F019AB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SG20/CB</w:t>
            </w:r>
          </w:p>
        </w:tc>
        <w:tc>
          <w:tcPr>
            <w:tcW w:w="4436" w:type="dxa"/>
            <w:vMerge w:val="restart"/>
          </w:tcPr>
          <w:p w14:paraId="26DC7A52" w14:textId="77777777" w:rsidR="00205959" w:rsidRDefault="00F019AB">
            <w:pPr>
              <w:pStyle w:val="Tabletext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>
              <w:rPr>
                <w:rFonts w:hint="eastAsia"/>
                <w:b/>
                <w:bCs/>
                <w:sz w:val="22"/>
                <w:szCs w:val="22"/>
              </w:rPr>
              <w:t>致：</w:t>
            </w:r>
          </w:p>
          <w:p w14:paraId="734D6391" w14:textId="77777777" w:rsidR="00205959" w:rsidRDefault="00F019A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  <w:lang w:val="zh-CN"/>
              </w:rPr>
              <w:t>国际电联各成员国主管部门</w:t>
            </w:r>
            <w:r>
              <w:rPr>
                <w:rFonts w:hint="eastAsia"/>
                <w:sz w:val="22"/>
                <w:szCs w:val="22"/>
                <w:lang w:val="zh-CN"/>
              </w:rPr>
              <w:t>；</w:t>
            </w:r>
            <w:proofErr w:type="gramEnd"/>
          </w:p>
          <w:p w14:paraId="7AF1B253" w14:textId="77777777" w:rsidR="00205959" w:rsidRDefault="00F019AB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255315B6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>
              <w:rPr>
                <w:sz w:val="22"/>
                <w:szCs w:val="22"/>
                <w:lang w:eastAsia="zh-CN"/>
              </w:rPr>
              <w:t>T</w:t>
            </w:r>
            <w:r>
              <w:rPr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7F74AED2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bookmarkStart w:id="1" w:name="lt_pId024"/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>
              <w:rPr>
                <w:sz w:val="22"/>
                <w:szCs w:val="22"/>
                <w:lang w:eastAsia="zh-CN"/>
              </w:rPr>
              <w:t>T</w:t>
            </w:r>
            <w:r>
              <w:rPr>
                <w:sz w:val="22"/>
                <w:szCs w:val="22"/>
                <w:lang w:eastAsia="zh-CN"/>
              </w:rPr>
              <w:t>第</w:t>
            </w:r>
            <w:r>
              <w:rPr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0</w:t>
            </w:r>
            <w:r>
              <w:rPr>
                <w:sz w:val="22"/>
                <w:szCs w:val="22"/>
                <w:lang w:eastAsia="zh-CN"/>
              </w:rPr>
              <w:t>研究组部门准成员；</w:t>
            </w:r>
            <w:bookmarkEnd w:id="1"/>
            <w:proofErr w:type="gramEnd"/>
          </w:p>
          <w:p w14:paraId="3A63A7F9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proofErr w:type="gramStart"/>
            <w:r>
              <w:rPr>
                <w:sz w:val="22"/>
                <w:szCs w:val="22"/>
                <w:lang w:eastAsia="zh-CN"/>
              </w:rPr>
              <w:t>国际电联学术成员；</w:t>
            </w:r>
            <w:proofErr w:type="gramEnd"/>
          </w:p>
          <w:p w14:paraId="1C2FD4B3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>
              <w:rPr>
                <w:sz w:val="22"/>
                <w:szCs w:val="22"/>
                <w:lang w:eastAsia="zh-CN"/>
              </w:rPr>
              <w:t>T</w:t>
            </w:r>
            <w:r>
              <w:rPr>
                <w:rFonts w:hint="eastAsia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sz w:val="22"/>
                <w:szCs w:val="22"/>
                <w:lang w:eastAsia="zh-CN"/>
              </w:rPr>
              <w:t>20</w:t>
            </w:r>
            <w:r>
              <w:rPr>
                <w:sz w:val="22"/>
                <w:szCs w:val="22"/>
                <w:lang w:eastAsia="zh-CN"/>
              </w:rPr>
              <w:t>研究组正副主席；</w:t>
            </w:r>
            <w:proofErr w:type="gramEnd"/>
          </w:p>
          <w:p w14:paraId="71FF9750" w14:textId="77777777" w:rsidR="00205959" w:rsidRDefault="00F019AB">
            <w:pPr>
              <w:tabs>
                <w:tab w:val="clear" w:pos="1191"/>
                <w:tab w:val="left" w:pos="283"/>
                <w:tab w:val="left" w:pos="851"/>
                <w:tab w:val="left" w:pos="1168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proofErr w:type="gramStart"/>
            <w:r>
              <w:rPr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4ED2DC90" w14:textId="77777777" w:rsidR="00205959" w:rsidRDefault="00F019AB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r>
              <w:rPr>
                <w:sz w:val="22"/>
                <w:szCs w:val="22"/>
                <w:lang w:eastAsia="zh-CN"/>
              </w:rPr>
              <w:t>无线电通信局主任</w:t>
            </w:r>
          </w:p>
          <w:p w14:paraId="755CD26B" w14:textId="77777777" w:rsidR="00684810" w:rsidRDefault="00684810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205959" w14:paraId="701EE0D3" w14:textId="77777777">
        <w:trPr>
          <w:cantSplit/>
        </w:trPr>
        <w:tc>
          <w:tcPr>
            <w:tcW w:w="1268" w:type="dxa"/>
          </w:tcPr>
          <w:p w14:paraId="1CAF2ABE" w14:textId="77777777" w:rsidR="00205959" w:rsidRDefault="00F019AB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7076EE1" w14:textId="77777777" w:rsidR="00205959" w:rsidRDefault="00F019AB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+41 22 730 6301</w:t>
            </w:r>
          </w:p>
        </w:tc>
        <w:tc>
          <w:tcPr>
            <w:tcW w:w="4436" w:type="dxa"/>
            <w:vMerge/>
          </w:tcPr>
          <w:p w14:paraId="43355586" w14:textId="77777777" w:rsidR="00205959" w:rsidRDefault="00205959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205959" w14:paraId="2385DD48" w14:textId="77777777">
        <w:trPr>
          <w:cantSplit/>
        </w:trPr>
        <w:tc>
          <w:tcPr>
            <w:tcW w:w="1268" w:type="dxa"/>
          </w:tcPr>
          <w:p w14:paraId="6BA3F51D" w14:textId="77777777" w:rsidR="00205959" w:rsidRDefault="00F019AB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BFF3A1F" w14:textId="77777777" w:rsidR="00205959" w:rsidRDefault="00F019AB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59656FFB" w14:textId="77777777" w:rsidR="00205959" w:rsidRDefault="00205959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205959" w14:paraId="700EDD6D" w14:textId="77777777">
        <w:trPr>
          <w:cantSplit/>
        </w:trPr>
        <w:tc>
          <w:tcPr>
            <w:tcW w:w="1268" w:type="dxa"/>
          </w:tcPr>
          <w:p w14:paraId="6186D89D" w14:textId="77777777" w:rsidR="00205959" w:rsidRDefault="00F019AB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电子邮件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D30E77D" w14:textId="77777777" w:rsidR="00205959" w:rsidRDefault="000D7C30">
            <w:pPr>
              <w:tabs>
                <w:tab w:val="left" w:pos="4111"/>
              </w:tabs>
              <w:spacing w:before="40"/>
              <w:rPr>
                <w:sz w:val="22"/>
                <w:szCs w:val="22"/>
                <w:highlight w:val="yellow"/>
                <w:lang w:eastAsia="zh-CN"/>
              </w:rPr>
            </w:pPr>
            <w:hyperlink r:id="rId9" w:history="1">
              <w:r w:rsidR="00F019AB">
                <w:rPr>
                  <w:rStyle w:val="Hyperlink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4436" w:type="dxa"/>
            <w:vMerge/>
          </w:tcPr>
          <w:p w14:paraId="282D61D4" w14:textId="77777777" w:rsidR="00205959" w:rsidRDefault="002059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205959" w14:paraId="61011301" w14:textId="77777777">
        <w:trPr>
          <w:cantSplit/>
          <w:trHeight w:val="591"/>
        </w:trPr>
        <w:tc>
          <w:tcPr>
            <w:tcW w:w="1268" w:type="dxa"/>
          </w:tcPr>
          <w:p w14:paraId="05518F85" w14:textId="77777777" w:rsidR="00205959" w:rsidRDefault="00F019AB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事由：</w:t>
            </w:r>
          </w:p>
        </w:tc>
        <w:tc>
          <w:tcPr>
            <w:tcW w:w="8597" w:type="dxa"/>
            <w:gridSpan w:val="3"/>
          </w:tcPr>
          <w:p w14:paraId="24FB8A9B" w14:textId="5EA93F54" w:rsidR="00205959" w:rsidRPr="0067438F" w:rsidRDefault="006057CC" w:rsidP="00DC15B6">
            <w:pPr>
              <w:pStyle w:val="Tabletext"/>
              <w:rPr>
                <w:b/>
                <w:bCs/>
                <w:spacing w:val="6"/>
                <w:sz w:val="22"/>
                <w:szCs w:val="22"/>
              </w:rPr>
            </w:pP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ITU-T Y.4487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proofErr w:type="gramStart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Y.RMDFS</w:t>
            </w:r>
            <w:proofErr w:type="gramEnd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-arch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）、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Y.4607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Y.DRI-</w:t>
            </w:r>
            <w:proofErr w:type="spellStart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reqts</w:t>
            </w:r>
            <w:proofErr w:type="spellEnd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）、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Y.4225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proofErr w:type="spellStart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Y.dt</w:t>
            </w:r>
            <w:proofErr w:type="spellEnd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-ITS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）、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Y.4221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proofErr w:type="spellStart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Y.ElecMon-Reqts</w:t>
            </w:r>
            <w:proofErr w:type="spellEnd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）、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Y.4496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Y.RA-PHE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）、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Y.4497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proofErr w:type="spellStart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Y.Smart</w:t>
            </w:r>
            <w:proofErr w:type="spellEnd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-SBS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）、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Y.4498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proofErr w:type="spellStart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Y.energy</w:t>
            </w:r>
            <w:proofErr w:type="spellEnd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-data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）、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Y.4499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Y.UIM-cs-framework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）和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Y.4488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原</w:t>
            </w:r>
            <w:proofErr w:type="spellStart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Y.IoT</w:t>
            </w:r>
            <w:proofErr w:type="spellEnd"/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-SPWE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建议书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在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ITU-T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第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20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研究组会议（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2024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年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7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月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1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日至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12</w:t>
            </w:r>
            <w:r w:rsidRPr="006057CC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日，日内瓦）之后的状态</w:t>
            </w:r>
          </w:p>
        </w:tc>
      </w:tr>
    </w:tbl>
    <w:p w14:paraId="0142FE22" w14:textId="77777777" w:rsidR="00205959" w:rsidRPr="002B4631" w:rsidRDefault="00F019AB">
      <w:pPr>
        <w:spacing w:before="360"/>
        <w:rPr>
          <w:rFonts w:ascii="Calibri" w:hAnsi="Calibri" w:cs="Calibri"/>
          <w:sz w:val="22"/>
          <w:szCs w:val="22"/>
          <w:lang w:eastAsia="zh-CN"/>
        </w:rPr>
      </w:pPr>
      <w:bookmarkStart w:id="2" w:name="StartTyping_E"/>
      <w:bookmarkEnd w:id="2"/>
      <w:r w:rsidRPr="002B4631">
        <w:rPr>
          <w:rFonts w:ascii="Calibri" w:hAnsi="Calibri" w:cs="Calibri"/>
          <w:sz w:val="22"/>
          <w:szCs w:val="22"/>
          <w:lang w:eastAsia="zh-CN"/>
        </w:rPr>
        <w:t>尊敬的先生</w:t>
      </w:r>
      <w:r w:rsidRPr="002B4631">
        <w:rPr>
          <w:rFonts w:ascii="Calibri" w:hAnsi="Calibri" w:cs="Calibri"/>
          <w:sz w:val="22"/>
          <w:szCs w:val="22"/>
          <w:lang w:eastAsia="zh-CN"/>
        </w:rPr>
        <w:t>/</w:t>
      </w:r>
      <w:r w:rsidRPr="002B4631">
        <w:rPr>
          <w:rFonts w:ascii="Calibri" w:hAnsi="Calibri" w:cs="Calibri"/>
          <w:sz w:val="22"/>
          <w:szCs w:val="22"/>
          <w:lang w:eastAsia="zh-CN"/>
        </w:rPr>
        <w:t>女士：</w:t>
      </w:r>
    </w:p>
    <w:p w14:paraId="021C1FFE" w14:textId="24327630" w:rsidR="00872D28" w:rsidRPr="002B4631" w:rsidRDefault="00F019AB" w:rsidP="00872D28">
      <w:pPr>
        <w:rPr>
          <w:rFonts w:ascii="Calibri" w:hAnsi="Calibri" w:cs="Calibri"/>
          <w:sz w:val="22"/>
          <w:szCs w:val="22"/>
          <w:lang w:eastAsia="zh-CN"/>
        </w:rPr>
      </w:pPr>
      <w:r w:rsidRPr="002B4631">
        <w:rPr>
          <w:rFonts w:ascii="Calibri" w:hAnsi="Calibri" w:cs="Calibri"/>
          <w:sz w:val="22"/>
          <w:szCs w:val="22"/>
          <w:lang w:eastAsia="zh-CN"/>
        </w:rPr>
        <w:t>1</w:t>
      </w:r>
      <w:r w:rsidRPr="002B4631">
        <w:rPr>
          <w:rFonts w:ascii="Calibri" w:hAnsi="Calibri" w:cs="Calibri"/>
          <w:sz w:val="22"/>
          <w:szCs w:val="22"/>
          <w:lang w:eastAsia="zh-CN"/>
        </w:rPr>
        <w:tab/>
      </w:r>
      <w:bookmarkStart w:id="3" w:name="lt_pId050"/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继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2023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5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3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日</w:t>
      </w:r>
      <w:r w:rsidR="006057CC" w:rsidRPr="002B4631">
        <w:rPr>
          <w:rFonts w:ascii="Calibri" w:hAnsi="Calibri" w:cs="Calibri"/>
          <w:sz w:val="22"/>
          <w:szCs w:val="22"/>
          <w:lang w:eastAsia="zh-CN"/>
        </w:rPr>
        <w:fldChar w:fldCharType="begin"/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instrText>HYPERLINK "https://www.itu.int/md/meetingdoc.asp?lang=en&amp;parent=T22-TSB-CIR-0096"</w:instrText>
      </w:r>
      <w:r w:rsidR="006057CC" w:rsidRPr="002B4631">
        <w:rPr>
          <w:rFonts w:ascii="Calibri" w:hAnsi="Calibri" w:cs="Calibri"/>
          <w:sz w:val="22"/>
          <w:szCs w:val="22"/>
          <w:lang w:eastAsia="zh-CN"/>
        </w:rPr>
      </w:r>
      <w:r w:rsidR="006057CC" w:rsidRPr="002B4631">
        <w:rPr>
          <w:rFonts w:ascii="Calibri" w:hAnsi="Calibri" w:cs="Calibri"/>
          <w:sz w:val="22"/>
          <w:szCs w:val="22"/>
          <w:lang w:eastAsia="zh-CN"/>
        </w:rPr>
        <w:fldChar w:fldCharType="separate"/>
      </w:r>
      <w:r w:rsidR="006057CC" w:rsidRPr="002B4631">
        <w:rPr>
          <w:rStyle w:val="Hyperlink"/>
          <w:rFonts w:ascii="Calibri" w:hAnsi="Calibri" w:cs="Calibri" w:hint="eastAsia"/>
          <w:sz w:val="22"/>
          <w:szCs w:val="22"/>
          <w:lang w:eastAsia="zh-CN"/>
        </w:rPr>
        <w:t>电信标准化局第</w:t>
      </w:r>
      <w:r w:rsidR="006057CC" w:rsidRPr="002B4631">
        <w:rPr>
          <w:rStyle w:val="Hyperlink"/>
          <w:rFonts w:ascii="Calibri" w:hAnsi="Calibri" w:cs="Calibri" w:hint="eastAsia"/>
          <w:sz w:val="22"/>
          <w:szCs w:val="22"/>
          <w:lang w:eastAsia="zh-CN"/>
        </w:rPr>
        <w:t>96</w:t>
      </w:r>
      <w:r w:rsidR="006057CC" w:rsidRPr="002B4631">
        <w:rPr>
          <w:rStyle w:val="Hyperlink"/>
          <w:rFonts w:ascii="Calibri" w:hAnsi="Calibri" w:cs="Calibri" w:hint="eastAsia"/>
          <w:sz w:val="22"/>
          <w:szCs w:val="22"/>
          <w:lang w:eastAsia="zh-CN"/>
        </w:rPr>
        <w:t>号通函</w:t>
      </w:r>
      <w:r w:rsidR="006057CC" w:rsidRPr="002B4631">
        <w:rPr>
          <w:rFonts w:ascii="Calibri" w:hAnsi="Calibri" w:cs="Calibri"/>
          <w:sz w:val="22"/>
          <w:szCs w:val="22"/>
          <w:lang w:eastAsia="zh-CN"/>
        </w:rPr>
        <w:fldChar w:fldCharType="end"/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和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2023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12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11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日</w:t>
      </w:r>
      <w:r w:rsidR="006057CC" w:rsidRPr="002B4631">
        <w:rPr>
          <w:rFonts w:ascii="Calibri" w:hAnsi="Calibri" w:cs="Calibri"/>
          <w:sz w:val="22"/>
          <w:szCs w:val="22"/>
          <w:lang w:eastAsia="zh-CN"/>
        </w:rPr>
        <w:fldChar w:fldCharType="begin"/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instrText>HYPERLINK "https://www.itu.int/md/meetingdoc.asp?lang=en&amp;parent=T22-TSB-CIR-0162"</w:instrText>
      </w:r>
      <w:r w:rsidR="006057CC" w:rsidRPr="002B4631">
        <w:rPr>
          <w:rFonts w:ascii="Calibri" w:hAnsi="Calibri" w:cs="Calibri"/>
          <w:sz w:val="22"/>
          <w:szCs w:val="22"/>
          <w:lang w:eastAsia="zh-CN"/>
        </w:rPr>
      </w:r>
      <w:r w:rsidR="006057CC" w:rsidRPr="002B4631">
        <w:rPr>
          <w:rFonts w:ascii="Calibri" w:hAnsi="Calibri" w:cs="Calibri"/>
          <w:sz w:val="22"/>
          <w:szCs w:val="22"/>
          <w:lang w:eastAsia="zh-CN"/>
        </w:rPr>
        <w:fldChar w:fldCharType="separate"/>
      </w:r>
      <w:r w:rsidR="006057CC" w:rsidRPr="002B4631">
        <w:rPr>
          <w:rStyle w:val="Hyperlink"/>
          <w:rFonts w:ascii="Calibri" w:hAnsi="Calibri" w:cs="Calibri" w:hint="eastAsia"/>
          <w:sz w:val="22"/>
          <w:szCs w:val="22"/>
          <w:lang w:eastAsia="zh-CN"/>
        </w:rPr>
        <w:t>电信标准化局第</w:t>
      </w:r>
      <w:r w:rsidR="006057CC" w:rsidRPr="002B4631">
        <w:rPr>
          <w:rStyle w:val="Hyperlink"/>
          <w:rFonts w:ascii="Calibri" w:hAnsi="Calibri" w:cs="Calibri" w:hint="eastAsia"/>
          <w:sz w:val="22"/>
          <w:szCs w:val="22"/>
          <w:lang w:eastAsia="zh-CN"/>
        </w:rPr>
        <w:t>162</w:t>
      </w:r>
      <w:r w:rsidR="006057CC" w:rsidRPr="002B4631">
        <w:rPr>
          <w:rStyle w:val="Hyperlink"/>
          <w:rFonts w:ascii="Calibri" w:hAnsi="Calibri" w:cs="Calibri" w:hint="eastAsia"/>
          <w:sz w:val="22"/>
          <w:szCs w:val="22"/>
          <w:lang w:eastAsia="zh-CN"/>
        </w:rPr>
        <w:t>号通函</w:t>
      </w:r>
      <w:r w:rsidR="006057CC" w:rsidRPr="002B4631">
        <w:rPr>
          <w:rFonts w:ascii="Calibri" w:hAnsi="Calibri" w:cs="Calibri"/>
          <w:sz w:val="22"/>
          <w:szCs w:val="22"/>
          <w:lang w:eastAsia="zh-CN"/>
        </w:rPr>
        <w:fldChar w:fldCharType="end"/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之后，根据第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1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号决议（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2022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年，日内瓦，修订版）第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9.5</w:t>
      </w:r>
      <w:r w:rsidR="003135F6" w:rsidRPr="002B4631">
        <w:rPr>
          <w:rFonts w:ascii="Calibri" w:hAnsi="Calibri" w:cs="Calibri" w:hint="eastAsia"/>
          <w:sz w:val="22"/>
          <w:szCs w:val="22"/>
          <w:lang w:eastAsia="zh-CN"/>
        </w:rPr>
        <w:t>段，我谨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通知您，第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20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研究组</w:t>
      </w:r>
      <w:r w:rsidR="003135F6" w:rsidRPr="002B4631">
        <w:rPr>
          <w:rFonts w:ascii="Calibri" w:hAnsi="Calibri" w:cs="Calibri" w:hint="eastAsia"/>
          <w:sz w:val="22"/>
          <w:szCs w:val="22"/>
          <w:lang w:eastAsia="zh-CN"/>
        </w:rPr>
        <w:t>于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2024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7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1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日和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2024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7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10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日在日内瓦举行的全体会议上就以下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ITU-T</w:t>
      </w:r>
      <w:r w:rsidR="006057CC" w:rsidRPr="002B4631">
        <w:rPr>
          <w:rFonts w:ascii="Calibri" w:hAnsi="Calibri" w:cs="Calibri" w:hint="eastAsia"/>
          <w:sz w:val="22"/>
          <w:szCs w:val="22"/>
          <w:lang w:eastAsia="zh-CN"/>
        </w:rPr>
        <w:t>案文草案做出了以下决定：</w:t>
      </w:r>
      <w:bookmarkEnd w:id="3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4892"/>
        <w:gridCol w:w="2326"/>
      </w:tblGrid>
      <w:tr w:rsidR="00694532" w:rsidRPr="00694532" w14:paraId="6EA3EEC2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3B7993" w14:textId="0E9144A3" w:rsidR="00694532" w:rsidRPr="00694532" w:rsidRDefault="003B49B7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5C5661">
              <w:rPr>
                <w:rFonts w:ascii="Calibri" w:hAnsi="Calibri" w:cs="Calibri"/>
                <w:b/>
                <w:bCs/>
                <w:color w:val="000000"/>
                <w:sz w:val="20"/>
                <w:shd w:val="clear" w:color="auto" w:fill="FFFFFF"/>
              </w:rPr>
              <w:lastRenderedPageBreak/>
              <w:t>编</w:t>
            </w:r>
            <w:r w:rsidRPr="005C5661">
              <w:rPr>
                <w:rFonts w:ascii="Calibri" w:hAnsi="Calibri" w:cs="Calibri" w:hint="eastAsia"/>
                <w:b/>
                <w:bCs/>
                <w:color w:val="000000"/>
                <w:sz w:val="20"/>
                <w:shd w:val="clear" w:color="auto" w:fill="FFFFFF"/>
              </w:rPr>
              <w:t>号</w:t>
            </w:r>
            <w:proofErr w:type="spellEnd"/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B3DF02" w14:textId="5DF84C48" w:rsidR="00694532" w:rsidRPr="00694532" w:rsidRDefault="00091FB7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5C5661">
              <w:rPr>
                <w:rFonts w:ascii="Calibri" w:hAnsi="Calibri" w:cs="Calibri"/>
                <w:b/>
                <w:bCs/>
                <w:color w:val="000000"/>
                <w:sz w:val="20"/>
                <w:shd w:val="clear" w:color="auto" w:fill="FFFFFF"/>
              </w:rPr>
              <w:t>标</w:t>
            </w:r>
            <w:r w:rsidRPr="005C5661">
              <w:rPr>
                <w:rFonts w:ascii="Calibri" w:hAnsi="Calibri" w:cs="Calibri" w:hint="eastAsia"/>
                <w:b/>
                <w:bCs/>
                <w:color w:val="000000"/>
                <w:sz w:val="20"/>
                <w:shd w:val="clear" w:color="auto" w:fill="FFFFFF"/>
              </w:rPr>
              <w:t>题</w:t>
            </w:r>
            <w:proofErr w:type="spellEnd"/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7F2B11" w14:textId="2FE9A18C" w:rsidR="00694532" w:rsidRPr="00694532" w:rsidRDefault="00A042B9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5C5661">
              <w:rPr>
                <w:rFonts w:ascii="Calibri" w:hAnsi="Calibri" w:cs="Calibri"/>
                <w:b/>
                <w:bCs/>
                <w:color w:val="000000"/>
                <w:sz w:val="20"/>
                <w:shd w:val="clear" w:color="auto" w:fill="FFFFFF"/>
              </w:rPr>
              <w:t>决</w:t>
            </w:r>
            <w:r w:rsidRPr="005C5661">
              <w:rPr>
                <w:rFonts w:ascii="Calibri" w:hAnsi="Calibri" w:cs="Calibri" w:hint="eastAsia"/>
                <w:b/>
                <w:bCs/>
                <w:color w:val="000000"/>
                <w:sz w:val="20"/>
                <w:shd w:val="clear" w:color="auto" w:fill="FFFFFF"/>
              </w:rPr>
              <w:t>定</w:t>
            </w:r>
            <w:proofErr w:type="spellEnd"/>
          </w:p>
        </w:tc>
      </w:tr>
      <w:tr w:rsidR="00694532" w:rsidRPr="00694532" w14:paraId="326D9043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9B90023" w14:textId="77777777" w:rsidR="000C30C2" w:rsidRPr="00B04AD6" w:rsidRDefault="00247AD7" w:rsidP="003325B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 w:eastAsia="zh-CN"/>
              </w:rPr>
            </w:pP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ITU-T Y.4487</w:t>
            </w:r>
            <w:r w:rsidR="00435E69"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</w:p>
          <w:p w14:paraId="220B8289" w14:textId="2D8EC8C5" w:rsidR="00247AD7" w:rsidRPr="00694532" w:rsidRDefault="00247AD7" w:rsidP="003325B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（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Y.RMDFS-</w:t>
            </w:r>
            <w:proofErr w:type="spellStart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arch</w:t>
            </w:r>
            <w:proofErr w:type="spellEnd"/>
            <w:r w:rsidRPr="00B04AD6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E9B9790" w14:textId="3FC944B0" w:rsidR="00694532" w:rsidRPr="00694532" w:rsidRDefault="00F11265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自动驾驶车辆路边多传感器数据融合系统功能架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124854" w14:textId="30E75539" w:rsidR="00694532" w:rsidRPr="00694532" w:rsidRDefault="001D217F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已批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准</w:t>
            </w:r>
          </w:p>
        </w:tc>
      </w:tr>
      <w:tr w:rsidR="00694532" w:rsidRPr="00694532" w14:paraId="591F7223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443AB3" w14:textId="4B602684" w:rsidR="00694532" w:rsidRPr="00694532" w:rsidRDefault="00FF6B4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ITU-T Y.4607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  <w:r w:rsidR="00EA5CEE"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br/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Y.DRI-</w:t>
            </w:r>
            <w:proofErr w:type="spellStart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reqts</w:t>
            </w:r>
            <w:proofErr w:type="spellEnd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48CAF22" w14:textId="2AFDCDCD" w:rsidR="00694532" w:rsidRPr="00694532" w:rsidRDefault="004F1C5C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val="en-US" w:eastAsia="zh-CN"/>
              </w:rPr>
              <w:t>自主城市送货机器人的互通要求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CB57630" w14:textId="35BD2B9F" w:rsidR="005C5661" w:rsidRPr="005C5661" w:rsidRDefault="005C566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 w:eastAsia="zh-CN"/>
              </w:rPr>
            </w:pPr>
          </w:p>
          <w:p w14:paraId="6427777A" w14:textId="043B298B" w:rsidR="00694532" w:rsidRPr="00694532" w:rsidRDefault="001D217F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已批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准</w:t>
            </w:r>
          </w:p>
        </w:tc>
      </w:tr>
      <w:tr w:rsidR="00694532" w:rsidRPr="00694532" w14:paraId="52F66B7D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66A9B5B" w14:textId="52523219" w:rsidR="00694532" w:rsidRPr="00694532" w:rsidRDefault="00CF7A00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ITU-T Y.4225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  <w:r w:rsidR="00EA5CEE"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proofErr w:type="spellStart"/>
            <w:proofErr w:type="gramStart"/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Y.dt</w:t>
            </w:r>
            <w:proofErr w:type="spellEnd"/>
            <w:proofErr w:type="gramEnd"/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-ITS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D6C873" w14:textId="6C51F574" w:rsidR="00694532" w:rsidRPr="00694532" w:rsidRDefault="00A07852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智能交通系统数字孪生的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val="en-US" w:eastAsia="zh-CN"/>
              </w:rPr>
              <w:t>要求和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能力框架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7525E3" w14:textId="353F4A47" w:rsidR="005C5661" w:rsidRPr="005C5661" w:rsidRDefault="005C566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 w:eastAsia="zh-CN"/>
              </w:rPr>
            </w:pPr>
          </w:p>
          <w:p w14:paraId="64D4CE2C" w14:textId="6F2271D0" w:rsidR="00694532" w:rsidRPr="00694532" w:rsidRDefault="001D217F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已批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准</w:t>
            </w:r>
          </w:p>
        </w:tc>
      </w:tr>
      <w:tr w:rsidR="00694532" w:rsidRPr="00694532" w14:paraId="713B4A99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2867DC4" w14:textId="0870EFEF" w:rsidR="00997908" w:rsidRPr="00694532" w:rsidRDefault="00997908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ITU-T Y.4221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  <w:r w:rsidR="00CC4BB6"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br/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proofErr w:type="spellStart"/>
            <w:proofErr w:type="gramStart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Y.ElecMon</w:t>
            </w:r>
            <w:proofErr w:type="gramEnd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-Reqts</w:t>
            </w:r>
            <w:proofErr w:type="spellEnd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C939C80" w14:textId="3DCEA6C5" w:rsidR="00694532" w:rsidRPr="00694532" w:rsidRDefault="00575FBA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基于物联网的电力基础设施监控系统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的要求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5FFBDD4" w14:textId="581165A0" w:rsidR="005C5661" w:rsidRPr="005C5661" w:rsidRDefault="005C566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 w:eastAsia="zh-CN"/>
              </w:rPr>
            </w:pPr>
          </w:p>
          <w:p w14:paraId="15E79B3E" w14:textId="063D3AA7" w:rsidR="00694532" w:rsidRPr="00694532" w:rsidRDefault="001D217F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已批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准</w:t>
            </w:r>
          </w:p>
        </w:tc>
      </w:tr>
      <w:tr w:rsidR="00694532" w:rsidRPr="00694532" w14:paraId="162B13AD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AA9CED0" w14:textId="006F2229" w:rsidR="00694532" w:rsidRPr="00694532" w:rsidRDefault="00474569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ITU-T Y.4496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  <w:r w:rsidR="00CC4BB6"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br/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Y.RA-PHE</w:t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6FC586" w14:textId="51CB94B5" w:rsidR="00694532" w:rsidRPr="00694532" w:rsidRDefault="00D55337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公共卫生应急系统智能服务的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要求和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参考架构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8BF335" w14:textId="2E74912E" w:rsidR="00657BD6" w:rsidRPr="005C5661" w:rsidRDefault="00657BD6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DF975DA" w14:textId="28D3C026" w:rsidR="00694532" w:rsidRPr="00694532" w:rsidRDefault="00657BD6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推迟</w:t>
            </w:r>
            <w:r w:rsidR="005A0B10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批准</w:t>
            </w:r>
          </w:p>
        </w:tc>
      </w:tr>
      <w:tr w:rsidR="00694532" w:rsidRPr="00694532" w14:paraId="60274867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D9E817B" w14:textId="7BCA15ED" w:rsidR="00694532" w:rsidRPr="00694532" w:rsidRDefault="0040370D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ITU-T Y.4497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  <w:r w:rsidR="00CC4BB6"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br/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proofErr w:type="spellStart"/>
            <w:proofErr w:type="gramStart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Y.Smart</w:t>
            </w:r>
            <w:proofErr w:type="spellEnd"/>
            <w:proofErr w:type="gramEnd"/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-SBS</w:t>
            </w:r>
            <w:r w:rsidRPr="00B04AD6">
              <w:rPr>
                <w:rFonts w:ascii="Calibri" w:hAnsi="Calibri" w:cs="Calibri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4DA16EA" w14:textId="6F50B8A3" w:rsidR="00694532" w:rsidRPr="00694532" w:rsidRDefault="0007160D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智能共享单车服务的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要求和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功能架构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5F2C8F" w14:textId="48F25452" w:rsidR="005C5661" w:rsidRPr="005C5661" w:rsidRDefault="005C566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 w:eastAsia="zh-CN"/>
              </w:rPr>
            </w:pPr>
          </w:p>
          <w:p w14:paraId="0DADD093" w14:textId="03C8C5F6" w:rsidR="00694532" w:rsidRPr="00694532" w:rsidRDefault="00E538E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已批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准</w:t>
            </w:r>
          </w:p>
        </w:tc>
      </w:tr>
      <w:tr w:rsidR="00694532" w:rsidRPr="00694532" w14:paraId="796D3436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A9DCAFA" w14:textId="77777777" w:rsidR="005A0B10" w:rsidRDefault="00EE1116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ITU-T Y.4498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</w:p>
          <w:p w14:paraId="5E118FAD" w14:textId="673C97F0" w:rsidR="00694532" w:rsidRPr="00B04AD6" w:rsidRDefault="00EE1116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proofErr w:type="spellStart"/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Y.energy</w:t>
            </w:r>
            <w:proofErr w:type="spellEnd"/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-data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C1CE24" w14:textId="1D1BC913" w:rsidR="00694532" w:rsidRPr="00694532" w:rsidRDefault="003C26D0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建筑物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之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间城市级能源数据共享和分析框架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5609F4" w14:textId="1399B9FD" w:rsidR="005C5661" w:rsidRPr="005C5661" w:rsidRDefault="005C566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 w:eastAsia="zh-CN"/>
              </w:rPr>
            </w:pPr>
          </w:p>
          <w:p w14:paraId="400E234E" w14:textId="6013028F" w:rsidR="00694532" w:rsidRPr="00694532" w:rsidRDefault="00E538E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已批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准</w:t>
            </w:r>
          </w:p>
        </w:tc>
      </w:tr>
      <w:tr w:rsidR="00694532" w:rsidRPr="00694532" w14:paraId="1F775E5D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D78E364" w14:textId="32809BCF" w:rsidR="00694532" w:rsidRPr="00B04AD6" w:rsidRDefault="00072098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ITU-T Y.4499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  <w:r w:rsidR="00EA5CEE"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Y.UIM-cs-framework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）</w:t>
            </w:r>
            <w:r w:rsidR="00694532" w:rsidRPr="00B04AD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B86332" w14:textId="626FB68D" w:rsidR="00694532" w:rsidRPr="00694532" w:rsidRDefault="00D402B3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基于众包的城市基础设施监控框架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1768B73" w14:textId="0B80DD7B" w:rsidR="00694532" w:rsidRPr="005C5661" w:rsidRDefault="00694532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9C25659" w14:textId="719AC7B5" w:rsidR="009F2058" w:rsidRPr="00694532" w:rsidRDefault="009F2058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重新确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定</w:t>
            </w:r>
          </w:p>
        </w:tc>
      </w:tr>
      <w:tr w:rsidR="00694532" w:rsidRPr="00694532" w14:paraId="631771C3" w14:textId="77777777" w:rsidTr="00DB56A3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16BDAF2" w14:textId="7B5E4091" w:rsidR="003F31BA" w:rsidRPr="00694532" w:rsidRDefault="003F31BA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0F0F0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ITU-T Y.4488</w:t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建议书</w:t>
            </w:r>
            <w:r w:rsidR="00EA5CEE"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（</w:t>
            </w:r>
            <w:r w:rsidR="005A0B10">
              <w:rPr>
                <w:rFonts w:ascii="Calibri" w:hAnsi="Calibri" w:cs="Calibri"/>
                <w:sz w:val="22"/>
                <w:szCs w:val="22"/>
                <w:lang w:eastAsia="zh-CN"/>
              </w:rPr>
              <w:t>原</w:t>
            </w:r>
            <w:proofErr w:type="spellStart"/>
            <w:proofErr w:type="gramStart"/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Y.IoT</w:t>
            </w:r>
            <w:proofErr w:type="spellEnd"/>
            <w:proofErr w:type="gramEnd"/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-SPWE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BB427D" w14:textId="1521BD67" w:rsidR="00694532" w:rsidRPr="00694532" w:rsidRDefault="000B228A" w:rsidP="0069453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基于众包的城市基础设施监控框架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C48E4B6" w14:textId="69BD5E7F" w:rsidR="00694532" w:rsidRPr="005C5661" w:rsidRDefault="00694532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 w:eastAsia="zh-CN"/>
              </w:rPr>
            </w:pPr>
          </w:p>
          <w:p w14:paraId="67F2A7AC" w14:textId="437AFB99" w:rsidR="005C5661" w:rsidRPr="00694532" w:rsidRDefault="005C5661" w:rsidP="00694532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C5661">
              <w:rPr>
                <w:rFonts w:ascii="Calibri" w:hAnsi="Calibri" w:cs="Calibri"/>
                <w:sz w:val="22"/>
                <w:szCs w:val="22"/>
                <w:lang w:eastAsia="zh-CN"/>
              </w:rPr>
              <w:t>已批</w:t>
            </w:r>
            <w:r w:rsidRPr="005C566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准</w:t>
            </w:r>
          </w:p>
        </w:tc>
      </w:tr>
    </w:tbl>
    <w:p w14:paraId="15741E7C" w14:textId="6D21BA05" w:rsidR="00694532" w:rsidRPr="00694532" w:rsidRDefault="00694532" w:rsidP="001723CA">
      <w:pPr>
        <w:rPr>
          <w:rFonts w:ascii="Times New Roman" w:hAnsi="Times New Roman"/>
          <w:sz w:val="22"/>
          <w:szCs w:val="22"/>
          <w:lang w:eastAsia="zh-CN"/>
        </w:rPr>
      </w:pPr>
      <w:r w:rsidRPr="00694532">
        <w:rPr>
          <w:rFonts w:ascii="Calibri" w:eastAsia="Times New Roman" w:hAnsi="Calibri" w:cs="Calibri"/>
          <w:sz w:val="22"/>
          <w:szCs w:val="22"/>
          <w:lang w:eastAsia="zh-CN"/>
        </w:rPr>
        <w:t>2</w:t>
      </w:r>
      <w:r w:rsidRPr="00694532">
        <w:rPr>
          <w:rFonts w:ascii="Calibri" w:eastAsia="Times New Roman" w:hAnsi="Calibri" w:cs="Calibri"/>
          <w:sz w:val="22"/>
          <w:szCs w:val="22"/>
          <w:lang w:eastAsia="zh-CN"/>
        </w:rPr>
        <w:tab/>
      </w:r>
      <w:r w:rsidR="00EC3018" w:rsidRPr="00BE7280">
        <w:rPr>
          <w:rFonts w:ascii="Times New Roman" w:hAnsi="Times New Roman"/>
          <w:sz w:val="22"/>
          <w:szCs w:val="22"/>
          <w:lang w:eastAsia="zh-CN"/>
        </w:rPr>
        <w:t>通过</w:t>
      </w:r>
      <w:hyperlink r:id="rId10" w:history="1">
        <w:r w:rsidR="001723CA" w:rsidRPr="00BE7280">
          <w:rPr>
            <w:rFonts w:ascii="Calibri" w:hAnsi="Calibri" w:cs="Calibri"/>
            <w:color w:val="0000FF"/>
            <w:sz w:val="22"/>
            <w:szCs w:val="22"/>
            <w:u w:val="single"/>
            <w:lang w:eastAsia="zh-CN"/>
          </w:rPr>
          <w:t>ITU-T</w:t>
        </w:r>
        <w:r w:rsidR="001723CA" w:rsidRPr="00BE7280">
          <w:rPr>
            <w:rFonts w:ascii="Calibri" w:hAnsi="Calibri" w:cs="Calibri" w:hint="eastAsia"/>
            <w:color w:val="0000FF"/>
            <w:sz w:val="22"/>
            <w:szCs w:val="22"/>
            <w:u w:val="single"/>
            <w:lang w:eastAsia="zh-CN"/>
          </w:rPr>
          <w:t>网站</w:t>
        </w:r>
      </w:hyperlink>
      <w:r w:rsidR="00EC3018" w:rsidRPr="00BE7280">
        <w:rPr>
          <w:rFonts w:ascii="Times New Roman" w:hAnsi="Times New Roman"/>
          <w:sz w:val="22"/>
          <w:szCs w:val="22"/>
          <w:lang w:eastAsia="zh-CN"/>
        </w:rPr>
        <w:t>可以在线获取已公布的专利信息。</w:t>
      </w:r>
      <w:r w:rsidR="00EC3018" w:rsidRPr="00BE7280">
        <w:rPr>
          <w:rFonts w:ascii="Times New Roman" w:hAnsi="Times New Roman"/>
          <w:sz w:val="22"/>
          <w:szCs w:val="22"/>
          <w:lang w:eastAsia="zh-CN"/>
        </w:rPr>
        <w:t> </w:t>
      </w:r>
    </w:p>
    <w:p w14:paraId="22C229F4" w14:textId="77002284" w:rsidR="00694532" w:rsidRPr="00694532" w:rsidRDefault="00694532" w:rsidP="00694532">
      <w:pPr>
        <w:rPr>
          <w:rFonts w:ascii="Times New Roman" w:hAnsi="Times New Roman"/>
          <w:sz w:val="22"/>
          <w:szCs w:val="22"/>
          <w:lang w:eastAsia="zh-CN"/>
        </w:rPr>
      </w:pPr>
      <w:r w:rsidRPr="00694532">
        <w:rPr>
          <w:rFonts w:ascii="Calibri" w:eastAsia="Times New Roman" w:hAnsi="Calibri" w:cs="Calibri"/>
          <w:sz w:val="22"/>
          <w:szCs w:val="22"/>
        </w:rPr>
        <w:t>3</w:t>
      </w:r>
      <w:r w:rsidRPr="00694532">
        <w:rPr>
          <w:rFonts w:ascii="Calibri" w:eastAsia="Times New Roman" w:hAnsi="Calibri" w:cs="Calibri"/>
          <w:sz w:val="22"/>
          <w:szCs w:val="22"/>
        </w:rPr>
        <w:tab/>
      </w:r>
      <w:r w:rsidR="00AB22E4" w:rsidRPr="00BE7280">
        <w:rPr>
          <w:rFonts w:ascii="Times New Roman" w:hAnsi="Times New Roman"/>
          <w:sz w:val="22"/>
          <w:szCs w:val="22"/>
          <w:lang w:eastAsia="zh-CN"/>
        </w:rPr>
        <w:t>ITU-T</w:t>
      </w:r>
      <w:r w:rsidR="00AB22E4" w:rsidRPr="00BE7280">
        <w:rPr>
          <w:rFonts w:ascii="Times New Roman" w:hAnsi="Times New Roman"/>
          <w:sz w:val="22"/>
          <w:szCs w:val="22"/>
          <w:lang w:eastAsia="zh-CN"/>
        </w:rPr>
        <w:t>网站</w:t>
      </w:r>
      <w:hyperlink r:id="rId11" w:history="1">
        <w:r w:rsidR="00BC6AB9" w:rsidRPr="00694532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zh-CN"/>
          </w:rPr>
          <w:t>https://www.itu.int/itu-t/recommendations/</w:t>
        </w:r>
      </w:hyperlink>
      <w:r w:rsidR="00AB22E4" w:rsidRPr="00BE7280">
        <w:rPr>
          <w:rFonts w:ascii="Times New Roman" w:hAnsi="Times New Roman"/>
          <w:sz w:val="22"/>
          <w:szCs w:val="22"/>
          <w:lang w:eastAsia="zh-CN"/>
        </w:rPr>
        <w:t>将提供这些建议书的预出版案文</w:t>
      </w:r>
      <w:r w:rsidR="00AB22E4" w:rsidRPr="00BE7280">
        <w:rPr>
          <w:rFonts w:ascii="Times New Roman" w:hAnsi="Times New Roman" w:hint="eastAsia"/>
          <w:sz w:val="22"/>
          <w:szCs w:val="22"/>
          <w:lang w:eastAsia="zh-CN"/>
        </w:rPr>
        <w:t>。</w:t>
      </w:r>
    </w:p>
    <w:p w14:paraId="0DD0443E" w14:textId="65BAB707" w:rsidR="00694532" w:rsidRPr="00694532" w:rsidRDefault="00694532" w:rsidP="00694532">
      <w:pPr>
        <w:rPr>
          <w:rFonts w:ascii="Calibri" w:eastAsia="Times New Roman" w:hAnsi="Calibri" w:cs="Calibri"/>
          <w:sz w:val="22"/>
          <w:szCs w:val="22"/>
          <w:lang w:eastAsia="zh-CN"/>
        </w:rPr>
      </w:pPr>
      <w:r w:rsidRPr="00694532">
        <w:rPr>
          <w:rFonts w:ascii="Calibri" w:eastAsia="Times New Roman" w:hAnsi="Calibri" w:cs="Calibri"/>
          <w:sz w:val="22"/>
          <w:szCs w:val="22"/>
          <w:lang w:eastAsia="zh-CN"/>
        </w:rPr>
        <w:t>4</w:t>
      </w:r>
      <w:r w:rsidRPr="00694532">
        <w:rPr>
          <w:rFonts w:ascii="Calibri" w:eastAsia="Times New Roman" w:hAnsi="Calibri" w:cs="Calibri"/>
          <w:sz w:val="22"/>
          <w:szCs w:val="22"/>
          <w:lang w:eastAsia="zh-CN"/>
        </w:rPr>
        <w:tab/>
      </w:r>
      <w:r w:rsidR="00BE7280" w:rsidRPr="00BE7280">
        <w:rPr>
          <w:rFonts w:ascii="Times New Roman" w:hAnsi="Times New Roman"/>
          <w:sz w:val="22"/>
          <w:szCs w:val="22"/>
          <w:lang w:eastAsia="zh-CN"/>
        </w:rPr>
        <w:t>国际电联将尽快出版这些已批准的建议书案文</w:t>
      </w:r>
      <w:r w:rsidR="00BE7280" w:rsidRPr="00BE7280">
        <w:rPr>
          <w:rFonts w:ascii="Times New Roman" w:hAnsi="Times New Roman" w:hint="eastAsia"/>
          <w:sz w:val="22"/>
          <w:szCs w:val="22"/>
          <w:lang w:eastAsia="zh-CN"/>
        </w:rPr>
        <w:t>。</w:t>
      </w:r>
    </w:p>
    <w:p w14:paraId="38713D27" w14:textId="1B2F9DA1" w:rsidR="004A714A" w:rsidRPr="00BE7280" w:rsidRDefault="004A714A" w:rsidP="004A714A">
      <w:pPr>
        <w:spacing w:before="240"/>
        <w:rPr>
          <w:sz w:val="22"/>
          <w:szCs w:val="22"/>
          <w:lang w:eastAsia="zh-CN"/>
        </w:rPr>
      </w:pPr>
      <w:r w:rsidRPr="00BE7280">
        <w:rPr>
          <w:rFonts w:hint="eastAsia"/>
          <w:sz w:val="22"/>
          <w:szCs w:val="22"/>
          <w:lang w:eastAsia="zh-CN"/>
        </w:rPr>
        <w:t>顺致敬意！</w:t>
      </w:r>
    </w:p>
    <w:p w14:paraId="24135A76" w14:textId="06EA1DDF" w:rsidR="004A714A" w:rsidRPr="00BE7280" w:rsidRDefault="000D7C30" w:rsidP="00B04AD6">
      <w:pPr>
        <w:spacing w:before="840"/>
        <w:rPr>
          <w:sz w:val="22"/>
          <w:szCs w:val="22"/>
          <w:lang w:eastAsia="zh-CN"/>
        </w:rPr>
      </w:pPr>
      <w:r>
        <w:rPr>
          <w:rFonts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8D308C1" wp14:editId="0EFAD0DD">
            <wp:simplePos x="0" y="0"/>
            <wp:positionH relativeFrom="column">
              <wp:posOffset>3810</wp:posOffset>
            </wp:positionH>
            <wp:positionV relativeFrom="paragraph">
              <wp:posOffset>94615</wp:posOffset>
            </wp:positionV>
            <wp:extent cx="912790" cy="342900"/>
            <wp:effectExtent l="0" t="0" r="1905" b="0"/>
            <wp:wrapNone/>
            <wp:docPr id="1910684516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84516" name="Picture 1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14A" w:rsidRPr="00BE7280">
        <w:rPr>
          <w:rFonts w:hint="eastAsia"/>
          <w:sz w:val="22"/>
          <w:szCs w:val="22"/>
          <w:lang w:eastAsia="zh-CN"/>
        </w:rPr>
        <w:t>电信标准化局主任</w:t>
      </w:r>
    </w:p>
    <w:p w14:paraId="15823491" w14:textId="66DB521D" w:rsidR="004A714A" w:rsidRPr="00BE7280" w:rsidRDefault="004A714A" w:rsidP="004A714A">
      <w:pPr>
        <w:rPr>
          <w:rFonts w:ascii="Calibri" w:hAnsi="Calibri" w:cs="Calibri"/>
          <w:sz w:val="22"/>
          <w:szCs w:val="22"/>
          <w:lang w:eastAsia="zh-CN"/>
        </w:rPr>
      </w:pPr>
      <w:r w:rsidRPr="00BE7280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4A714A" w:rsidRPr="00BE7280">
      <w:headerReference w:type="default" r:id="rId13"/>
      <w:footerReference w:type="first" r:id="rId14"/>
      <w:pgSz w:w="11907" w:h="16840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7BC5" w14:textId="77777777" w:rsidR="002B4484" w:rsidRDefault="002B4484">
      <w:pPr>
        <w:spacing w:before="0"/>
      </w:pPr>
      <w:r>
        <w:separator/>
      </w:r>
    </w:p>
  </w:endnote>
  <w:endnote w:type="continuationSeparator" w:id="0">
    <w:p w14:paraId="15EE913A" w14:textId="77777777" w:rsidR="002B4484" w:rsidRDefault="002B44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C75E" w14:textId="77777777" w:rsidR="00205959" w:rsidRDefault="00F019AB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AF0E" w14:textId="77777777" w:rsidR="002B4484" w:rsidRDefault="002B4484">
      <w:pPr>
        <w:spacing w:before="0"/>
      </w:pPr>
      <w:r>
        <w:separator/>
      </w:r>
    </w:p>
  </w:footnote>
  <w:footnote w:type="continuationSeparator" w:id="0">
    <w:p w14:paraId="4843A8C8" w14:textId="77777777" w:rsidR="002B4484" w:rsidRDefault="002B44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B7A1" w14:textId="77777777" w:rsidR="00205959" w:rsidRDefault="00F019AB">
    <w:pPr>
      <w:pStyle w:val="Header"/>
      <w:rPr>
        <w:sz w:val="18"/>
        <w:szCs w:val="16"/>
        <w:lang w:eastAsia="zh-CN"/>
      </w:rPr>
    </w:pPr>
    <w:r>
      <w:rPr>
        <w:sz w:val="18"/>
        <w:szCs w:val="16"/>
        <w:lang w:eastAsia="zh-CN"/>
      </w:rPr>
      <w:t xml:space="preserve">- </w:t>
    </w:r>
    <w:r>
      <w:rPr>
        <w:sz w:val="18"/>
        <w:szCs w:val="16"/>
      </w:rPr>
      <w:fldChar w:fldCharType="begin"/>
    </w:r>
    <w:r>
      <w:rPr>
        <w:sz w:val="18"/>
        <w:szCs w:val="16"/>
        <w:lang w:eastAsia="zh-CN"/>
      </w:rPr>
      <w:instrText>PAGE</w:instrText>
    </w:r>
    <w:r>
      <w:rPr>
        <w:sz w:val="18"/>
        <w:szCs w:val="16"/>
      </w:rPr>
      <w:fldChar w:fldCharType="separate"/>
    </w:r>
    <w:r>
      <w:rPr>
        <w:sz w:val="18"/>
        <w:szCs w:val="16"/>
        <w:lang w:eastAsia="zh-CN"/>
      </w:rPr>
      <w:t>2</w:t>
    </w:r>
    <w:r>
      <w:rPr>
        <w:sz w:val="18"/>
        <w:szCs w:val="16"/>
      </w:rPr>
      <w:fldChar w:fldCharType="end"/>
    </w:r>
    <w:r>
      <w:rPr>
        <w:sz w:val="18"/>
        <w:szCs w:val="16"/>
        <w:lang w:eastAsia="zh-CN"/>
      </w:rPr>
      <w:t xml:space="preserve"> -</w:t>
    </w:r>
  </w:p>
  <w:p w14:paraId="4E7D6C69" w14:textId="4A3B57ED" w:rsidR="00205959" w:rsidRDefault="00F019AB">
    <w:pPr>
      <w:spacing w:before="0"/>
      <w:jc w:val="center"/>
      <w:rPr>
        <w:sz w:val="18"/>
        <w:lang w:eastAsia="zh-CN"/>
      </w:rPr>
    </w:pPr>
    <w:r>
      <w:rPr>
        <w:rFonts w:hint="eastAsia"/>
        <w:sz w:val="18"/>
        <w:lang w:eastAsia="zh-CN"/>
      </w:rPr>
      <w:t>电信标准化局第</w:t>
    </w:r>
    <w:r w:rsidR="000B228A">
      <w:rPr>
        <w:sz w:val="18"/>
        <w:lang w:eastAsia="zh-CN"/>
      </w:rPr>
      <w:t>2</w:t>
    </w:r>
    <w:r w:rsidR="003A20F0">
      <w:rPr>
        <w:rFonts w:hint="eastAsia"/>
        <w:sz w:val="18"/>
        <w:lang w:eastAsia="zh-CN"/>
      </w:rPr>
      <w:t>1</w:t>
    </w:r>
    <w:r w:rsidR="000B228A">
      <w:rPr>
        <w:sz w:val="18"/>
        <w:lang w:eastAsia="zh-CN"/>
      </w:rPr>
      <w:t>8</w:t>
    </w:r>
    <w:r>
      <w:rPr>
        <w:rFonts w:hint="eastAsia"/>
        <w:sz w:val="18"/>
        <w:lang w:eastAsia="zh-CN"/>
      </w:rPr>
      <w:t>号通函</w:t>
    </w:r>
  </w:p>
  <w:p w14:paraId="5365E0CF" w14:textId="77777777" w:rsidR="00E03729" w:rsidRDefault="00E03729">
    <w:pPr>
      <w:spacing w:before="0"/>
      <w:jc w:val="center"/>
      <w:rPr>
        <w:sz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104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6C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F64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CE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D21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0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63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04F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42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536359">
    <w:abstractNumId w:val="9"/>
  </w:num>
  <w:num w:numId="2" w16cid:durableId="1778863760">
    <w:abstractNumId w:val="7"/>
  </w:num>
  <w:num w:numId="3" w16cid:durableId="1923559778">
    <w:abstractNumId w:val="6"/>
  </w:num>
  <w:num w:numId="4" w16cid:durableId="656423748">
    <w:abstractNumId w:val="5"/>
  </w:num>
  <w:num w:numId="5" w16cid:durableId="1312178229">
    <w:abstractNumId w:val="4"/>
  </w:num>
  <w:num w:numId="6" w16cid:durableId="1067917711">
    <w:abstractNumId w:val="8"/>
  </w:num>
  <w:num w:numId="7" w16cid:durableId="107745451">
    <w:abstractNumId w:val="3"/>
  </w:num>
  <w:num w:numId="8" w16cid:durableId="608514588">
    <w:abstractNumId w:val="2"/>
  </w:num>
  <w:num w:numId="9" w16cid:durableId="623389943">
    <w:abstractNumId w:val="1"/>
  </w:num>
  <w:num w:numId="10" w16cid:durableId="18607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39284F"/>
    <w:rsid w:val="00004390"/>
    <w:rsid w:val="00004632"/>
    <w:rsid w:val="00007526"/>
    <w:rsid w:val="00027EE3"/>
    <w:rsid w:val="0007160D"/>
    <w:rsid w:val="00072098"/>
    <w:rsid w:val="00081BA5"/>
    <w:rsid w:val="00090E72"/>
    <w:rsid w:val="00091FB7"/>
    <w:rsid w:val="00094C0B"/>
    <w:rsid w:val="000A2484"/>
    <w:rsid w:val="000B228A"/>
    <w:rsid w:val="000C30C2"/>
    <w:rsid w:val="000C51ED"/>
    <w:rsid w:val="000D7C30"/>
    <w:rsid w:val="00114E62"/>
    <w:rsid w:val="00117471"/>
    <w:rsid w:val="00124B7E"/>
    <w:rsid w:val="00160A43"/>
    <w:rsid w:val="001723CA"/>
    <w:rsid w:val="0018480E"/>
    <w:rsid w:val="00191798"/>
    <w:rsid w:val="001A5153"/>
    <w:rsid w:val="001D217F"/>
    <w:rsid w:val="001D6E70"/>
    <w:rsid w:val="001E079D"/>
    <w:rsid w:val="001F2553"/>
    <w:rsid w:val="00201462"/>
    <w:rsid w:val="00205959"/>
    <w:rsid w:val="00234A9B"/>
    <w:rsid w:val="00247AD7"/>
    <w:rsid w:val="00282732"/>
    <w:rsid w:val="00284869"/>
    <w:rsid w:val="002B01EE"/>
    <w:rsid w:val="002B4484"/>
    <w:rsid w:val="002B4631"/>
    <w:rsid w:val="002B50AE"/>
    <w:rsid w:val="002D2024"/>
    <w:rsid w:val="002E05E3"/>
    <w:rsid w:val="002E2503"/>
    <w:rsid w:val="00303A2A"/>
    <w:rsid w:val="003064AD"/>
    <w:rsid w:val="003135F6"/>
    <w:rsid w:val="00316391"/>
    <w:rsid w:val="003325BE"/>
    <w:rsid w:val="00334A24"/>
    <w:rsid w:val="00344408"/>
    <w:rsid w:val="0035674D"/>
    <w:rsid w:val="0038630E"/>
    <w:rsid w:val="0039284F"/>
    <w:rsid w:val="003A20F0"/>
    <w:rsid w:val="003B49B7"/>
    <w:rsid w:val="003C26D0"/>
    <w:rsid w:val="003F1CCA"/>
    <w:rsid w:val="003F31BA"/>
    <w:rsid w:val="0040370D"/>
    <w:rsid w:val="00435E69"/>
    <w:rsid w:val="0044255C"/>
    <w:rsid w:val="00451966"/>
    <w:rsid w:val="00464015"/>
    <w:rsid w:val="00474569"/>
    <w:rsid w:val="00486359"/>
    <w:rsid w:val="004A714A"/>
    <w:rsid w:val="004C241D"/>
    <w:rsid w:val="004C6347"/>
    <w:rsid w:val="004C7BE1"/>
    <w:rsid w:val="004F08A9"/>
    <w:rsid w:val="004F1C5C"/>
    <w:rsid w:val="00512B41"/>
    <w:rsid w:val="00516807"/>
    <w:rsid w:val="00575FBA"/>
    <w:rsid w:val="00590119"/>
    <w:rsid w:val="00595F91"/>
    <w:rsid w:val="005A0B10"/>
    <w:rsid w:val="005C26FD"/>
    <w:rsid w:val="005C5661"/>
    <w:rsid w:val="005E1C1B"/>
    <w:rsid w:val="005F4342"/>
    <w:rsid w:val="006052C7"/>
    <w:rsid w:val="006057CC"/>
    <w:rsid w:val="00624E27"/>
    <w:rsid w:val="00627AE8"/>
    <w:rsid w:val="0063445E"/>
    <w:rsid w:val="00655379"/>
    <w:rsid w:val="00657BD6"/>
    <w:rsid w:val="0067438F"/>
    <w:rsid w:val="00684810"/>
    <w:rsid w:val="00694532"/>
    <w:rsid w:val="006B463C"/>
    <w:rsid w:val="006D0014"/>
    <w:rsid w:val="006D22B1"/>
    <w:rsid w:val="006D42C6"/>
    <w:rsid w:val="006E14B5"/>
    <w:rsid w:val="007019A6"/>
    <w:rsid w:val="00720F32"/>
    <w:rsid w:val="007365E5"/>
    <w:rsid w:val="00740F09"/>
    <w:rsid w:val="007568DA"/>
    <w:rsid w:val="007603A9"/>
    <w:rsid w:val="00772BD4"/>
    <w:rsid w:val="00777397"/>
    <w:rsid w:val="007A21CB"/>
    <w:rsid w:val="007B645F"/>
    <w:rsid w:val="007E61EB"/>
    <w:rsid w:val="007F608E"/>
    <w:rsid w:val="00841612"/>
    <w:rsid w:val="0084436D"/>
    <w:rsid w:val="008475BC"/>
    <w:rsid w:val="008526B0"/>
    <w:rsid w:val="00872D28"/>
    <w:rsid w:val="0087344F"/>
    <w:rsid w:val="0088584E"/>
    <w:rsid w:val="00891A70"/>
    <w:rsid w:val="008A776E"/>
    <w:rsid w:val="008B2BDA"/>
    <w:rsid w:val="008B3BA5"/>
    <w:rsid w:val="008D53BB"/>
    <w:rsid w:val="009128F1"/>
    <w:rsid w:val="009205F9"/>
    <w:rsid w:val="00930149"/>
    <w:rsid w:val="009424FC"/>
    <w:rsid w:val="00943BC5"/>
    <w:rsid w:val="00956D38"/>
    <w:rsid w:val="009703C8"/>
    <w:rsid w:val="009727EA"/>
    <w:rsid w:val="00974486"/>
    <w:rsid w:val="00997908"/>
    <w:rsid w:val="009B37E1"/>
    <w:rsid w:val="009C2FF6"/>
    <w:rsid w:val="009D0198"/>
    <w:rsid w:val="009F2058"/>
    <w:rsid w:val="00A042B9"/>
    <w:rsid w:val="00A074C2"/>
    <w:rsid w:val="00A07852"/>
    <w:rsid w:val="00A1090D"/>
    <w:rsid w:val="00A16AB0"/>
    <w:rsid w:val="00A55D76"/>
    <w:rsid w:val="00A816B7"/>
    <w:rsid w:val="00A850DB"/>
    <w:rsid w:val="00AA099B"/>
    <w:rsid w:val="00AA268F"/>
    <w:rsid w:val="00AA3151"/>
    <w:rsid w:val="00AB22E4"/>
    <w:rsid w:val="00AE7F00"/>
    <w:rsid w:val="00B01F79"/>
    <w:rsid w:val="00B04AD6"/>
    <w:rsid w:val="00B16D68"/>
    <w:rsid w:val="00B56B75"/>
    <w:rsid w:val="00B9440F"/>
    <w:rsid w:val="00BB5392"/>
    <w:rsid w:val="00BC23A6"/>
    <w:rsid w:val="00BC6AB9"/>
    <w:rsid w:val="00BC7AEE"/>
    <w:rsid w:val="00BE339D"/>
    <w:rsid w:val="00BE7280"/>
    <w:rsid w:val="00C03E87"/>
    <w:rsid w:val="00C6016A"/>
    <w:rsid w:val="00C7008A"/>
    <w:rsid w:val="00C82CBF"/>
    <w:rsid w:val="00C916ED"/>
    <w:rsid w:val="00C92D14"/>
    <w:rsid w:val="00CA56F4"/>
    <w:rsid w:val="00CB2FBD"/>
    <w:rsid w:val="00CC4BB6"/>
    <w:rsid w:val="00CC50C4"/>
    <w:rsid w:val="00CF7A00"/>
    <w:rsid w:val="00D10F59"/>
    <w:rsid w:val="00D160FF"/>
    <w:rsid w:val="00D16F47"/>
    <w:rsid w:val="00D2501B"/>
    <w:rsid w:val="00D25C4A"/>
    <w:rsid w:val="00D34BFE"/>
    <w:rsid w:val="00D34F86"/>
    <w:rsid w:val="00D402B3"/>
    <w:rsid w:val="00D55337"/>
    <w:rsid w:val="00D72750"/>
    <w:rsid w:val="00D8656A"/>
    <w:rsid w:val="00DB3EEE"/>
    <w:rsid w:val="00DB56A3"/>
    <w:rsid w:val="00DC15B6"/>
    <w:rsid w:val="00E03729"/>
    <w:rsid w:val="00E12462"/>
    <w:rsid w:val="00E27662"/>
    <w:rsid w:val="00E30D9A"/>
    <w:rsid w:val="00E35907"/>
    <w:rsid w:val="00E40492"/>
    <w:rsid w:val="00E41E39"/>
    <w:rsid w:val="00E42926"/>
    <w:rsid w:val="00E47AFF"/>
    <w:rsid w:val="00E538E1"/>
    <w:rsid w:val="00E63100"/>
    <w:rsid w:val="00E743C9"/>
    <w:rsid w:val="00EA5CEE"/>
    <w:rsid w:val="00EC3018"/>
    <w:rsid w:val="00EE1116"/>
    <w:rsid w:val="00F019AB"/>
    <w:rsid w:val="00F03D07"/>
    <w:rsid w:val="00F07A3C"/>
    <w:rsid w:val="00F11265"/>
    <w:rsid w:val="00F346AB"/>
    <w:rsid w:val="00F563BD"/>
    <w:rsid w:val="00F9383A"/>
    <w:rsid w:val="00FB35F9"/>
    <w:rsid w:val="00FF6B41"/>
    <w:rsid w:val="065C6A51"/>
    <w:rsid w:val="091A1C52"/>
    <w:rsid w:val="0AB6328D"/>
    <w:rsid w:val="0D660F9A"/>
    <w:rsid w:val="15001278"/>
    <w:rsid w:val="1E0102F8"/>
    <w:rsid w:val="211865F8"/>
    <w:rsid w:val="26CF03A3"/>
    <w:rsid w:val="383C4C3F"/>
    <w:rsid w:val="40ED6D01"/>
    <w:rsid w:val="42CD0B98"/>
    <w:rsid w:val="444E18F2"/>
    <w:rsid w:val="467B090B"/>
    <w:rsid w:val="55A705EB"/>
    <w:rsid w:val="592D1E2E"/>
    <w:rsid w:val="59307500"/>
    <w:rsid w:val="5B46568E"/>
    <w:rsid w:val="65F443E2"/>
    <w:rsid w:val="68926A83"/>
    <w:rsid w:val="6C2A06CA"/>
    <w:rsid w:val="6E0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DDB9D"/>
  <w15:docId w15:val="{1C6FC64E-2517-400A-954E-C173C8FF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qFormat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styleId="Footer">
    <w:name w:val="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autoRedefine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Index1">
    <w:name w:val="index 1"/>
    <w:basedOn w:val="Normal"/>
    <w:next w:val="Normal"/>
    <w:autoRedefine/>
    <w:semiHidden/>
    <w:qFormat/>
  </w:style>
  <w:style w:type="table" w:styleId="TableGrid">
    <w:name w:val="Table Grid"/>
    <w:basedOn w:val="Table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autoRedefine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  <w:style w:type="paragraph" w:customStyle="1" w:styleId="FigureLegend">
    <w:name w:val="Figure_Legend"/>
    <w:basedOn w:val="Normal"/>
    <w:autoRedefine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rstFooter">
    <w:name w:val="FirstFooter"/>
    <w:basedOn w:val="Footer"/>
    <w:autoRedefine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autoRedefine/>
    <w:qFormat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autoRedefine/>
    <w:qFormat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Futura Lt BT" w:hAnsi="Futura Lt BT"/>
      <w:sz w:val="18"/>
      <w:lang w:val="fr-FR" w:eastAsia="en-US"/>
    </w:rPr>
  </w:style>
  <w:style w:type="character" w:customStyle="1" w:styleId="TabletextChar">
    <w:name w:val="Table_text Char"/>
    <w:link w:val="Tabletext"/>
    <w:qFormat/>
    <w:locked/>
    <w:rPr>
      <w:rFonts w:ascii="Calibri" w:hAnsi="Calibri"/>
      <w:sz w:val="21"/>
      <w:szCs w:val="10"/>
    </w:rPr>
  </w:style>
  <w:style w:type="paragraph" w:customStyle="1" w:styleId="AnnexTitle0">
    <w:name w:val="Annex_Title"/>
    <w:basedOn w:val="Normal"/>
    <w:next w:val="Normal"/>
    <w:rsid w:val="0018480E"/>
    <w:pPr>
      <w:keepNext/>
      <w:keepLines/>
      <w:spacing w:before="240" w:after="280"/>
      <w:jc w:val="center"/>
    </w:pPr>
    <w:rPr>
      <w:rFonts w:eastAsia="Times New Roman"/>
      <w:b/>
      <w:lang w:val="es-ES_tradnl"/>
    </w:rPr>
  </w:style>
  <w:style w:type="paragraph" w:customStyle="1" w:styleId="Headingb">
    <w:name w:val="Heading_b"/>
    <w:basedOn w:val="Normal"/>
    <w:next w:val="Normal"/>
    <w:rsid w:val="00114E62"/>
    <w:pPr>
      <w:keepNext/>
      <w:spacing w:before="160"/>
    </w:pPr>
    <w:rPr>
      <w:rFonts w:eastAsia="Times New Roman"/>
      <w:b/>
      <w:lang w:val="es-ES_tradnl"/>
    </w:rPr>
  </w:style>
  <w:style w:type="paragraph" w:customStyle="1" w:styleId="AnnexNotitle">
    <w:name w:val="Annex_No &amp; title"/>
    <w:basedOn w:val="Normal"/>
    <w:next w:val="Normal"/>
    <w:rsid w:val="00F019AB"/>
    <w:pPr>
      <w:keepNext/>
      <w:keepLines/>
      <w:spacing w:before="480"/>
      <w:jc w:val="center"/>
    </w:pPr>
    <w:rPr>
      <w:rFonts w:eastAsia="Times New Roman"/>
      <w:b/>
      <w:sz w:val="28"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60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D4204-8B02-480F-A868-6F677F2F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13</TotalTime>
  <Pages>2</Pages>
  <Words>698</Words>
  <Characters>951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Braud, Olivia</cp:lastModifiedBy>
  <cp:revision>6</cp:revision>
  <cp:lastPrinted>2024-08-19T09:36:00Z</cp:lastPrinted>
  <dcterms:created xsi:type="dcterms:W3CDTF">2024-07-19T08:32:00Z</dcterms:created>
  <dcterms:modified xsi:type="dcterms:W3CDTF">2024-08-19T09:36:00Z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FCF0E1440C0E46508D7595B309C1F339_12</vt:lpwstr>
  </property>
</Properties>
</file>