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A67AEA8" w14:textId="77777777" w:rsidTr="00D517B2">
        <w:trPr>
          <w:cantSplit/>
          <w:trHeight w:val="1134"/>
        </w:trPr>
        <w:tc>
          <w:tcPr>
            <w:tcW w:w="798" w:type="pct"/>
          </w:tcPr>
          <w:p w14:paraId="2955F106" w14:textId="77777777" w:rsidR="00D517B2" w:rsidRPr="00D517B2" w:rsidRDefault="00D517B2" w:rsidP="00D517B2">
            <w:pPr>
              <w:spacing w:before="0" w:line="240" w:lineRule="auto"/>
              <w:rPr>
                <w:b/>
                <w:bCs/>
                <w:rtl/>
                <w:lang w:bidi="ar-EG"/>
              </w:rPr>
            </w:pPr>
            <w:r w:rsidRPr="00D517B2">
              <w:rPr>
                <w:noProof/>
              </w:rPr>
              <w:drawing>
                <wp:inline distT="0" distB="0" distL="0" distR="0" wp14:anchorId="641D4384" wp14:editId="51B4058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10C4BB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FC2ACB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281"/>
        <w:gridCol w:w="4823"/>
      </w:tblGrid>
      <w:tr w:rsidR="00D517B2" w:rsidRPr="00D517B2" w14:paraId="77D2DB2E" w14:textId="77777777" w:rsidTr="00B509EC">
        <w:trPr>
          <w:cantSplit/>
          <w:trHeight w:val="142"/>
          <w:jc w:val="center"/>
        </w:trPr>
        <w:tc>
          <w:tcPr>
            <w:tcW w:w="796" w:type="pct"/>
          </w:tcPr>
          <w:p w14:paraId="56A45140" w14:textId="77777777" w:rsidR="00D517B2" w:rsidRPr="00D517B2" w:rsidRDefault="00D517B2" w:rsidP="00BB0F08">
            <w:pPr>
              <w:spacing w:line="300" w:lineRule="exact"/>
              <w:jc w:val="left"/>
              <w:rPr>
                <w:position w:val="2"/>
              </w:rPr>
            </w:pPr>
          </w:p>
        </w:tc>
        <w:tc>
          <w:tcPr>
            <w:tcW w:w="1702" w:type="pct"/>
          </w:tcPr>
          <w:p w14:paraId="78CDE581" w14:textId="77777777" w:rsidR="00D517B2" w:rsidRPr="00D517B2" w:rsidRDefault="00D517B2" w:rsidP="00BB0F08">
            <w:pPr>
              <w:spacing w:line="300" w:lineRule="exact"/>
              <w:jc w:val="left"/>
              <w:rPr>
                <w:position w:val="2"/>
              </w:rPr>
            </w:pPr>
          </w:p>
        </w:tc>
        <w:tc>
          <w:tcPr>
            <w:tcW w:w="2501" w:type="pct"/>
          </w:tcPr>
          <w:p w14:paraId="0DEA7D3A" w14:textId="77777777" w:rsidR="00D517B2" w:rsidRPr="00873469" w:rsidRDefault="00D517B2" w:rsidP="00BB0F08">
            <w:pPr>
              <w:spacing w:line="300" w:lineRule="exact"/>
              <w:jc w:val="left"/>
              <w:rPr>
                <w:position w:val="2"/>
                <w:lang w:bidi="ar-EG"/>
              </w:rPr>
            </w:pPr>
          </w:p>
        </w:tc>
      </w:tr>
      <w:tr w:rsidR="00D517B2" w:rsidRPr="00D517B2" w14:paraId="11FD6F07" w14:textId="77777777" w:rsidTr="00B509EC">
        <w:trPr>
          <w:cantSplit/>
          <w:trHeight w:val="148"/>
          <w:jc w:val="center"/>
        </w:trPr>
        <w:tc>
          <w:tcPr>
            <w:tcW w:w="796" w:type="pct"/>
          </w:tcPr>
          <w:p w14:paraId="6F2F6DFE" w14:textId="77777777" w:rsidR="00D517B2" w:rsidRPr="00D517B2" w:rsidRDefault="00D517B2" w:rsidP="00D517B2">
            <w:pPr>
              <w:spacing w:before="80" w:after="60" w:line="300" w:lineRule="exact"/>
              <w:jc w:val="left"/>
              <w:rPr>
                <w:position w:val="2"/>
              </w:rPr>
            </w:pPr>
          </w:p>
        </w:tc>
        <w:tc>
          <w:tcPr>
            <w:tcW w:w="1702" w:type="pct"/>
          </w:tcPr>
          <w:p w14:paraId="099B93E6" w14:textId="77777777" w:rsidR="00D517B2" w:rsidRPr="00D517B2" w:rsidRDefault="00D517B2" w:rsidP="00D517B2">
            <w:pPr>
              <w:spacing w:before="80" w:after="60" w:line="300" w:lineRule="exact"/>
              <w:jc w:val="left"/>
              <w:rPr>
                <w:position w:val="2"/>
                <w:lang w:bidi="ar-EG"/>
              </w:rPr>
            </w:pPr>
          </w:p>
        </w:tc>
        <w:tc>
          <w:tcPr>
            <w:tcW w:w="2501" w:type="pct"/>
          </w:tcPr>
          <w:p w14:paraId="3085A450" w14:textId="6EAF40D8" w:rsidR="00D517B2" w:rsidRPr="00D517B2" w:rsidRDefault="001F0C13" w:rsidP="001F0C13">
            <w:pPr>
              <w:spacing w:before="80" w:after="60" w:line="300" w:lineRule="exact"/>
              <w:jc w:val="left"/>
              <w:rPr>
                <w:position w:val="2"/>
                <w:rtl/>
                <w:lang w:bidi="ar-EG"/>
              </w:rPr>
            </w:pPr>
            <w:r w:rsidRPr="001F0C13">
              <w:rPr>
                <w:position w:val="2"/>
                <w:rtl/>
              </w:rPr>
              <w:t>جنيف، 25 يوليو 2024</w:t>
            </w:r>
          </w:p>
        </w:tc>
      </w:tr>
      <w:tr w:rsidR="00210472" w:rsidRPr="00D517B2" w14:paraId="6FE24694" w14:textId="77777777" w:rsidTr="00B509EC">
        <w:trPr>
          <w:cantSplit/>
          <w:trHeight w:val="831"/>
          <w:jc w:val="center"/>
        </w:trPr>
        <w:tc>
          <w:tcPr>
            <w:tcW w:w="796" w:type="pct"/>
          </w:tcPr>
          <w:p w14:paraId="42990A7A" w14:textId="77777777" w:rsidR="00210472" w:rsidRPr="00A9156F" w:rsidRDefault="00210472" w:rsidP="00D517B2">
            <w:pPr>
              <w:spacing w:before="80" w:after="60" w:line="300" w:lineRule="exact"/>
              <w:jc w:val="left"/>
              <w:rPr>
                <w:b/>
                <w:bCs/>
                <w:position w:val="2"/>
              </w:rPr>
            </w:pPr>
            <w:r w:rsidRPr="00A9156F">
              <w:rPr>
                <w:rFonts w:hint="cs"/>
                <w:b/>
                <w:bCs/>
                <w:position w:val="2"/>
                <w:rtl/>
              </w:rPr>
              <w:t>المرجع:</w:t>
            </w:r>
          </w:p>
        </w:tc>
        <w:tc>
          <w:tcPr>
            <w:tcW w:w="1702" w:type="pct"/>
          </w:tcPr>
          <w:p w14:paraId="0433C73C" w14:textId="78AF1322" w:rsidR="00210472" w:rsidRPr="00D517B2" w:rsidRDefault="00210472" w:rsidP="001F0C13">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223</w:t>
            </w:r>
            <w:r>
              <w:rPr>
                <w:b/>
                <w:position w:val="2"/>
              </w:rPr>
              <w:br/>
            </w:r>
            <w:r w:rsidRPr="001F0C13">
              <w:rPr>
                <w:rFonts w:asciiTheme="minorHAnsi" w:eastAsia="Times New Roman" w:hAnsiTheme="minorHAnsi" w:cstheme="minorHAnsi"/>
                <w:lang w:val="en-GB" w:eastAsia="en-US"/>
              </w:rPr>
              <w:t xml:space="preserve"> </w:t>
            </w:r>
            <w:r w:rsidRPr="001F0C13">
              <w:rPr>
                <w:bCs/>
                <w:position w:val="2"/>
                <w:lang w:val="en-GB"/>
              </w:rPr>
              <w:t>SG11/DA</w:t>
            </w:r>
          </w:p>
        </w:tc>
        <w:tc>
          <w:tcPr>
            <w:tcW w:w="2501" w:type="pct"/>
            <w:vMerge w:val="restart"/>
          </w:tcPr>
          <w:p w14:paraId="516F0543" w14:textId="77777777" w:rsidR="00210472" w:rsidRPr="001F0C13" w:rsidRDefault="00210472" w:rsidP="00D517B2">
            <w:pPr>
              <w:tabs>
                <w:tab w:val="clear" w:pos="794"/>
                <w:tab w:val="left" w:pos="284"/>
              </w:tabs>
              <w:spacing w:before="80" w:after="60" w:line="300" w:lineRule="exact"/>
              <w:ind w:left="284" w:hanging="284"/>
              <w:jc w:val="left"/>
              <w:rPr>
                <w:b/>
                <w:bCs/>
                <w:position w:val="2"/>
                <w:rtl/>
                <w:lang w:bidi="ar-EG"/>
              </w:rPr>
            </w:pPr>
            <w:r w:rsidRPr="001F0C13">
              <w:rPr>
                <w:rFonts w:hint="cs"/>
                <w:b/>
                <w:bCs/>
                <w:position w:val="2"/>
                <w:rtl/>
              </w:rPr>
              <w:t>إلى:</w:t>
            </w:r>
          </w:p>
          <w:p w14:paraId="2AD2CE88" w14:textId="77777777" w:rsidR="00210472" w:rsidRPr="001F0C13" w:rsidRDefault="00210472" w:rsidP="001F0C13">
            <w:pPr>
              <w:tabs>
                <w:tab w:val="clear" w:pos="794"/>
                <w:tab w:val="left" w:pos="284"/>
              </w:tabs>
              <w:spacing w:before="80" w:after="60" w:line="300" w:lineRule="exact"/>
              <w:ind w:left="284" w:hanging="284"/>
              <w:jc w:val="left"/>
              <w:rPr>
                <w:position w:val="2"/>
                <w:rtl/>
              </w:rPr>
            </w:pPr>
            <w:r w:rsidRPr="001F0C13">
              <w:rPr>
                <w:rFonts w:hint="cs"/>
                <w:position w:val="2"/>
                <w:rtl/>
              </w:rPr>
              <w:t>-</w:t>
            </w:r>
            <w:r w:rsidRPr="001F0C13">
              <w:rPr>
                <w:position w:val="2"/>
                <w:rtl/>
              </w:rPr>
              <w:tab/>
            </w:r>
            <w:r w:rsidRPr="001F0C13">
              <w:rPr>
                <w:rFonts w:hint="cs"/>
                <w:position w:val="2"/>
                <w:rtl/>
              </w:rPr>
              <w:t>إدارات الدول الأعضاء في الاتحاد؛</w:t>
            </w:r>
          </w:p>
          <w:p w14:paraId="744A0794" w14:textId="77777777" w:rsidR="00210472" w:rsidRPr="001F0C13" w:rsidRDefault="00210472" w:rsidP="001F0C13">
            <w:pPr>
              <w:tabs>
                <w:tab w:val="clear" w:pos="794"/>
                <w:tab w:val="left" w:pos="284"/>
              </w:tabs>
              <w:spacing w:before="80" w:after="60" w:line="300" w:lineRule="exact"/>
              <w:ind w:left="284" w:hanging="284"/>
              <w:jc w:val="left"/>
              <w:rPr>
                <w:b/>
                <w:bCs/>
                <w:position w:val="2"/>
                <w:rtl/>
              </w:rPr>
            </w:pPr>
            <w:r w:rsidRPr="001F0C13">
              <w:rPr>
                <w:rFonts w:hint="cs"/>
                <w:b/>
                <w:bCs/>
                <w:position w:val="2"/>
                <w:rtl/>
              </w:rPr>
              <w:t>نسخة إلى:</w:t>
            </w:r>
          </w:p>
          <w:p w14:paraId="5711A03E" w14:textId="77777777" w:rsidR="00210472" w:rsidRPr="001F0C13" w:rsidRDefault="00210472" w:rsidP="001F0C13">
            <w:pPr>
              <w:tabs>
                <w:tab w:val="left" w:pos="284"/>
                <w:tab w:val="left" w:pos="4111"/>
              </w:tabs>
              <w:spacing w:before="0" w:line="340" w:lineRule="exact"/>
              <w:ind w:left="284" w:hanging="284"/>
              <w:rPr>
                <w:position w:val="2"/>
              </w:rPr>
            </w:pPr>
            <w:r w:rsidRPr="001F0C13">
              <w:rPr>
                <w:position w:val="2"/>
              </w:rPr>
              <w:t>-</w:t>
            </w:r>
            <w:r w:rsidRPr="001F0C13">
              <w:rPr>
                <w:position w:val="2"/>
              </w:rPr>
              <w:tab/>
            </w:r>
            <w:r w:rsidRPr="001F0C13">
              <w:rPr>
                <w:position w:val="2"/>
                <w:rtl/>
              </w:rPr>
              <w:t>أعضاء قطاع تقييس الاتصالات؛</w:t>
            </w:r>
          </w:p>
          <w:p w14:paraId="5A3D3E84" w14:textId="77777777" w:rsidR="00210472" w:rsidRPr="001F0C13" w:rsidRDefault="00210472" w:rsidP="001F0C13">
            <w:pPr>
              <w:tabs>
                <w:tab w:val="left" w:pos="284"/>
                <w:tab w:val="left" w:pos="4111"/>
              </w:tabs>
              <w:spacing w:before="0" w:line="340" w:lineRule="exact"/>
              <w:ind w:left="284" w:hanging="284"/>
              <w:rPr>
                <w:position w:val="2"/>
              </w:rPr>
            </w:pPr>
            <w:r w:rsidRPr="001F0C13">
              <w:rPr>
                <w:position w:val="2"/>
              </w:rPr>
              <w:t>-</w:t>
            </w:r>
            <w:r w:rsidRPr="001F0C13">
              <w:rPr>
                <w:position w:val="2"/>
              </w:rPr>
              <w:tab/>
            </w:r>
            <w:r w:rsidRPr="001F0C13">
              <w:rPr>
                <w:spacing w:val="-4"/>
                <w:position w:val="2"/>
                <w:rtl/>
              </w:rPr>
              <w:t>المنتسبون إلى قطاع تقييس الاتصالات في لجنة الدراسات 11؛</w:t>
            </w:r>
          </w:p>
          <w:p w14:paraId="7A943F8B" w14:textId="77777777" w:rsidR="00210472" w:rsidRPr="001F0C13" w:rsidRDefault="00210472" w:rsidP="001F0C13">
            <w:pPr>
              <w:tabs>
                <w:tab w:val="left" w:pos="284"/>
                <w:tab w:val="left" w:pos="4111"/>
              </w:tabs>
              <w:spacing w:before="0" w:line="340" w:lineRule="exact"/>
              <w:ind w:left="284" w:hanging="284"/>
              <w:rPr>
                <w:position w:val="2"/>
              </w:rPr>
            </w:pPr>
            <w:r w:rsidRPr="001F0C13">
              <w:rPr>
                <w:position w:val="2"/>
              </w:rPr>
              <w:t>-</w:t>
            </w:r>
            <w:r w:rsidRPr="001F0C13">
              <w:rPr>
                <w:position w:val="2"/>
              </w:rPr>
              <w:tab/>
            </w:r>
            <w:r w:rsidRPr="001F0C13">
              <w:rPr>
                <w:position w:val="2"/>
                <w:rtl/>
              </w:rPr>
              <w:t>الهيئات الأكاديمية المنضمة للاتحاد؛</w:t>
            </w:r>
          </w:p>
          <w:p w14:paraId="24569F6C" w14:textId="77777777" w:rsidR="00210472" w:rsidRPr="001F0C13" w:rsidRDefault="00210472" w:rsidP="001F0C13">
            <w:pPr>
              <w:tabs>
                <w:tab w:val="left" w:pos="284"/>
                <w:tab w:val="left" w:pos="4111"/>
              </w:tabs>
              <w:spacing w:before="0" w:line="340" w:lineRule="exact"/>
              <w:ind w:left="284" w:hanging="284"/>
              <w:rPr>
                <w:position w:val="2"/>
              </w:rPr>
            </w:pPr>
            <w:r w:rsidRPr="001F0C13">
              <w:rPr>
                <w:position w:val="2"/>
              </w:rPr>
              <w:t>-</w:t>
            </w:r>
            <w:r w:rsidRPr="001F0C13">
              <w:rPr>
                <w:position w:val="2"/>
              </w:rPr>
              <w:tab/>
            </w:r>
            <w:r w:rsidRPr="001F0C13">
              <w:rPr>
                <w:spacing w:val="-4"/>
                <w:position w:val="2"/>
                <w:rtl/>
              </w:rPr>
              <w:t>رئيس لجنة الدراسات 11 بقطاع تقييس الاتصالات ونوابه؛</w:t>
            </w:r>
          </w:p>
          <w:p w14:paraId="2A2EC9AD" w14:textId="77777777" w:rsidR="00210472" w:rsidRPr="001F0C13" w:rsidRDefault="00210472" w:rsidP="001F0C13">
            <w:pPr>
              <w:tabs>
                <w:tab w:val="left" w:pos="284"/>
                <w:tab w:val="left" w:pos="4111"/>
              </w:tabs>
              <w:spacing w:before="0" w:line="340" w:lineRule="exact"/>
              <w:ind w:left="284" w:hanging="284"/>
              <w:rPr>
                <w:position w:val="2"/>
              </w:rPr>
            </w:pPr>
            <w:r w:rsidRPr="001F0C13">
              <w:rPr>
                <w:position w:val="2"/>
              </w:rPr>
              <w:t>-</w:t>
            </w:r>
            <w:r w:rsidRPr="001F0C13">
              <w:rPr>
                <w:position w:val="2"/>
              </w:rPr>
              <w:tab/>
            </w:r>
            <w:r w:rsidRPr="001F0C13">
              <w:rPr>
                <w:position w:val="2"/>
                <w:rtl/>
              </w:rPr>
              <w:t>مدير مكتب تنمية الاتصالات؛</w:t>
            </w:r>
          </w:p>
          <w:p w14:paraId="1A956221" w14:textId="5FFBCAB6" w:rsidR="00210472" w:rsidRPr="001F0C13" w:rsidRDefault="00210472" w:rsidP="00255475">
            <w:pPr>
              <w:tabs>
                <w:tab w:val="left" w:pos="284"/>
                <w:tab w:val="left" w:pos="4111"/>
              </w:tabs>
              <w:spacing w:before="0" w:line="340" w:lineRule="exact"/>
              <w:ind w:left="284" w:hanging="284"/>
              <w:rPr>
                <w:position w:val="2"/>
                <w:rtl/>
              </w:rPr>
            </w:pPr>
            <w:r w:rsidRPr="001F0C13">
              <w:rPr>
                <w:position w:val="2"/>
              </w:rPr>
              <w:t>-</w:t>
            </w:r>
            <w:r w:rsidRPr="001F0C13">
              <w:rPr>
                <w:position w:val="2"/>
              </w:rPr>
              <w:tab/>
            </w:r>
            <w:r w:rsidRPr="001F0C13">
              <w:rPr>
                <w:position w:val="2"/>
                <w:rtl/>
              </w:rPr>
              <w:t>مدير مكتب الاتصالات الراديوية</w:t>
            </w:r>
          </w:p>
        </w:tc>
      </w:tr>
      <w:tr w:rsidR="00210472" w:rsidRPr="00D517B2" w14:paraId="35E955CC" w14:textId="77777777" w:rsidTr="00B509EC">
        <w:trPr>
          <w:cantSplit/>
          <w:trHeight w:val="340"/>
          <w:jc w:val="center"/>
        </w:trPr>
        <w:tc>
          <w:tcPr>
            <w:tcW w:w="796" w:type="pct"/>
          </w:tcPr>
          <w:p w14:paraId="56BA9D9E" w14:textId="77777777" w:rsidR="00210472" w:rsidRPr="00A9156F" w:rsidRDefault="00210472" w:rsidP="001F0C13">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02" w:type="pct"/>
          </w:tcPr>
          <w:p w14:paraId="503D87FF" w14:textId="259F3456" w:rsidR="00210472" w:rsidRPr="00D517B2" w:rsidRDefault="00210472" w:rsidP="001F0C13">
            <w:pPr>
              <w:spacing w:before="80" w:after="60" w:line="300" w:lineRule="exact"/>
              <w:jc w:val="left"/>
              <w:rPr>
                <w:b/>
                <w:position w:val="2"/>
              </w:rPr>
            </w:pPr>
            <w:r>
              <w:rPr>
                <w:rStyle w:val="None"/>
              </w:rPr>
              <w:t>+41 22 730 5780</w:t>
            </w:r>
          </w:p>
        </w:tc>
        <w:tc>
          <w:tcPr>
            <w:tcW w:w="2501" w:type="pct"/>
            <w:vMerge/>
          </w:tcPr>
          <w:p w14:paraId="6397140E" w14:textId="2FFA27BA" w:rsidR="00210472" w:rsidRPr="001F0C13" w:rsidRDefault="00210472" w:rsidP="00255475">
            <w:pPr>
              <w:tabs>
                <w:tab w:val="left" w:pos="284"/>
                <w:tab w:val="left" w:pos="4111"/>
              </w:tabs>
              <w:spacing w:before="0" w:line="340" w:lineRule="exact"/>
              <w:ind w:left="284" w:hanging="284"/>
              <w:rPr>
                <w:position w:val="2"/>
                <w:rtl/>
              </w:rPr>
            </w:pPr>
          </w:p>
        </w:tc>
      </w:tr>
      <w:tr w:rsidR="00210472" w:rsidRPr="00D517B2" w14:paraId="2FCE1D37" w14:textId="77777777" w:rsidTr="00B509EC">
        <w:trPr>
          <w:cantSplit/>
          <w:trHeight w:val="307"/>
          <w:jc w:val="center"/>
        </w:trPr>
        <w:tc>
          <w:tcPr>
            <w:tcW w:w="796" w:type="pct"/>
          </w:tcPr>
          <w:p w14:paraId="538D3E7D" w14:textId="77777777" w:rsidR="00210472" w:rsidRPr="00A9156F" w:rsidRDefault="00210472" w:rsidP="001F0C13">
            <w:pPr>
              <w:spacing w:before="80" w:after="60" w:line="300" w:lineRule="exact"/>
              <w:jc w:val="left"/>
              <w:rPr>
                <w:b/>
                <w:bCs/>
                <w:position w:val="2"/>
                <w:rtl/>
                <w:lang w:bidi="ar-EG"/>
              </w:rPr>
            </w:pPr>
            <w:r w:rsidRPr="00A9156F">
              <w:rPr>
                <w:rFonts w:hint="cs"/>
                <w:b/>
                <w:bCs/>
                <w:position w:val="2"/>
                <w:rtl/>
              </w:rPr>
              <w:t>الفاكس:</w:t>
            </w:r>
          </w:p>
        </w:tc>
        <w:tc>
          <w:tcPr>
            <w:tcW w:w="1702" w:type="pct"/>
          </w:tcPr>
          <w:p w14:paraId="6CA310E8" w14:textId="20692784" w:rsidR="00210472" w:rsidRPr="00D517B2" w:rsidRDefault="00210472" w:rsidP="001F0C13">
            <w:pPr>
              <w:spacing w:before="80" w:after="60" w:line="300" w:lineRule="exact"/>
              <w:jc w:val="left"/>
              <w:rPr>
                <w:position w:val="2"/>
              </w:rPr>
            </w:pPr>
            <w:r>
              <w:rPr>
                <w:rStyle w:val="None"/>
              </w:rPr>
              <w:t>+41 22 730 5853</w:t>
            </w:r>
          </w:p>
        </w:tc>
        <w:tc>
          <w:tcPr>
            <w:tcW w:w="2501" w:type="pct"/>
            <w:vMerge/>
          </w:tcPr>
          <w:p w14:paraId="46CC89C5" w14:textId="7B55982E" w:rsidR="00210472" w:rsidRPr="001F0C13" w:rsidRDefault="00210472" w:rsidP="00255475">
            <w:pPr>
              <w:tabs>
                <w:tab w:val="left" w:pos="284"/>
                <w:tab w:val="left" w:pos="4111"/>
              </w:tabs>
              <w:spacing w:before="0" w:line="340" w:lineRule="exact"/>
              <w:ind w:left="284" w:hanging="284"/>
              <w:rPr>
                <w:position w:val="2"/>
                <w:rtl/>
              </w:rPr>
            </w:pPr>
          </w:p>
        </w:tc>
      </w:tr>
      <w:tr w:rsidR="00210472" w:rsidRPr="00D517B2" w14:paraId="00BCD4A7" w14:textId="77777777" w:rsidTr="00B509EC">
        <w:trPr>
          <w:cantSplit/>
          <w:trHeight w:val="440"/>
          <w:jc w:val="center"/>
        </w:trPr>
        <w:tc>
          <w:tcPr>
            <w:tcW w:w="796" w:type="pct"/>
            <w:tcBorders>
              <w:bottom w:val="nil"/>
            </w:tcBorders>
          </w:tcPr>
          <w:p w14:paraId="459E87BE" w14:textId="1526A41A" w:rsidR="00210472" w:rsidRPr="00A9156F" w:rsidRDefault="00210472" w:rsidP="001F0C13">
            <w:pPr>
              <w:spacing w:before="80" w:after="60" w:line="300" w:lineRule="exact"/>
              <w:jc w:val="left"/>
              <w:rPr>
                <w:b/>
                <w:bCs/>
                <w:position w:val="2"/>
                <w:rtl/>
              </w:rPr>
            </w:pPr>
            <w:r w:rsidRPr="00A9156F">
              <w:rPr>
                <w:rFonts w:hint="cs"/>
                <w:b/>
                <w:bCs/>
                <w:position w:val="2"/>
                <w:rtl/>
              </w:rPr>
              <w:t>البريد الإلكتروني:</w:t>
            </w:r>
          </w:p>
        </w:tc>
        <w:tc>
          <w:tcPr>
            <w:tcW w:w="1702" w:type="pct"/>
            <w:tcBorders>
              <w:bottom w:val="nil"/>
            </w:tcBorders>
          </w:tcPr>
          <w:p w14:paraId="6DCA6A13" w14:textId="067225BB" w:rsidR="00210472" w:rsidRDefault="00307AC8" w:rsidP="001F0C13">
            <w:pPr>
              <w:spacing w:before="80" w:after="60" w:line="300" w:lineRule="exact"/>
              <w:jc w:val="left"/>
              <w:rPr>
                <w:rStyle w:val="None"/>
              </w:rPr>
            </w:pPr>
            <w:hyperlink r:id="rId9" w:history="1">
              <w:r w:rsidR="00210472" w:rsidRPr="003E6E6B">
                <w:rPr>
                  <w:rStyle w:val="Hyperlink"/>
                  <w:rFonts w:asciiTheme="minorHAnsi" w:hAnsiTheme="minorHAnsi" w:cstheme="minorHAnsi"/>
                </w:rPr>
                <w:t>tsbsg11@itu.int</w:t>
              </w:r>
            </w:hyperlink>
          </w:p>
        </w:tc>
        <w:tc>
          <w:tcPr>
            <w:tcW w:w="2501" w:type="pct"/>
            <w:vMerge/>
            <w:tcBorders>
              <w:bottom w:val="nil"/>
            </w:tcBorders>
          </w:tcPr>
          <w:p w14:paraId="095443E1" w14:textId="19A77002" w:rsidR="00210472" w:rsidRPr="001F0C13" w:rsidRDefault="00210472" w:rsidP="00255475">
            <w:pPr>
              <w:tabs>
                <w:tab w:val="left" w:pos="284"/>
                <w:tab w:val="left" w:pos="4111"/>
              </w:tabs>
              <w:spacing w:before="0" w:line="340" w:lineRule="exact"/>
              <w:ind w:left="284" w:hanging="284"/>
              <w:rPr>
                <w:position w:val="2"/>
                <w:rtl/>
              </w:rPr>
            </w:pPr>
          </w:p>
        </w:tc>
      </w:tr>
      <w:tr w:rsidR="00CE1C08" w:rsidRPr="00D517B2" w14:paraId="2F85BE54" w14:textId="77777777" w:rsidTr="00B509EC">
        <w:trPr>
          <w:cantSplit/>
          <w:jc w:val="center"/>
        </w:trPr>
        <w:tc>
          <w:tcPr>
            <w:tcW w:w="796" w:type="pct"/>
          </w:tcPr>
          <w:p w14:paraId="0E05A473" w14:textId="77777777" w:rsidR="00CE1C08" w:rsidRPr="00A9156F" w:rsidRDefault="00CE1C08" w:rsidP="00CE1C08">
            <w:pPr>
              <w:spacing w:before="80" w:after="60" w:line="300" w:lineRule="exact"/>
              <w:jc w:val="left"/>
              <w:rPr>
                <w:b/>
                <w:bCs/>
                <w:position w:val="2"/>
                <w:rtl/>
                <w:lang w:bidi="ar-EG"/>
              </w:rPr>
            </w:pPr>
          </w:p>
        </w:tc>
        <w:tc>
          <w:tcPr>
            <w:tcW w:w="1702" w:type="pct"/>
          </w:tcPr>
          <w:p w14:paraId="09827D7D" w14:textId="77777777" w:rsidR="00CE1C08" w:rsidRPr="00D517B2" w:rsidRDefault="00CE1C08" w:rsidP="00CE1C08">
            <w:pPr>
              <w:spacing w:before="80" w:after="60" w:line="300" w:lineRule="exact"/>
              <w:jc w:val="left"/>
              <w:rPr>
                <w:position w:val="2"/>
              </w:rPr>
            </w:pPr>
          </w:p>
        </w:tc>
        <w:tc>
          <w:tcPr>
            <w:tcW w:w="2501" w:type="pct"/>
          </w:tcPr>
          <w:p w14:paraId="6E14D03E" w14:textId="77777777" w:rsidR="00CE1C08" w:rsidRPr="00D517B2" w:rsidRDefault="00CE1C08" w:rsidP="00CE1C08">
            <w:pPr>
              <w:spacing w:before="80" w:after="60" w:line="300" w:lineRule="exact"/>
              <w:jc w:val="left"/>
              <w:rPr>
                <w:position w:val="2"/>
                <w:rtl/>
              </w:rPr>
            </w:pPr>
          </w:p>
        </w:tc>
      </w:tr>
      <w:tr w:rsidR="00CE1C08" w:rsidRPr="00D517B2" w14:paraId="73FF1462" w14:textId="77777777" w:rsidTr="00D517B2">
        <w:trPr>
          <w:cantSplit/>
          <w:jc w:val="center"/>
        </w:trPr>
        <w:tc>
          <w:tcPr>
            <w:tcW w:w="796" w:type="pct"/>
          </w:tcPr>
          <w:p w14:paraId="38E37442"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8EFD65B" w14:textId="4D2D31A3" w:rsidR="00CE1C08" w:rsidRPr="00D517B2" w:rsidRDefault="001F0C13" w:rsidP="001F0C13">
            <w:pPr>
              <w:spacing w:before="80" w:after="60" w:line="300" w:lineRule="exact"/>
              <w:rPr>
                <w:position w:val="2"/>
                <w:rtl/>
              </w:rPr>
            </w:pPr>
            <w:r w:rsidRPr="001F0C13">
              <w:rPr>
                <w:b/>
                <w:bCs/>
                <w:position w:val="2"/>
                <w:rtl/>
              </w:rPr>
              <w:t>مشاورة الدول الأعضاء بشأن مشروعي التوصيتين المحددتين ITU-T Q.5054</w:t>
            </w:r>
            <w:r w:rsidR="00210472">
              <w:rPr>
                <w:rFonts w:hint="cs"/>
                <w:b/>
                <w:bCs/>
                <w:position w:val="2"/>
                <w:rtl/>
              </w:rPr>
              <w:t xml:space="preserve"> </w:t>
            </w:r>
            <w:r w:rsidR="00210472">
              <w:rPr>
                <w:rFonts w:hint="cs"/>
                <w:b/>
                <w:bCs/>
                <w:position w:val="2"/>
                <w:rtl/>
                <w:lang w:bidi="ar-EG"/>
              </w:rPr>
              <w:t>(</w:t>
            </w:r>
            <w:r w:rsidRPr="001F0C13">
              <w:rPr>
                <w:b/>
                <w:bCs/>
                <w:position w:val="2"/>
                <w:rtl/>
              </w:rPr>
              <w:t>Q.CCF-CCSD سابقاً) و</w:t>
            </w:r>
            <w:r w:rsidR="00210472">
              <w:rPr>
                <w:b/>
                <w:bCs/>
                <w:position w:val="2"/>
              </w:rPr>
              <w:t>ITU</w:t>
            </w:r>
            <w:r w:rsidR="00210472">
              <w:rPr>
                <w:b/>
                <w:bCs/>
                <w:position w:val="2"/>
              </w:rPr>
              <w:noBreakHyphen/>
              <w:t>T Q.5010</w:t>
            </w:r>
            <w:r w:rsidR="00210472">
              <w:rPr>
                <w:rFonts w:hint="cs"/>
                <w:b/>
                <w:bCs/>
                <w:position w:val="2"/>
                <w:rtl/>
                <w:lang w:bidi="ar-EG"/>
              </w:rPr>
              <w:t xml:space="preserve"> </w:t>
            </w:r>
            <w:r w:rsidRPr="001F0C13">
              <w:rPr>
                <w:b/>
                <w:bCs/>
                <w:position w:val="2"/>
                <w:rtl/>
              </w:rPr>
              <w:t>(Q.UAMS-SRA سابقاً) اللتين تُقترح الموافقة عليهما في اجتماع لجنة الدراسات 11 بقطاع تقييس الاتصالات (المخطط عقده في جنيف، 19-28 فبراير 2025)</w:t>
            </w:r>
          </w:p>
        </w:tc>
      </w:tr>
    </w:tbl>
    <w:p w14:paraId="1BBDDDB4" w14:textId="77777777" w:rsidR="00D517B2" w:rsidRPr="00D517B2" w:rsidRDefault="00D517B2" w:rsidP="006635B2">
      <w:pPr>
        <w:spacing w:before="600"/>
        <w:rPr>
          <w:lang w:bidi="ar-SY"/>
        </w:rPr>
      </w:pPr>
      <w:r w:rsidRPr="00D517B2">
        <w:rPr>
          <w:rFonts w:hint="cs"/>
          <w:rtl/>
          <w:lang w:bidi="ar-SY"/>
        </w:rPr>
        <w:t>حضرات السادة والسيدات،</w:t>
      </w:r>
    </w:p>
    <w:p w14:paraId="5DEEFDA8" w14:textId="77777777" w:rsidR="00D517B2" w:rsidRPr="00D517B2" w:rsidRDefault="00D517B2" w:rsidP="00D517B2">
      <w:pPr>
        <w:rPr>
          <w:rtl/>
          <w:lang w:bidi="ar-EG"/>
        </w:rPr>
      </w:pPr>
      <w:r w:rsidRPr="00D517B2">
        <w:rPr>
          <w:rFonts w:hint="cs"/>
          <w:rtl/>
        </w:rPr>
        <w:t>تحية طيبة وبعد،</w:t>
      </w:r>
    </w:p>
    <w:p w14:paraId="73108DAC" w14:textId="73E3CE78" w:rsidR="001F0C13" w:rsidRPr="001F0C13" w:rsidRDefault="001F0C13" w:rsidP="001F0C13">
      <w:pPr>
        <w:rPr>
          <w:lang w:val="ar-SA" w:bidi="ar-SY"/>
        </w:rPr>
      </w:pPr>
      <w:r w:rsidRPr="001F0C13">
        <w:rPr>
          <w:rtl/>
        </w:rPr>
        <w:t>1</w:t>
      </w:r>
      <w:r w:rsidRPr="001F0C13">
        <w:rPr>
          <w:rtl/>
        </w:rPr>
        <w:tab/>
        <w:t>تعتزم لجنة الدراسات 11 بقطاع تقييس الاتصالات (متطلبات وبروتوكولات التشوير ومواصفات الاختبار ومكافحة أجهزة الاتصالات/تكنولوجيا المعلومات والاتصالات المزيَّفة) تطبيق إجراء الموافقة التقليدية الموصوف في القسم 9 من القرار</w:t>
      </w:r>
      <w:r w:rsidR="00210472">
        <w:rPr>
          <w:rFonts w:hint="cs"/>
          <w:rtl/>
        </w:rPr>
        <w:t> </w:t>
      </w:r>
      <w:r w:rsidRPr="001F0C13">
        <w:rPr>
          <w:rtl/>
        </w:rPr>
        <w:t>1</w:t>
      </w:r>
      <w:r w:rsidR="00210472">
        <w:rPr>
          <w:rFonts w:hint="cs"/>
          <w:rtl/>
        </w:rPr>
        <w:t> </w:t>
      </w:r>
      <w:r w:rsidRPr="001F0C13">
        <w:rPr>
          <w:rtl/>
        </w:rPr>
        <w:t>(المراج</w:t>
      </w:r>
      <w:r w:rsidR="00210472">
        <w:rPr>
          <w:rFonts w:hint="cs"/>
          <w:rtl/>
        </w:rPr>
        <w:t>َ</w:t>
      </w:r>
      <w:r w:rsidRPr="001F0C13">
        <w:rPr>
          <w:rtl/>
        </w:rPr>
        <w:t>ع في جنيف، 2022) للجمعية العالمية لتقييس الاتصالات من أجل الموافقة على مشروعي التوصيتين المذكورين أعلاه في اجتماعها المقبل المزمع عقده في جنيف في الفترة 19-28 فبراير 2025. وسيصدر جدول الأعمال وجميع المعلومات ذات الصلة فيما يتعلق باجتماع لجنة الدراسات 11 بقطاع تقييس الاتصالات في الوقت المناسب بعد الجمعية العالمية لتقييس الاتصالات عام 2024 بوقت قصير.</w:t>
      </w:r>
    </w:p>
    <w:p w14:paraId="5D17ED2E" w14:textId="6B5CAAFA" w:rsidR="001F0C13" w:rsidRPr="001F0C13" w:rsidRDefault="001F0C13" w:rsidP="001F0C13">
      <w:pPr>
        <w:rPr>
          <w:lang w:val="ar-SA" w:bidi="ar-SY"/>
        </w:rPr>
      </w:pPr>
      <w:r w:rsidRPr="001F0C13">
        <w:rPr>
          <w:rtl/>
        </w:rPr>
        <w:t>2</w:t>
      </w:r>
      <w:r w:rsidRPr="001F0C13">
        <w:rPr>
          <w:rtl/>
        </w:rPr>
        <w:tab/>
        <w:t>ويمكن الاطلاع على عناوين وملخصات ومواقع مشاريع توصيات قطاع تقييس الاتصالات المقترح الموافقة عليها في</w:t>
      </w:r>
      <w:r w:rsidR="00210472">
        <w:rPr>
          <w:rFonts w:hint="cs"/>
          <w:rtl/>
        </w:rPr>
        <w:t> </w:t>
      </w:r>
      <w:r w:rsidRPr="00210472">
        <w:rPr>
          <w:b/>
          <w:bCs/>
          <w:rtl/>
        </w:rPr>
        <w:t>الملحق 1</w:t>
      </w:r>
      <w:r w:rsidRPr="001F0C13">
        <w:rPr>
          <w:rtl/>
        </w:rPr>
        <w:t>.</w:t>
      </w:r>
    </w:p>
    <w:p w14:paraId="79F2D48D" w14:textId="76C068C6" w:rsidR="001F0C13" w:rsidRPr="001F0C13" w:rsidRDefault="001F0C13" w:rsidP="001F0C13">
      <w:pPr>
        <w:rPr>
          <w:lang w:val="ar-SA" w:bidi="ar-SY"/>
        </w:rPr>
      </w:pPr>
      <w:r w:rsidRPr="001F0C13">
        <w:rPr>
          <w:rtl/>
        </w:rPr>
        <w:t>3</w:t>
      </w:r>
      <w:r w:rsidRPr="001F0C13">
        <w:rPr>
          <w:rtl/>
        </w:rPr>
        <w:tab/>
        <w:t xml:space="preserve">وتستهل هذه الرسالة المعممة التشاور الرسمي مع الدول الأعضاء في الاتحاد بشأن إمكانية النظر في هذه النصوص بغرض الموافقة عليها في الاجتماع المقبل، وفقا للفقرة </w:t>
      </w:r>
      <w:r w:rsidR="00210472">
        <w:rPr>
          <w:rFonts w:hint="cs"/>
          <w:rtl/>
        </w:rPr>
        <w:t>4.9</w:t>
      </w:r>
      <w:r w:rsidRPr="001F0C13">
        <w:rPr>
          <w:rtl/>
        </w:rPr>
        <w:t xml:space="preserve"> من القرار 1. ويرجى من الدول الأعضاء ملء الاستمارة الواردة في</w:t>
      </w:r>
      <w:r w:rsidR="00210472">
        <w:rPr>
          <w:rFonts w:hint="cs"/>
          <w:rtl/>
        </w:rPr>
        <w:t> </w:t>
      </w:r>
      <w:r w:rsidRPr="00210472">
        <w:rPr>
          <w:b/>
          <w:bCs/>
          <w:rtl/>
        </w:rPr>
        <w:t>الملحق 2</w:t>
      </w:r>
      <w:r w:rsidRPr="001F0C13">
        <w:rPr>
          <w:rtl/>
        </w:rPr>
        <w:t xml:space="preserve"> وإعادتها بحلول </w:t>
      </w:r>
      <w:r w:rsidRPr="00210472">
        <w:rPr>
          <w:b/>
          <w:bCs/>
          <w:rtl/>
        </w:rPr>
        <w:t>7 فبراير 2025</w:t>
      </w:r>
      <w:r w:rsidRPr="001F0C13">
        <w:rPr>
          <w:rtl/>
        </w:rPr>
        <w:t xml:space="preserve">، الساعة </w:t>
      </w:r>
      <w:r w:rsidR="00210472">
        <w:t>23:59</w:t>
      </w:r>
      <w:r w:rsidRPr="001F0C13">
        <w:rPr>
          <w:rtl/>
        </w:rPr>
        <w:t xml:space="preserve"> بالتوقيت العالمي المنسق.</w:t>
      </w:r>
    </w:p>
    <w:p w14:paraId="73D11311" w14:textId="77777777" w:rsidR="001F0C13" w:rsidRPr="001F0C13" w:rsidRDefault="001F0C13" w:rsidP="00B509EC">
      <w:pPr>
        <w:keepNext/>
        <w:keepLines/>
        <w:rPr>
          <w:lang w:val="ar-SA" w:bidi="ar-SY"/>
        </w:rPr>
      </w:pPr>
      <w:bookmarkStart w:id="0" w:name="_Hlk172722338"/>
      <w:r w:rsidRPr="001F0C13">
        <w:rPr>
          <w:rtl/>
        </w:rPr>
        <w:lastRenderedPageBreak/>
        <w:t>4</w:t>
      </w:r>
      <w:r w:rsidRPr="001F0C13">
        <w:rPr>
          <w:rtl/>
        </w:rPr>
        <w:tab/>
      </w:r>
      <w:r w:rsidRPr="00210472">
        <w:rPr>
          <w:spacing w:val="-2"/>
          <w:rtl/>
        </w:rPr>
        <w:t>وإذا كان 70 في المائة أو أكثر من الردود الواردة من الدول الأعضاء تؤيد النظر في مشاريع التوصيات بغرض الموافقة عليها، عندئذٍ ستُكرَّس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 العمل.</w:t>
      </w:r>
      <w:bookmarkEnd w:id="0"/>
    </w:p>
    <w:p w14:paraId="153582CF" w14:textId="77777777" w:rsidR="00E84438" w:rsidRPr="00D517B2" w:rsidRDefault="00E84438" w:rsidP="00B509EC">
      <w:pPr>
        <w:keepNext/>
        <w:spacing w:before="240"/>
        <w:ind w:left="-57"/>
        <w:jc w:val="left"/>
        <w:rPr>
          <w:rtl/>
          <w:lang w:bidi="ar-EG"/>
        </w:rPr>
      </w:pPr>
      <w:r w:rsidRPr="00D517B2">
        <w:rPr>
          <w:rFonts w:hint="cs"/>
          <w:rtl/>
          <w:lang w:bidi="ar-EG"/>
        </w:rPr>
        <w:t>وتفضلوا بقبول فائق التقدير والاحترام.</w:t>
      </w:r>
    </w:p>
    <w:p w14:paraId="40E80E06" w14:textId="77777777" w:rsidR="00E84438" w:rsidRPr="00D517B2" w:rsidRDefault="00E84438" w:rsidP="00B509EC">
      <w:pPr>
        <w:keepNext/>
        <w:spacing w:before="720" w:after="720"/>
        <w:ind w:left="-57"/>
        <w:jc w:val="left"/>
        <w:rPr>
          <w:i/>
          <w:iCs/>
          <w:rtl/>
          <w:lang w:bidi="ar-SY"/>
        </w:rPr>
      </w:pPr>
      <w:r w:rsidRPr="00D517B2">
        <w:rPr>
          <w:rFonts w:hint="cs"/>
          <w:i/>
          <w:iCs/>
          <w:rtl/>
          <w:lang w:bidi="ar-SY"/>
        </w:rPr>
        <w:t>(توقيع)</w:t>
      </w:r>
    </w:p>
    <w:p w14:paraId="216ED951" w14:textId="1E642D8C" w:rsidR="00E84438" w:rsidRDefault="00807031" w:rsidP="00E84438">
      <w:pPr>
        <w:jc w:val="left"/>
        <w:rPr>
          <w:lang w:bidi="ar-SY"/>
        </w:rPr>
      </w:pPr>
      <w:r>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0434168D" w14:textId="4DA1F7DF" w:rsidR="001F0C13" w:rsidRPr="00D517B2" w:rsidRDefault="001F0C13" w:rsidP="001F0C13">
      <w:pPr>
        <w:spacing w:before="960"/>
        <w:jc w:val="left"/>
        <w:rPr>
          <w:rtl/>
        </w:rPr>
      </w:pPr>
      <w:r w:rsidRPr="00210472">
        <w:rPr>
          <w:rFonts w:hint="cs"/>
          <w:b/>
          <w:bCs/>
          <w:rtl/>
          <w:lang w:bidi="ar-SY"/>
        </w:rPr>
        <w:t>الملحقات:</w:t>
      </w:r>
      <w:r>
        <w:rPr>
          <w:rFonts w:hint="cs"/>
          <w:rtl/>
          <w:lang w:bidi="ar-SY"/>
        </w:rPr>
        <w:t xml:space="preserve"> 2</w:t>
      </w:r>
    </w:p>
    <w:p w14:paraId="3493C9CD" w14:textId="77777777" w:rsidR="00596808" w:rsidRDefault="00596808" w:rsidP="00E84438">
      <w:pPr>
        <w:rPr>
          <w:rtl/>
          <w:lang w:bidi="ar-EG"/>
        </w:rPr>
      </w:pPr>
      <w:r>
        <w:rPr>
          <w:rtl/>
          <w:lang w:bidi="ar-EG"/>
        </w:rPr>
        <w:br w:type="page"/>
      </w:r>
    </w:p>
    <w:p w14:paraId="336D8E19" w14:textId="77777777" w:rsidR="00D3285B" w:rsidRDefault="00D3285B" w:rsidP="00210472">
      <w:pPr>
        <w:pStyle w:val="Annextitle"/>
        <w:rPr>
          <w:lang w:val="fr-CH" w:bidi="ar-SA"/>
        </w:rPr>
      </w:pPr>
    </w:p>
    <w:p w14:paraId="54C6BC91" w14:textId="690D045F" w:rsidR="001F0C13" w:rsidRPr="001F0C13" w:rsidRDefault="001F0C13" w:rsidP="00210472">
      <w:pPr>
        <w:pStyle w:val="Annextitle"/>
        <w:rPr>
          <w:lang w:val="ar-SA" w:bidi="ar-EG"/>
        </w:rPr>
      </w:pPr>
      <w:r w:rsidRPr="001F0C13">
        <w:rPr>
          <w:rtl/>
          <w:lang w:bidi="ar-SA"/>
        </w:rPr>
        <w:t xml:space="preserve">الملحق 1 </w:t>
      </w:r>
      <w:r w:rsidR="00210472">
        <w:rPr>
          <w:rtl/>
        </w:rPr>
        <w:br/>
      </w:r>
      <w:r w:rsidRPr="001F0C13">
        <w:rPr>
          <w:rtl/>
          <w:lang w:bidi="ar-SA"/>
        </w:rPr>
        <w:t xml:space="preserve">ملخص مشروعي التوصيتين المحددتين </w:t>
      </w:r>
      <w:r w:rsidR="00210472" w:rsidRPr="00210472">
        <w:rPr>
          <w:rtl/>
        </w:rPr>
        <w:t>ITU-T Q.5054</w:t>
      </w:r>
      <w:r w:rsidR="00210472" w:rsidRPr="00210472">
        <w:rPr>
          <w:rFonts w:hint="cs"/>
          <w:rtl/>
        </w:rPr>
        <w:t xml:space="preserve"> </w:t>
      </w:r>
      <w:r w:rsidR="00210472" w:rsidRPr="00210472">
        <w:rPr>
          <w:rFonts w:hint="cs"/>
          <w:rtl/>
          <w:lang w:bidi="ar-EG"/>
        </w:rPr>
        <w:t>(</w:t>
      </w:r>
      <w:r w:rsidR="00210472" w:rsidRPr="00210472">
        <w:rPr>
          <w:rtl/>
        </w:rPr>
        <w:t>Q.CCF-CCSD سابقاً) و</w:t>
      </w:r>
      <w:r w:rsidR="00210472" w:rsidRPr="00D3285B">
        <w:rPr>
          <w:lang w:val="fr-CH"/>
        </w:rPr>
        <w:t>ITU</w:t>
      </w:r>
      <w:r w:rsidR="00210472" w:rsidRPr="00D3285B">
        <w:rPr>
          <w:lang w:val="fr-CH"/>
        </w:rPr>
        <w:noBreakHyphen/>
        <w:t>T Q.5010</w:t>
      </w:r>
      <w:r w:rsidR="00210472" w:rsidRPr="00210472">
        <w:rPr>
          <w:rtl/>
        </w:rPr>
        <w:t xml:space="preserve"> (Q.UAMS-SRA سابقاً) </w:t>
      </w:r>
      <w:r w:rsidRPr="001F0C13">
        <w:rPr>
          <w:rtl/>
          <w:lang w:bidi="ar-SA"/>
        </w:rPr>
        <w:t>وموقعهما</w:t>
      </w:r>
    </w:p>
    <w:p w14:paraId="673CD772" w14:textId="1D7D030F" w:rsidR="001F0C13" w:rsidRPr="001F0C13" w:rsidRDefault="001F0C13" w:rsidP="00210472">
      <w:pPr>
        <w:pStyle w:val="Heading1"/>
        <w:rPr>
          <w:lang w:val="ar-SA" w:bidi="ar-EG"/>
        </w:rPr>
      </w:pPr>
      <w:r w:rsidRPr="001F0C13">
        <w:rPr>
          <w:rtl/>
        </w:rPr>
        <w:t>1</w:t>
      </w:r>
      <w:r w:rsidRPr="001F0C13">
        <w:rPr>
          <w:rtl/>
        </w:rPr>
        <w:tab/>
        <w:t>مشروع التوصية الجديدة ITU-T Q.5054</w:t>
      </w:r>
      <w:r w:rsidR="00210472">
        <w:t xml:space="preserve"> </w:t>
      </w:r>
      <w:r w:rsidRPr="001F0C13">
        <w:rPr>
          <w:rtl/>
        </w:rPr>
        <w:t>(Q.CCF-CCSD)</w:t>
      </w:r>
      <w:r w:rsidR="00210472">
        <w:t xml:space="preserve"> </w:t>
      </w:r>
      <w:r w:rsidRPr="001F0C13">
        <w:rPr>
          <w:rtl/>
        </w:rPr>
        <w:t>[</w:t>
      </w:r>
      <w:hyperlink r:id="rId10" w:history="1">
        <w:r w:rsidR="00210472" w:rsidRPr="00210472">
          <w:rPr>
            <w:rStyle w:val="Hyperlink"/>
            <w:lang w:val="en-GB"/>
          </w:rPr>
          <w:t>SG11-R28</w:t>
        </w:r>
      </w:hyperlink>
      <w:r w:rsidRPr="001F0C13">
        <w:rPr>
          <w:rtl/>
        </w:rPr>
        <w:t>]</w:t>
      </w:r>
    </w:p>
    <w:p w14:paraId="24222947" w14:textId="77777777" w:rsidR="001F0C13" w:rsidRPr="001F0C13" w:rsidRDefault="001F0C13" w:rsidP="00210472">
      <w:pPr>
        <w:pStyle w:val="Headingb"/>
        <w:rPr>
          <w:lang w:val="ar-SA" w:bidi="ar-EG"/>
        </w:rPr>
      </w:pPr>
      <w:r w:rsidRPr="001F0C13">
        <w:rPr>
          <w:rtl/>
        </w:rPr>
        <w:t>إطار متمحور حول المستهلك لمكافحة المزيف والمسروق من أجهزة تكنولوجيا المعلومات والاتصالات المتنقلة</w:t>
      </w:r>
    </w:p>
    <w:p w14:paraId="4D963BBE" w14:textId="77777777" w:rsidR="001F0C13" w:rsidRPr="001F0C13" w:rsidRDefault="001F0C13" w:rsidP="00210472">
      <w:pPr>
        <w:pStyle w:val="Headingb"/>
        <w:rPr>
          <w:lang w:val="ar-SA" w:bidi="ar-EG"/>
        </w:rPr>
      </w:pPr>
      <w:r w:rsidRPr="001F0C13">
        <w:rPr>
          <w:rtl/>
        </w:rPr>
        <w:t>ملخص</w:t>
      </w:r>
    </w:p>
    <w:p w14:paraId="177ED5A5" w14:textId="4871B6F2" w:rsidR="001F0C13" w:rsidRPr="001F0C13" w:rsidRDefault="001F0C13" w:rsidP="001F0C13">
      <w:pPr>
        <w:rPr>
          <w:lang w:val="ar-SA" w:bidi="ar-EG"/>
        </w:rPr>
      </w:pPr>
      <w:r w:rsidRPr="001F0C13">
        <w:rPr>
          <w:rtl/>
        </w:rPr>
        <w:t xml:space="preserve">مع النمو السريع في انتشار الإنترنت والتعجيل باعتماد واستعمال تكنولوجيا المعلومات والاتصالات </w:t>
      </w:r>
      <w:r w:rsidRPr="001F0C13">
        <w:rPr>
          <w:lang w:val="en-GB" w:bidi="ar-EG"/>
        </w:rPr>
        <w:t>(ICT</w:t>
      </w:r>
      <w:r w:rsidR="00210472">
        <w:rPr>
          <w:lang w:bidi="ar-EG"/>
        </w:rPr>
        <w:t>)</w:t>
      </w:r>
      <w:r w:rsidRPr="001F0C13">
        <w:rPr>
          <w:rtl/>
        </w:rPr>
        <w:t xml:space="preserve"> خلال جائحة كوفيد</w:t>
      </w:r>
      <w:r w:rsidR="00210472">
        <w:rPr>
          <w:rtl/>
        </w:rPr>
        <w:noBreakHyphen/>
      </w:r>
      <w:r w:rsidRPr="001F0C13">
        <w:rPr>
          <w:rtl/>
        </w:rPr>
        <w:t>19، ازداد تداول واستعمال أجهزة تكنولوجيا المعلومات والاتصالات المزيفة زيادة كبيرة. ووفقا</w:t>
      </w:r>
      <w:r w:rsidR="00210472">
        <w:rPr>
          <w:rFonts w:hint="cs"/>
          <w:rtl/>
        </w:rPr>
        <w:t>ً</w:t>
      </w:r>
      <w:r w:rsidRPr="001F0C13">
        <w:rPr>
          <w:rtl/>
        </w:rPr>
        <w:t xml:space="preserve"> لتقرير صادر عن منظمة التعاون والتنمية في الميدان الاقتصادي نُشر في عام 2017، كان ما يقرب من واحد من كل خمسة هواتف متنقلة يشحن دوليا</w:t>
      </w:r>
      <w:r w:rsidR="00210472">
        <w:rPr>
          <w:rFonts w:hint="cs"/>
          <w:rtl/>
        </w:rPr>
        <w:t>ً</w:t>
      </w:r>
      <w:r w:rsidRPr="001F0C13">
        <w:rPr>
          <w:rtl/>
        </w:rPr>
        <w:t xml:space="preserve"> مزوراً أو مزيفاً. وتثقل التجارة المتنامية في تكنولوجيا المعلومات ومعدات الاتصالات المزيفة كاهل المستهلكين والمصنعين والموارد المالية العامة.</w:t>
      </w:r>
    </w:p>
    <w:p w14:paraId="77D6EAD0" w14:textId="078CD205" w:rsidR="001F0C13" w:rsidRPr="001F0C13" w:rsidRDefault="001F0C13" w:rsidP="001F0C13">
      <w:pPr>
        <w:rPr>
          <w:lang w:val="ar-SA" w:bidi="ar-EG"/>
        </w:rPr>
      </w:pPr>
      <w:r w:rsidRPr="001F0C13">
        <w:rPr>
          <w:rtl/>
        </w:rPr>
        <w:t>وجهاز تكنولوجيا المعلومات والاتصالات المزيف منتج ينتهك العلامات التجارية انتهاكاً واضحاً، وينسخ تصاميم العتاد أو البرمجيات، وينتهك حقوق العلامة التجارية أو التعبئة والتغليف للمنتج الأصلي أو الحقيقي، وبصفة عامة، فهو ينتهك المعايير التقنية المنطبقة على الصعيد الوطني و/أو الدولي، والمتطلبات التنظيمية أو عمليات المطابقة، أو اتفاقات ترخيص التصنيع، أو المتطلبات القانونية المرعية الأخرى</w:t>
      </w:r>
      <w:r w:rsidR="0017500A">
        <w:rPr>
          <w:rFonts w:hint="cs"/>
          <w:rtl/>
        </w:rPr>
        <w:t>.</w:t>
      </w:r>
      <w:r w:rsidRPr="001F0C13">
        <w:rPr>
          <w:rtl/>
        </w:rPr>
        <w:t xml:space="preserve"> وتشمل أجهزة الاتصالات/تكنولوجيا المعلومات والاتصالات المتنقلة الرئيسية، في جملة أمور، الهواتف الذكية والحواسيب اللوحية وأجهزة إنترنت الأشياء والأجهزة الملبوسة والمودمات والدونغلات ومسيِّرات الشبكة المحلية اللاسلكية المزودة بتوصيلية الشبكات الخلوية. وبالإضافة إلى أجهزة الاتصالات/تكنولوجيا المعلومات والاتصالات المتنقلة المزيفة، يتسبب استخدام الأجهزة المسروقة في الشبكات المتنقلة أيضا</w:t>
      </w:r>
      <w:r w:rsidR="0017500A">
        <w:rPr>
          <w:rFonts w:hint="cs"/>
          <w:rtl/>
        </w:rPr>
        <w:t>ً</w:t>
      </w:r>
      <w:r w:rsidRPr="001F0C13">
        <w:rPr>
          <w:rtl/>
        </w:rPr>
        <w:t xml:space="preserve"> بمشكلة خطيرة تتعلق بالأمن والقانون والنظام.</w:t>
      </w:r>
    </w:p>
    <w:p w14:paraId="0AFB1F88" w14:textId="495E1C46" w:rsidR="001F0C13" w:rsidRPr="001F0C13" w:rsidRDefault="001F0C13" w:rsidP="001F0C13">
      <w:pPr>
        <w:rPr>
          <w:lang w:val="ar-SA" w:bidi="ar-EG"/>
        </w:rPr>
      </w:pPr>
      <w:r w:rsidRPr="001F0C13">
        <w:rPr>
          <w:rtl/>
        </w:rPr>
        <w:t xml:space="preserve">ويشكل الانتشار غير المحدد لأجهزة الاتصالات/تكنولوجيا المعلومات والاتصالات المتنقلة المزيفة والمسروقة في الشبكات المتنقلة البرية العمومية </w:t>
      </w:r>
      <w:r w:rsidRPr="001F0C13">
        <w:rPr>
          <w:lang w:val="en-GB" w:bidi="ar-EG"/>
        </w:rPr>
        <w:t>(PLMN</w:t>
      </w:r>
      <w:r w:rsidR="0017500A">
        <w:rPr>
          <w:lang w:bidi="ar-EG"/>
        </w:rPr>
        <w:t>)</w:t>
      </w:r>
      <w:r w:rsidRPr="001F0C13">
        <w:rPr>
          <w:rtl/>
        </w:rPr>
        <w:t xml:space="preserve"> تحديا</w:t>
      </w:r>
      <w:r w:rsidR="0017500A">
        <w:rPr>
          <w:rFonts w:hint="cs"/>
          <w:rtl/>
        </w:rPr>
        <w:t>ً</w:t>
      </w:r>
      <w:r w:rsidRPr="001F0C13">
        <w:rPr>
          <w:rtl/>
        </w:rPr>
        <w:t xml:space="preserve"> خطيرا</w:t>
      </w:r>
      <w:r w:rsidR="0017500A">
        <w:rPr>
          <w:rFonts w:hint="cs"/>
          <w:rtl/>
        </w:rPr>
        <w:t>ً</w:t>
      </w:r>
      <w:r w:rsidRPr="001F0C13">
        <w:rPr>
          <w:rtl/>
        </w:rPr>
        <w:t xml:space="preserve"> للهيئات التنظيمية ووكالات إنفاذ القانون (</w:t>
      </w:r>
      <w:r w:rsidRPr="001F0C13">
        <w:rPr>
          <w:lang w:val="en-GB" w:bidi="ar-EG"/>
        </w:rPr>
        <w:t>LEA</w:t>
      </w:r>
      <w:r w:rsidRPr="001F0C13">
        <w:rPr>
          <w:rtl/>
        </w:rPr>
        <w:t>) والمستهلكين النهائيين ويؤثر سلبا</w:t>
      </w:r>
      <w:r w:rsidR="0017500A">
        <w:rPr>
          <w:rFonts w:hint="cs"/>
          <w:rtl/>
        </w:rPr>
        <w:t>ً</w:t>
      </w:r>
      <w:r w:rsidRPr="001F0C13">
        <w:rPr>
          <w:rtl/>
        </w:rPr>
        <w:t xml:space="preserve"> على الاقتصاد عموما</w:t>
      </w:r>
      <w:r w:rsidR="0017500A">
        <w:rPr>
          <w:rFonts w:hint="cs"/>
          <w:rtl/>
        </w:rPr>
        <w:t>ً</w:t>
      </w:r>
      <w:r w:rsidRPr="001F0C13">
        <w:rPr>
          <w:rtl/>
        </w:rPr>
        <w:t>. وتعقد اقتصاديات العرض والطلب للأجهزة المزيفة والمسروقة المحاولات الرامية إلى كبح سيناريو السوق المحلية والعالمية لهذه الأجهزة.</w:t>
      </w:r>
    </w:p>
    <w:p w14:paraId="5EF56285" w14:textId="6ACB8193" w:rsidR="001F0C13" w:rsidRPr="001F0C13" w:rsidRDefault="001F0C13" w:rsidP="001F0C13">
      <w:pPr>
        <w:rPr>
          <w:lang w:val="ar-SA" w:bidi="ar-EG"/>
        </w:rPr>
      </w:pPr>
      <w:r w:rsidRPr="001F0C13">
        <w:rPr>
          <w:rtl/>
        </w:rPr>
        <w:t>وتوفر التوصية ITU-T Q.5050 إطارا</w:t>
      </w:r>
      <w:r w:rsidR="0017500A">
        <w:rPr>
          <w:rFonts w:hint="cs"/>
          <w:rtl/>
        </w:rPr>
        <w:t>ً</w:t>
      </w:r>
      <w:r w:rsidRPr="001F0C13">
        <w:rPr>
          <w:rtl/>
        </w:rPr>
        <w:t xml:space="preserve"> مرجعيا</w:t>
      </w:r>
      <w:r w:rsidR="0017500A">
        <w:rPr>
          <w:rFonts w:hint="cs"/>
          <w:rtl/>
        </w:rPr>
        <w:t>ً</w:t>
      </w:r>
      <w:r w:rsidRPr="001F0C13">
        <w:rPr>
          <w:rtl/>
        </w:rPr>
        <w:t xml:space="preserve"> يتضمن تحديات ومتطلبات إجمالية ينبغي النظر فيها عند نشر حلول لمكافحة تداول واستعمال أجهزة تكنولوجيا المعلومات والاتصالات المزيفة. وعلاوة</w:t>
      </w:r>
      <w:r w:rsidR="0017500A">
        <w:rPr>
          <w:rFonts w:hint="cs"/>
          <w:rtl/>
        </w:rPr>
        <w:t>ً</w:t>
      </w:r>
      <w:r w:rsidRPr="001F0C13">
        <w:rPr>
          <w:rtl/>
        </w:rPr>
        <w:t xml:space="preserve"> على ذلك، تقدم التوصية ITU-T Q.5051 "إطارا</w:t>
      </w:r>
      <w:r w:rsidR="0017500A">
        <w:rPr>
          <w:rFonts w:hint="cs"/>
          <w:rtl/>
        </w:rPr>
        <w:t>ً</w:t>
      </w:r>
      <w:r w:rsidRPr="001F0C13">
        <w:rPr>
          <w:rtl/>
        </w:rPr>
        <w:t xml:space="preserve"> لمكافحة استخدام الأجهزة المتنقلة المسروقة". وهي تهدف أيضا</w:t>
      </w:r>
      <w:r w:rsidR="0017500A">
        <w:rPr>
          <w:rFonts w:hint="cs"/>
          <w:rtl/>
        </w:rPr>
        <w:t>ً</w:t>
      </w:r>
      <w:r w:rsidRPr="001F0C13">
        <w:rPr>
          <w:rtl/>
        </w:rPr>
        <w:t xml:space="preserve"> إلى تحديد قنوات الاتصال الممكنة وواجهات المستهلك مع المنصة وأنساق الاستعلام والاستجابة الإرشادية بما في ذلك نُهج لتثقيف المستهلك وتوعيته. وتغطي التوصية أيضا</w:t>
      </w:r>
      <w:r w:rsidR="0017500A">
        <w:rPr>
          <w:rFonts w:hint="cs"/>
          <w:rtl/>
        </w:rPr>
        <w:t>ً</w:t>
      </w:r>
      <w:r w:rsidRPr="001F0C13">
        <w:rPr>
          <w:rtl/>
        </w:rPr>
        <w:t xml:space="preserve"> الميزات الرئيسية للمنصة والاعتبارات الأمنية الرئيسية وسيناريوهات التنفيذ والتحديات التقنية المحتملة المتعلقة، في جملة أمور، بالواجهات غير المحصورة في بائع معيَّن، والتحقق من المعدات المتنقلة بالجملة، والتعامل مع الأجهزة ذات معرفات الهوية الفريدة المستنسخة والإبلاغ عن أجهزة الاتصالات/تكنولوجيا المعلومات والاتصالات المتنقلة المسروقة أو المفقودة ومعالجتها وتجديدها بعد استعادتها.</w:t>
      </w:r>
    </w:p>
    <w:p w14:paraId="06D1786A" w14:textId="77777777" w:rsidR="001F0C13" w:rsidRPr="001F0C13" w:rsidRDefault="001F0C13" w:rsidP="001F0C13">
      <w:pPr>
        <w:rPr>
          <w:lang w:val="ar-SA" w:bidi="ar-EG"/>
        </w:rPr>
      </w:pPr>
      <w:r w:rsidRPr="001F0C13">
        <w:rPr>
          <w:rtl/>
        </w:rPr>
        <w:t>ولذلك، تهدف هذه التوصية إلى تقديم إطار يركز على المستهلك من خلال منصة موحدة تنظر في السيناريوهات المحتملة ونهج متعدد الجوانب لمكافحة أجهزة الاتصالات/تكنولوجيا المعلومات والاتصالات المتنقلة المزيفة والمسروقة.</w:t>
      </w:r>
    </w:p>
    <w:p w14:paraId="437729B9" w14:textId="0CF129E8" w:rsidR="00D3285B" w:rsidRDefault="001F0C13" w:rsidP="001F0C13">
      <w:pPr>
        <w:rPr>
          <w:lang w:val="fr-CH"/>
        </w:rPr>
      </w:pPr>
      <w:r w:rsidRPr="001F0C13">
        <w:rPr>
          <w:rtl/>
        </w:rPr>
        <w:t>ملاحظة من مكتب تقييس الاتصالات - لم يتلقَ مكتب تقييس الاتصالات حتى تاريخ هذه الرسالة المعممة أي بيانات عن حقوق الملكية الفكرية فيما يخص مشروع النص هذا. وللاطلاع على أحدث المعلومات بهذا الشأن، يُرجى من الأعضاء الرجوع إلى قاعدة بيانات حقوق الملكية الفكرية المتاحة عبر الرابط التالي</w:t>
      </w:r>
      <w:r w:rsidR="0017500A" w:rsidRPr="0017500A">
        <w:rPr>
          <w:rFonts w:hint="cs"/>
          <w:rtl/>
          <w:lang w:val="en-GB" w:bidi="ar-EG"/>
        </w:rPr>
        <w:t xml:space="preserve">: </w:t>
      </w:r>
      <w:hyperlink r:id="rId11" w:history="1">
        <w:r w:rsidR="0017500A" w:rsidRPr="0017500A">
          <w:rPr>
            <w:rStyle w:val="Hyperlink"/>
          </w:rPr>
          <w:t>www.itu.int/ipr/</w:t>
        </w:r>
      </w:hyperlink>
      <w:r w:rsidR="0017500A" w:rsidRPr="0017500A">
        <w:rPr>
          <w:rFonts w:hint="cs"/>
          <w:rtl/>
        </w:rPr>
        <w:t>.</w:t>
      </w:r>
    </w:p>
    <w:p w14:paraId="06BD1E2F" w14:textId="77777777" w:rsidR="00D3285B" w:rsidRDefault="00D3285B" w:rsidP="001F0C13">
      <w:pPr>
        <w:rPr>
          <w:lang w:val="fr-CH"/>
        </w:rPr>
      </w:pPr>
    </w:p>
    <w:p w14:paraId="29BD3710" w14:textId="77777777" w:rsidR="00D3285B" w:rsidRDefault="00D3285B" w:rsidP="001F0C13">
      <w:pPr>
        <w:rPr>
          <w:lang w:val="fr-CH" w:bidi="ar-EG"/>
        </w:rPr>
      </w:pPr>
    </w:p>
    <w:p w14:paraId="507CE97F" w14:textId="77777777" w:rsidR="00D3285B" w:rsidRPr="00D3285B" w:rsidRDefault="00D3285B" w:rsidP="001F0C13">
      <w:pPr>
        <w:rPr>
          <w:lang w:val="fr-CH" w:bidi="ar-EG"/>
        </w:rPr>
      </w:pPr>
    </w:p>
    <w:p w14:paraId="393AFFCF" w14:textId="0BEBDF43" w:rsidR="001F0C13" w:rsidRPr="001F0C13" w:rsidRDefault="001F0C13" w:rsidP="0017500A">
      <w:pPr>
        <w:pStyle w:val="Heading1"/>
        <w:rPr>
          <w:lang w:val="ar-SA" w:bidi="ar-EG"/>
        </w:rPr>
      </w:pPr>
      <w:r w:rsidRPr="001F0C13">
        <w:rPr>
          <w:rtl/>
        </w:rPr>
        <w:t>2</w:t>
      </w:r>
      <w:r w:rsidRPr="001F0C13">
        <w:rPr>
          <w:rtl/>
        </w:rPr>
        <w:tab/>
        <w:t>مشروع التوصية الجديدة ITU-T Q.5010 (Q.UAMS-SRA، سابقاً) [</w:t>
      </w:r>
      <w:hyperlink r:id="rId12" w:history="1">
        <w:r w:rsidR="0017500A" w:rsidRPr="0017500A">
          <w:rPr>
            <w:rStyle w:val="Hyperlink"/>
            <w:lang w:val="fr-FR"/>
          </w:rPr>
          <w:t>SG11-R29</w:t>
        </w:r>
      </w:hyperlink>
      <w:r w:rsidRPr="001F0C13">
        <w:rPr>
          <w:rtl/>
        </w:rPr>
        <w:t>]</w:t>
      </w:r>
    </w:p>
    <w:p w14:paraId="2774729B" w14:textId="77777777" w:rsidR="001F0C13" w:rsidRPr="001F0C13" w:rsidRDefault="001F0C13" w:rsidP="0017500A">
      <w:pPr>
        <w:pStyle w:val="Headingb"/>
        <w:rPr>
          <w:lang w:val="ar-SA" w:bidi="ar-EG"/>
        </w:rPr>
      </w:pPr>
      <w:r w:rsidRPr="001F0C13">
        <w:rPr>
          <w:rtl/>
        </w:rPr>
        <w:t>متطلبات ومعمارية التشوير لبيئة خدمة التنقل الجوي في المناطق الحضرية</w:t>
      </w:r>
    </w:p>
    <w:p w14:paraId="395D65F2" w14:textId="77777777" w:rsidR="001F0C13" w:rsidRPr="001F0C13" w:rsidRDefault="001F0C13" w:rsidP="0017500A">
      <w:pPr>
        <w:pStyle w:val="Headingb"/>
        <w:rPr>
          <w:lang w:val="ar-SA" w:bidi="ar-EG"/>
        </w:rPr>
      </w:pPr>
      <w:r w:rsidRPr="001F0C13">
        <w:rPr>
          <w:rtl/>
        </w:rPr>
        <w:t>ملخص</w:t>
      </w:r>
    </w:p>
    <w:p w14:paraId="4F1CD340" w14:textId="52EBE719" w:rsidR="001F0C13" w:rsidRPr="001F0C13" w:rsidRDefault="001F0C13" w:rsidP="001F0C13">
      <w:pPr>
        <w:rPr>
          <w:lang w:val="ar-SA" w:bidi="ar-EG"/>
        </w:rPr>
      </w:pPr>
      <w:r w:rsidRPr="001F0C13">
        <w:rPr>
          <w:rtl/>
        </w:rPr>
        <w:t xml:space="preserve">تقدم هذه التوصية متطلبات ومعمارية التشوير لخدمات تنقلية الهواء في المناطق الحضرية </w:t>
      </w:r>
      <w:r w:rsidRPr="001F0C13">
        <w:rPr>
          <w:lang w:val="en-GB" w:bidi="ar-EG"/>
        </w:rPr>
        <w:t>(UAM</w:t>
      </w:r>
      <w:r w:rsidR="0017500A">
        <w:rPr>
          <w:lang w:val="en-GB" w:bidi="ar-EG"/>
        </w:rPr>
        <w:t>)</w:t>
      </w:r>
      <w:r w:rsidRPr="001F0C13">
        <w:rPr>
          <w:rtl/>
        </w:rPr>
        <w:t>. وتشمل هذه المتطلبات معلومات التشوير عبر كل نقطة مرجعية وإجراءات خدمة للاتصال بين معدات المستعمل (</w:t>
      </w:r>
      <w:r w:rsidRPr="001F0C13">
        <w:rPr>
          <w:lang w:val="en-GB" w:bidi="ar-EG"/>
        </w:rPr>
        <w:t>UE</w:t>
      </w:r>
      <w:r w:rsidRPr="001F0C13">
        <w:rPr>
          <w:rtl/>
        </w:rPr>
        <w:t xml:space="preserve">) وطبقة النفاذ والطبقة الأساسية وطبقة الخدمة لخدمات </w:t>
      </w:r>
      <w:r w:rsidRPr="001F0C13">
        <w:rPr>
          <w:lang w:val="en-GB" w:bidi="ar-EG"/>
        </w:rPr>
        <w:t>UAM</w:t>
      </w:r>
      <w:r w:rsidRPr="001F0C13">
        <w:rPr>
          <w:rtl/>
        </w:rPr>
        <w:t>.</w:t>
      </w:r>
    </w:p>
    <w:p w14:paraId="1FE10C07" w14:textId="394EB50B" w:rsidR="001F0C13" w:rsidRDefault="001F0C13" w:rsidP="0017500A">
      <w:pPr>
        <w:rPr>
          <w:rtl/>
        </w:rPr>
      </w:pPr>
      <w:r w:rsidRPr="001F0C13">
        <w:rPr>
          <w:b/>
          <w:bCs/>
          <w:rtl/>
        </w:rPr>
        <w:t>ملاحظة من مكتب تقييس الاتصالات</w:t>
      </w:r>
      <w:r w:rsidRPr="001F0C13">
        <w:rPr>
          <w:rtl/>
        </w:rPr>
        <w:t xml:space="preserve"> - لم يتلقَ مكتب تقييس الاتصالات حتى تاريخ هذه الرسالة المعممة أي بيانات عن حقوق الملكية الفكرية فيما يخص مشروع النص هذا. وللاطلاع على أحدث المعلومات بهذا الشأن، يُرجى من الأعضاء الرجوع إلى قاعدة بيانات حقوق الملكية الفكرية المتاحة عبر الرابط التالي</w:t>
      </w:r>
      <w:r w:rsidR="0017500A">
        <w:rPr>
          <w:rFonts w:hint="cs"/>
          <w:rtl/>
          <w:lang w:val="en-GB" w:bidi="ar-EG"/>
        </w:rPr>
        <w:t xml:space="preserve">: </w:t>
      </w:r>
      <w:hyperlink r:id="rId13" w:history="1">
        <w:r w:rsidR="0017500A" w:rsidRPr="0017500A">
          <w:rPr>
            <w:rStyle w:val="Hyperlink"/>
            <w:lang w:val="en-GB"/>
          </w:rPr>
          <w:t>www.itu.int/ipr/</w:t>
        </w:r>
      </w:hyperlink>
      <w:r w:rsidR="0017500A">
        <w:rPr>
          <w:rFonts w:hint="cs"/>
          <w:rtl/>
        </w:rPr>
        <w:t>.</w:t>
      </w:r>
    </w:p>
    <w:p w14:paraId="1B8442DD" w14:textId="3C05D6ED" w:rsidR="0017500A" w:rsidRDefault="0017500A">
      <w:pPr>
        <w:tabs>
          <w:tab w:val="clear" w:pos="794"/>
        </w:tabs>
        <w:bidi w:val="0"/>
        <w:spacing w:before="0" w:after="160" w:line="259" w:lineRule="auto"/>
        <w:jc w:val="left"/>
        <w:rPr>
          <w:rtl/>
        </w:rPr>
      </w:pPr>
      <w:r>
        <w:rPr>
          <w:rtl/>
        </w:rPr>
        <w:br w:type="page"/>
      </w:r>
    </w:p>
    <w:p w14:paraId="1E39D98A" w14:textId="006F0CBA" w:rsidR="001F0C13" w:rsidRPr="001F0C13" w:rsidRDefault="001F0C13" w:rsidP="0017500A">
      <w:pPr>
        <w:pStyle w:val="Annextitle"/>
        <w:rPr>
          <w:lang w:val="ar-SA" w:bidi="ar-EG"/>
        </w:rPr>
      </w:pPr>
      <w:r w:rsidRPr="001F0C13">
        <w:rPr>
          <w:rtl/>
        </w:rPr>
        <w:lastRenderedPageBreak/>
        <w:t xml:space="preserve"> الملحق 2</w:t>
      </w:r>
      <w:r w:rsidR="0017500A">
        <w:rPr>
          <w:rtl/>
        </w:rPr>
        <w:br/>
      </w:r>
      <w:r w:rsidRPr="001F0C13">
        <w:rPr>
          <w:rtl/>
        </w:rPr>
        <w:t>الموضوع: رد الدول الأعضاء على الرسالة المعممة 223 TSB</w:t>
      </w:r>
      <w:r w:rsidRPr="00D3285B">
        <w:rPr>
          <w:lang w:val="fr-CH" w:bidi="ar-EG"/>
        </w:rPr>
        <w:t>:</w:t>
      </w:r>
      <w:r w:rsidRPr="001F0C13">
        <w:rPr>
          <w:rtl/>
        </w:rPr>
        <w:t xml:space="preserve"> المشاورة بشأن مشروعي التوصيتين الجديدتين المحددتين ITU-T Q.5054 (Q.CCF-CCSD سابقاً) </w:t>
      </w:r>
      <w:r w:rsidR="0017500A">
        <w:rPr>
          <w:rtl/>
        </w:rPr>
        <w:br/>
      </w:r>
      <w:r w:rsidRPr="001F0C13">
        <w:rPr>
          <w:rtl/>
        </w:rPr>
        <w:t>وITU-T Q.5010 (Q.UAMS-SRA سابقاً)</w:t>
      </w:r>
    </w:p>
    <w:tbl>
      <w:tblPr>
        <w:bidiVisual/>
        <w:tblW w:w="5000" w:type="pct"/>
        <w:jc w:val="center"/>
        <w:tblLayout w:type="fixed"/>
        <w:tblLook w:val="04A0" w:firstRow="1" w:lastRow="0" w:firstColumn="1" w:lastColumn="0" w:noHBand="0" w:noVBand="1"/>
      </w:tblPr>
      <w:tblGrid>
        <w:gridCol w:w="1655"/>
        <w:gridCol w:w="3438"/>
        <w:gridCol w:w="1567"/>
        <w:gridCol w:w="2979"/>
      </w:tblGrid>
      <w:tr w:rsidR="009247E9" w:rsidRPr="00D542DF" w14:paraId="6A295B00" w14:textId="77777777" w:rsidTr="009247E9">
        <w:trPr>
          <w:jc w:val="center"/>
        </w:trPr>
        <w:tc>
          <w:tcPr>
            <w:tcW w:w="1655" w:type="dxa"/>
            <w:hideMark/>
          </w:tcPr>
          <w:p w14:paraId="054F242E" w14:textId="77777777" w:rsidR="009247E9" w:rsidRPr="00D542DF" w:rsidRDefault="009247E9" w:rsidP="00142281">
            <w:pPr>
              <w:spacing w:before="60" w:after="60" w:line="320" w:lineRule="exact"/>
              <w:rPr>
                <w:rtl/>
              </w:rPr>
            </w:pPr>
            <w:r w:rsidRPr="00D542DF">
              <w:rPr>
                <w:b/>
                <w:bCs/>
                <w:rtl/>
              </w:rPr>
              <w:t>إلى:</w:t>
            </w:r>
          </w:p>
        </w:tc>
        <w:tc>
          <w:tcPr>
            <w:tcW w:w="3438" w:type="dxa"/>
            <w:tcBorders>
              <w:top w:val="nil"/>
              <w:left w:val="nil"/>
              <w:bottom w:val="nil"/>
              <w:right w:val="single" w:sz="4" w:space="0" w:color="auto"/>
            </w:tcBorders>
            <w:hideMark/>
          </w:tcPr>
          <w:p w14:paraId="482B9EED" w14:textId="77777777" w:rsidR="009247E9" w:rsidRPr="00D542DF" w:rsidRDefault="009247E9" w:rsidP="00142281">
            <w:pPr>
              <w:spacing w:before="60" w:after="60" w:line="320" w:lineRule="exact"/>
              <w:jc w:val="left"/>
              <w:rPr>
                <w:lang w:val="ru-RU" w:bidi="ar-EG"/>
              </w:rPr>
            </w:pPr>
            <w:r w:rsidRPr="00D542DF">
              <w:rPr>
                <w:b/>
                <w:rtl/>
                <w:lang w:bidi="ar-SY"/>
              </w:rPr>
              <w:t>مدير مكتب تقييس الاتصالات</w:t>
            </w:r>
            <w:r w:rsidRPr="00D542DF">
              <w:rPr>
                <w:b/>
                <w:rtl/>
                <w:lang w:bidi="ar-EG"/>
              </w:rPr>
              <w:br/>
            </w:r>
            <w:r w:rsidRPr="00D542DF">
              <w:rPr>
                <w:b/>
                <w:rtl/>
                <w:lang w:bidi="ar-SY"/>
              </w:rPr>
              <w:t>الاتحاد الدولي للاتصالات</w:t>
            </w:r>
            <w:r w:rsidRPr="00D542DF">
              <w:rPr>
                <w:b/>
                <w:rtl/>
              </w:rPr>
              <w:br/>
            </w:r>
            <w:r w:rsidRPr="00D542DF">
              <w:rPr>
                <w:lang w:val="fr-CH" w:bidi="ar-EG"/>
              </w:rPr>
              <w:t>Place des Nations</w:t>
            </w:r>
            <w:r w:rsidRPr="00D542DF">
              <w:rPr>
                <w:rtl/>
              </w:rPr>
              <w:br/>
            </w:r>
            <w:r w:rsidRPr="00D542DF">
              <w:rPr>
                <w:lang w:bidi="ar-EG"/>
              </w:rPr>
              <w:t>CH 1211 Geneva 20, Switzerland</w:t>
            </w:r>
          </w:p>
        </w:tc>
        <w:tc>
          <w:tcPr>
            <w:tcW w:w="1567" w:type="dxa"/>
            <w:tcBorders>
              <w:top w:val="nil"/>
              <w:left w:val="single" w:sz="4" w:space="0" w:color="auto"/>
              <w:bottom w:val="nil"/>
              <w:right w:val="nil"/>
            </w:tcBorders>
            <w:hideMark/>
          </w:tcPr>
          <w:p w14:paraId="4C7CB600" w14:textId="77777777" w:rsidR="009247E9" w:rsidRPr="00D542DF" w:rsidRDefault="009247E9" w:rsidP="00142281">
            <w:pPr>
              <w:spacing w:before="60" w:after="60" w:line="320" w:lineRule="exact"/>
              <w:rPr>
                <w:rtl/>
              </w:rPr>
            </w:pPr>
            <w:r w:rsidRPr="00D542DF">
              <w:rPr>
                <w:b/>
                <w:bCs/>
                <w:rtl/>
                <w:lang w:bidi="ar-SY"/>
              </w:rPr>
              <w:t>من:</w:t>
            </w:r>
          </w:p>
        </w:tc>
        <w:tc>
          <w:tcPr>
            <w:tcW w:w="2979" w:type="dxa"/>
            <w:hideMark/>
          </w:tcPr>
          <w:p w14:paraId="675EF7E9" w14:textId="77777777" w:rsidR="009247E9" w:rsidRPr="00D542DF" w:rsidRDefault="009247E9" w:rsidP="00142281">
            <w:pPr>
              <w:spacing w:before="60" w:after="60" w:line="320" w:lineRule="exact"/>
              <w:rPr>
                <w:highlight w:val="green"/>
                <w:rtl/>
                <w:lang w:val="ru-RU" w:bidi="ar-EG"/>
              </w:rPr>
            </w:pPr>
            <w:r w:rsidRPr="00D542DF">
              <w:rPr>
                <w:highlight w:val="green"/>
                <w:rtl/>
                <w:lang w:bidi="ar-SY"/>
              </w:rPr>
              <w:t>[الاسم]</w:t>
            </w:r>
          </w:p>
          <w:p w14:paraId="4159A4A6" w14:textId="4A0FC8A7" w:rsidR="009247E9" w:rsidRPr="009247E9" w:rsidRDefault="009247E9" w:rsidP="00142281">
            <w:pPr>
              <w:spacing w:before="60" w:after="60" w:line="320" w:lineRule="exact"/>
              <w:jc w:val="left"/>
              <w:rPr>
                <w:spacing w:val="-2"/>
                <w:highlight w:val="green"/>
                <w:rtl/>
                <w:lang w:val="ru-RU" w:bidi="ar-EG"/>
              </w:rPr>
            </w:pPr>
            <w:r w:rsidRPr="009247E9">
              <w:rPr>
                <w:spacing w:val="-2"/>
                <w:highlight w:val="green"/>
                <w:rtl/>
                <w:lang w:bidi="ar-SY"/>
              </w:rPr>
              <w:t>[</w:t>
            </w:r>
            <w:r>
              <w:rPr>
                <w:rFonts w:hint="cs"/>
                <w:spacing w:val="-2"/>
                <w:highlight w:val="green"/>
                <w:rtl/>
                <w:lang w:bidi="ar-SY"/>
              </w:rPr>
              <w:t>الدور</w:t>
            </w:r>
            <w:r w:rsidRPr="009247E9">
              <w:rPr>
                <w:spacing w:val="-2"/>
                <w:highlight w:val="green"/>
                <w:rtl/>
                <w:lang w:bidi="ar-SY"/>
              </w:rPr>
              <w:t>/</w:t>
            </w:r>
            <w:r w:rsidRPr="009247E9">
              <w:rPr>
                <w:rFonts w:hint="cs"/>
                <w:spacing w:val="-2"/>
                <w:highlight w:val="green"/>
                <w:rtl/>
                <w:lang w:bidi="ar-SY"/>
              </w:rPr>
              <w:t>المنصب</w:t>
            </w:r>
            <w:r w:rsidRPr="009247E9">
              <w:rPr>
                <w:spacing w:val="-2"/>
                <w:highlight w:val="green"/>
                <w:rtl/>
                <w:lang w:bidi="ar-SY"/>
              </w:rPr>
              <w:t xml:space="preserve"> الرسمي]</w:t>
            </w:r>
          </w:p>
          <w:p w14:paraId="270E4993" w14:textId="77777777" w:rsidR="009247E9" w:rsidRPr="00D542DF" w:rsidRDefault="009247E9" w:rsidP="00142281">
            <w:pPr>
              <w:spacing w:before="60" w:after="60" w:line="320" w:lineRule="exact"/>
              <w:rPr>
                <w:lang w:val="ru-RU" w:bidi="ar-EG"/>
              </w:rPr>
            </w:pPr>
            <w:r w:rsidRPr="00D542DF">
              <w:rPr>
                <w:highlight w:val="green"/>
                <w:rtl/>
                <w:lang w:bidi="ar-SY"/>
              </w:rPr>
              <w:t>[العنوان]</w:t>
            </w:r>
          </w:p>
        </w:tc>
      </w:tr>
      <w:tr w:rsidR="009247E9" w:rsidRPr="00D542DF" w14:paraId="6AC40BF1" w14:textId="77777777" w:rsidTr="009247E9">
        <w:trPr>
          <w:jc w:val="center"/>
        </w:trPr>
        <w:tc>
          <w:tcPr>
            <w:tcW w:w="1655" w:type="dxa"/>
            <w:hideMark/>
          </w:tcPr>
          <w:p w14:paraId="21D18DF5" w14:textId="0276108F" w:rsidR="009247E9" w:rsidRPr="00D542DF" w:rsidRDefault="009247E9" w:rsidP="009247E9">
            <w:pPr>
              <w:spacing w:before="60" w:after="60" w:line="320" w:lineRule="exact"/>
              <w:rPr>
                <w:lang w:val="ru-RU" w:bidi="ar-EG"/>
              </w:rPr>
            </w:pPr>
            <w:r w:rsidRPr="00D542DF">
              <w:rPr>
                <w:b/>
                <w:bCs/>
                <w:rtl/>
              </w:rPr>
              <w:t>الفاكس:</w:t>
            </w:r>
          </w:p>
        </w:tc>
        <w:tc>
          <w:tcPr>
            <w:tcW w:w="3438" w:type="dxa"/>
            <w:tcBorders>
              <w:top w:val="nil"/>
              <w:left w:val="nil"/>
              <w:bottom w:val="nil"/>
              <w:right w:val="single" w:sz="4" w:space="0" w:color="auto"/>
            </w:tcBorders>
            <w:hideMark/>
          </w:tcPr>
          <w:p w14:paraId="48C587F7" w14:textId="0C2115D9" w:rsidR="009247E9" w:rsidRPr="009247E9" w:rsidRDefault="009247E9" w:rsidP="009247E9">
            <w:pPr>
              <w:spacing w:before="60" w:after="60" w:line="320" w:lineRule="exact"/>
            </w:pPr>
            <w:r w:rsidRPr="009247E9">
              <w:rPr>
                <w:lang w:val="en-GB" w:bidi="ar-EG"/>
              </w:rPr>
              <w:t>+41-22-730-5853</w:t>
            </w:r>
          </w:p>
        </w:tc>
        <w:tc>
          <w:tcPr>
            <w:tcW w:w="1567" w:type="dxa"/>
            <w:tcBorders>
              <w:top w:val="nil"/>
              <w:left w:val="single" w:sz="4" w:space="0" w:color="auto"/>
              <w:bottom w:val="nil"/>
              <w:right w:val="nil"/>
            </w:tcBorders>
            <w:hideMark/>
          </w:tcPr>
          <w:p w14:paraId="1500AD01" w14:textId="3B4F529E" w:rsidR="009247E9" w:rsidRPr="009247E9" w:rsidRDefault="009247E9" w:rsidP="009247E9">
            <w:pPr>
              <w:spacing w:before="60" w:after="60" w:line="320" w:lineRule="exact"/>
              <w:rPr>
                <w:lang w:bidi="ar-EG"/>
              </w:rPr>
            </w:pPr>
            <w:r w:rsidRPr="00D542DF">
              <w:rPr>
                <w:b/>
                <w:bCs/>
                <w:rtl/>
              </w:rPr>
              <w:t>الفاكس:</w:t>
            </w:r>
          </w:p>
        </w:tc>
        <w:tc>
          <w:tcPr>
            <w:tcW w:w="2979" w:type="dxa"/>
          </w:tcPr>
          <w:p w14:paraId="55F9C9EA" w14:textId="77777777" w:rsidR="009247E9" w:rsidRPr="00D542DF" w:rsidRDefault="009247E9" w:rsidP="00142281">
            <w:pPr>
              <w:spacing w:before="60" w:after="60" w:line="320" w:lineRule="exact"/>
              <w:rPr>
                <w:lang w:val="ru-RU" w:bidi="ar-EG"/>
              </w:rPr>
            </w:pPr>
          </w:p>
        </w:tc>
      </w:tr>
      <w:tr w:rsidR="009247E9" w:rsidRPr="00D542DF" w14:paraId="452E5ED0" w14:textId="77777777" w:rsidTr="009247E9">
        <w:trPr>
          <w:jc w:val="center"/>
        </w:trPr>
        <w:tc>
          <w:tcPr>
            <w:tcW w:w="1655" w:type="dxa"/>
          </w:tcPr>
          <w:p w14:paraId="7E0B1901" w14:textId="42D7A364" w:rsidR="009247E9" w:rsidRPr="00D542DF" w:rsidRDefault="009247E9" w:rsidP="00142281">
            <w:pPr>
              <w:spacing w:before="60" w:after="60" w:line="320" w:lineRule="exact"/>
              <w:rPr>
                <w:lang w:val="ru-RU" w:bidi="ar-EG"/>
              </w:rPr>
            </w:pPr>
            <w:r w:rsidRPr="00D542DF">
              <w:rPr>
                <w:b/>
                <w:bCs/>
                <w:rtl/>
              </w:rPr>
              <w:t>البريد الإلكتروني:</w:t>
            </w:r>
          </w:p>
        </w:tc>
        <w:tc>
          <w:tcPr>
            <w:tcW w:w="3438" w:type="dxa"/>
            <w:tcBorders>
              <w:top w:val="nil"/>
              <w:left w:val="nil"/>
              <w:bottom w:val="nil"/>
              <w:right w:val="single" w:sz="4" w:space="0" w:color="auto"/>
            </w:tcBorders>
          </w:tcPr>
          <w:p w14:paraId="0ACB3041" w14:textId="4D1F640F" w:rsidR="009247E9" w:rsidRPr="00D542DF" w:rsidRDefault="00307AC8" w:rsidP="00142281">
            <w:pPr>
              <w:spacing w:before="60" w:after="60" w:line="320" w:lineRule="exact"/>
              <w:rPr>
                <w:lang w:val="ru-RU" w:bidi="ar-EG"/>
              </w:rPr>
            </w:pPr>
            <w:hyperlink r:id="rId14" w:history="1">
              <w:r w:rsidR="009247E9" w:rsidRPr="00D542DF">
                <w:rPr>
                  <w:rStyle w:val="Hyperlink"/>
                  <w:lang w:bidi="ar-EG"/>
                </w:rPr>
                <w:t>tsbdir@itu.int</w:t>
              </w:r>
            </w:hyperlink>
          </w:p>
        </w:tc>
        <w:tc>
          <w:tcPr>
            <w:tcW w:w="1567" w:type="dxa"/>
            <w:tcBorders>
              <w:top w:val="nil"/>
              <w:left w:val="single" w:sz="4" w:space="0" w:color="auto"/>
              <w:bottom w:val="nil"/>
              <w:right w:val="nil"/>
            </w:tcBorders>
          </w:tcPr>
          <w:p w14:paraId="3006EEE1" w14:textId="737A7109" w:rsidR="009247E9" w:rsidRPr="00D542DF" w:rsidRDefault="009247E9" w:rsidP="00142281">
            <w:pPr>
              <w:spacing w:before="60" w:after="60" w:line="320" w:lineRule="exact"/>
              <w:rPr>
                <w:lang w:val="ru-RU" w:bidi="ar-EG"/>
              </w:rPr>
            </w:pPr>
            <w:r w:rsidRPr="00D542DF">
              <w:rPr>
                <w:b/>
                <w:bCs/>
                <w:rtl/>
              </w:rPr>
              <w:t>البريد الإلكتروني:</w:t>
            </w:r>
          </w:p>
        </w:tc>
        <w:tc>
          <w:tcPr>
            <w:tcW w:w="2979" w:type="dxa"/>
          </w:tcPr>
          <w:p w14:paraId="1506E93C" w14:textId="6E22524F" w:rsidR="009247E9" w:rsidRPr="00D542DF" w:rsidRDefault="009247E9" w:rsidP="00142281">
            <w:pPr>
              <w:spacing w:before="60" w:after="60" w:line="320" w:lineRule="exact"/>
              <w:rPr>
                <w:highlight w:val="green"/>
                <w:lang w:val="ru-RU" w:bidi="ar-EG"/>
              </w:rPr>
            </w:pPr>
          </w:p>
        </w:tc>
      </w:tr>
      <w:tr w:rsidR="009247E9" w:rsidRPr="00D542DF" w14:paraId="741412EB" w14:textId="77777777" w:rsidTr="009247E9">
        <w:trPr>
          <w:jc w:val="center"/>
        </w:trPr>
        <w:tc>
          <w:tcPr>
            <w:tcW w:w="1655" w:type="dxa"/>
          </w:tcPr>
          <w:p w14:paraId="1EFB4DC7" w14:textId="77777777" w:rsidR="009247E9" w:rsidRPr="00D542DF" w:rsidRDefault="009247E9" w:rsidP="009247E9">
            <w:pPr>
              <w:spacing w:before="60" w:after="60" w:line="320" w:lineRule="exact"/>
              <w:rPr>
                <w:b/>
                <w:bCs/>
                <w:rtl/>
              </w:rPr>
            </w:pPr>
          </w:p>
        </w:tc>
        <w:tc>
          <w:tcPr>
            <w:tcW w:w="3438" w:type="dxa"/>
            <w:tcBorders>
              <w:top w:val="nil"/>
              <w:left w:val="nil"/>
              <w:bottom w:val="nil"/>
              <w:right w:val="single" w:sz="4" w:space="0" w:color="auto"/>
            </w:tcBorders>
          </w:tcPr>
          <w:p w14:paraId="29E380CB" w14:textId="77777777" w:rsidR="009247E9" w:rsidRDefault="009247E9" w:rsidP="009247E9">
            <w:pPr>
              <w:spacing w:before="60" w:after="60" w:line="320" w:lineRule="exact"/>
            </w:pPr>
          </w:p>
        </w:tc>
        <w:tc>
          <w:tcPr>
            <w:tcW w:w="1567" w:type="dxa"/>
            <w:tcBorders>
              <w:top w:val="nil"/>
              <w:left w:val="single" w:sz="4" w:space="0" w:color="auto"/>
              <w:bottom w:val="nil"/>
              <w:right w:val="nil"/>
            </w:tcBorders>
          </w:tcPr>
          <w:p w14:paraId="17D0B9C0" w14:textId="510694F7" w:rsidR="009247E9" w:rsidRPr="00D542DF" w:rsidRDefault="009247E9" w:rsidP="009247E9">
            <w:pPr>
              <w:spacing w:before="60" w:after="60" w:line="320" w:lineRule="exact"/>
              <w:rPr>
                <w:b/>
                <w:bCs/>
                <w:rtl/>
                <w:lang w:bidi="ar-EG"/>
              </w:rPr>
            </w:pPr>
            <w:r w:rsidRPr="00D542DF">
              <w:rPr>
                <w:b/>
                <w:bCs/>
                <w:rtl/>
                <w:lang w:bidi="ar-EG"/>
              </w:rPr>
              <w:t>التاريخ:</w:t>
            </w:r>
          </w:p>
        </w:tc>
        <w:tc>
          <w:tcPr>
            <w:tcW w:w="2979" w:type="dxa"/>
          </w:tcPr>
          <w:p w14:paraId="3D72B199" w14:textId="048DA698" w:rsidR="009247E9" w:rsidRPr="00D542DF" w:rsidRDefault="009247E9" w:rsidP="009247E9">
            <w:pPr>
              <w:spacing w:before="60" w:after="60" w:line="320" w:lineRule="exact"/>
              <w:rPr>
                <w:highlight w:val="green"/>
                <w:rtl/>
                <w:lang w:bidi="ar-EG"/>
              </w:rPr>
            </w:pPr>
            <w:r w:rsidRPr="00D542DF">
              <w:rPr>
                <w:highlight w:val="green"/>
                <w:rtl/>
                <w:lang w:bidi="ar-EG"/>
              </w:rPr>
              <w:t>[المكان]</w:t>
            </w:r>
            <w:r w:rsidRPr="00D542DF">
              <w:rPr>
                <w:highlight w:val="green"/>
                <w:rtl/>
              </w:rPr>
              <w:t xml:space="preserve">، </w:t>
            </w:r>
            <w:r w:rsidRPr="00D542DF">
              <w:rPr>
                <w:highlight w:val="green"/>
                <w:rtl/>
                <w:lang w:bidi="ar-EG"/>
              </w:rPr>
              <w:t>[التاريخ]</w:t>
            </w:r>
          </w:p>
        </w:tc>
      </w:tr>
    </w:tbl>
    <w:p w14:paraId="00D66CD4" w14:textId="77777777" w:rsidR="001F0C13" w:rsidRPr="001F0C13" w:rsidRDefault="001F0C13" w:rsidP="009247E9">
      <w:pPr>
        <w:spacing w:before="600"/>
        <w:rPr>
          <w:lang w:val="ar-SA" w:bidi="ar-EG"/>
        </w:rPr>
      </w:pPr>
      <w:r w:rsidRPr="001F0C13">
        <w:rPr>
          <w:rtl/>
        </w:rPr>
        <w:t>حضرات السادة والسيدات،</w:t>
      </w:r>
    </w:p>
    <w:p w14:paraId="3D19AD99" w14:textId="61457528" w:rsidR="001F0C13" w:rsidRPr="001F0C13" w:rsidRDefault="001F0C13" w:rsidP="009247E9">
      <w:pPr>
        <w:spacing w:after="120"/>
        <w:rPr>
          <w:lang w:val="ar-SA" w:bidi="ar-EG"/>
        </w:rPr>
      </w:pPr>
      <w:r w:rsidRPr="001F0C13">
        <w:rPr>
          <w:rtl/>
        </w:rPr>
        <w:t xml:space="preserve">فيما يتعلق بمشاورة الدول الأعضاء بشأن مشاريع النصوص المحددة الواردة في الرسالة المعممة 223 من مكتب تقييس الاتصالات </w:t>
      </w:r>
      <w:r w:rsidRPr="001F0C13">
        <w:rPr>
          <w:lang w:val="en-GB" w:bidi="ar-EG"/>
        </w:rPr>
        <w:t>(TSB</w:t>
      </w:r>
      <w:r w:rsidR="009247E9">
        <w:rPr>
          <w:lang w:bidi="ar-EG"/>
        </w:rPr>
        <w:t>)</w:t>
      </w:r>
      <w:r w:rsidRPr="001F0C13">
        <w:rPr>
          <w:rtl/>
        </w:rPr>
        <w:t>، أود أن أعبر لكم عن رأي هذه الإدارة الوارد في الجدول أدناه.</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580"/>
      </w:tblGrid>
      <w:tr w:rsidR="001F0C13" w:rsidRPr="001F0C13" w14:paraId="7EF73EE3" w14:textId="77777777" w:rsidTr="00B509EC">
        <w:trPr>
          <w:tblHeader/>
        </w:trPr>
        <w:tc>
          <w:tcPr>
            <w:tcW w:w="2067" w:type="dxa"/>
            <w:shd w:val="clear" w:color="auto" w:fill="auto"/>
            <w:vAlign w:val="center"/>
          </w:tcPr>
          <w:p w14:paraId="47F84754" w14:textId="77777777" w:rsidR="001F0C13" w:rsidRPr="001F0C13" w:rsidRDefault="001F0C13" w:rsidP="00B509EC">
            <w:pPr>
              <w:spacing w:before="80" w:after="80" w:line="300" w:lineRule="exact"/>
              <w:rPr>
                <w:b/>
                <w:bCs/>
                <w:position w:val="2"/>
                <w:sz w:val="20"/>
                <w:szCs w:val="20"/>
              </w:rPr>
            </w:pPr>
          </w:p>
        </w:tc>
        <w:tc>
          <w:tcPr>
            <w:tcW w:w="7652" w:type="dxa"/>
            <w:shd w:val="clear" w:color="auto" w:fill="auto"/>
            <w:vAlign w:val="center"/>
          </w:tcPr>
          <w:p w14:paraId="1AD52B9F" w14:textId="77777777" w:rsidR="001F0C13" w:rsidRPr="001F0C13" w:rsidRDefault="001F0C13" w:rsidP="00B509EC">
            <w:pPr>
              <w:spacing w:before="80" w:after="80" w:line="300" w:lineRule="exact"/>
              <w:jc w:val="center"/>
              <w:rPr>
                <w:b/>
                <w:bCs/>
                <w:position w:val="2"/>
                <w:sz w:val="20"/>
                <w:szCs w:val="20"/>
                <w:lang w:val="ar-SA" w:bidi="ar-EG"/>
              </w:rPr>
            </w:pPr>
            <w:r w:rsidRPr="001F0C13">
              <w:rPr>
                <w:b/>
                <w:bCs/>
                <w:position w:val="2"/>
                <w:sz w:val="20"/>
                <w:szCs w:val="20"/>
                <w:rtl/>
              </w:rPr>
              <w:t>يُرجى اختيار أحد المربعين فيما يتعلق بكل نص</w:t>
            </w:r>
          </w:p>
        </w:tc>
      </w:tr>
      <w:tr w:rsidR="001F0C13" w:rsidRPr="001F0C13" w14:paraId="5FB6BDA9" w14:textId="77777777" w:rsidTr="00B509EC">
        <w:trPr>
          <w:trHeight w:val="1050"/>
        </w:trPr>
        <w:tc>
          <w:tcPr>
            <w:tcW w:w="2067" w:type="dxa"/>
            <w:vMerge w:val="restart"/>
            <w:shd w:val="clear" w:color="auto" w:fill="auto"/>
            <w:vAlign w:val="center"/>
          </w:tcPr>
          <w:p w14:paraId="6E347948" w14:textId="40389267" w:rsidR="001F0C13" w:rsidRPr="001F0C13" w:rsidRDefault="001F0C13" w:rsidP="00B509EC">
            <w:pPr>
              <w:spacing w:before="80" w:after="80" w:line="300" w:lineRule="exact"/>
              <w:jc w:val="center"/>
              <w:rPr>
                <w:b/>
                <w:bCs/>
                <w:position w:val="2"/>
                <w:sz w:val="20"/>
                <w:szCs w:val="20"/>
                <w:lang w:val="ar-SA" w:bidi="ar-EG"/>
              </w:rPr>
            </w:pPr>
            <w:r w:rsidRPr="001F0C13">
              <w:rPr>
                <w:b/>
                <w:bCs/>
                <w:position w:val="2"/>
                <w:sz w:val="20"/>
                <w:szCs w:val="20"/>
                <w:rtl/>
              </w:rPr>
              <w:t xml:space="preserve">مشروع التوصية الجديدة </w:t>
            </w:r>
            <w:r w:rsidR="009247E9" w:rsidRPr="00B509EC">
              <w:rPr>
                <w:b/>
                <w:bCs/>
                <w:position w:val="2"/>
                <w:sz w:val="20"/>
                <w:szCs w:val="20"/>
                <w:lang w:val="en-GB"/>
              </w:rPr>
              <w:t>ITU-T Q.5054 (Q.CCF-CCSD)</w:t>
            </w:r>
          </w:p>
        </w:tc>
        <w:tc>
          <w:tcPr>
            <w:tcW w:w="7652" w:type="dxa"/>
            <w:shd w:val="clear" w:color="auto" w:fill="auto"/>
            <w:vAlign w:val="center"/>
          </w:tcPr>
          <w:p w14:paraId="6E1DB1DE" w14:textId="21A7867E" w:rsidR="001F0C13" w:rsidRPr="00B509EC" w:rsidRDefault="00307AC8" w:rsidP="00B509EC">
            <w:pPr>
              <w:pStyle w:val="enumlev1"/>
              <w:spacing w:after="80" w:line="300" w:lineRule="exact"/>
              <w:ind w:left="567" w:hanging="567"/>
              <w:rPr>
                <w:position w:val="2"/>
                <w:sz w:val="20"/>
                <w:szCs w:val="20"/>
                <w:lang w:val="ar-SA" w:bidi="ar-EG"/>
              </w:rPr>
            </w:pPr>
            <w:sdt>
              <w:sdtPr>
                <w:rPr>
                  <w:position w:val="2"/>
                  <w:sz w:val="20"/>
                  <w:szCs w:val="20"/>
                  <w:rtl/>
                </w:rPr>
                <w:id w:val="380135051"/>
                <w14:checkbox>
                  <w14:checked w14:val="0"/>
                  <w14:checkedState w14:val="2612" w14:font="MS Gothic"/>
                  <w14:uncheckedState w14:val="2610" w14:font="MS Gothic"/>
                </w14:checkbox>
              </w:sdtPr>
              <w:sdtEndPr/>
              <w:sdtContent>
                <w:r w:rsidR="009247E9" w:rsidRPr="00B509EC">
                  <w:rPr>
                    <w:rFonts w:ascii="Segoe UI Symbol" w:eastAsia="MS Gothic" w:hAnsi="Segoe UI Symbol" w:cs="Segoe UI Symbol" w:hint="cs"/>
                    <w:position w:val="2"/>
                    <w:sz w:val="20"/>
                    <w:szCs w:val="20"/>
                    <w:rtl/>
                  </w:rPr>
                  <w:t>☐</w:t>
                </w:r>
              </w:sdtContent>
            </w:sdt>
            <w:r w:rsidR="001F0C13" w:rsidRPr="00B509EC">
              <w:rPr>
                <w:position w:val="2"/>
                <w:sz w:val="20"/>
                <w:szCs w:val="20"/>
                <w:rtl/>
              </w:rPr>
              <w:tab/>
            </w:r>
            <w:r w:rsidR="001F0C13" w:rsidRPr="00B509EC">
              <w:rPr>
                <w:b/>
                <w:bCs/>
                <w:spacing w:val="-6"/>
                <w:position w:val="2"/>
                <w:sz w:val="20"/>
                <w:szCs w:val="20"/>
                <w:rtl/>
              </w:rPr>
              <w:t>تفوض</w:t>
            </w:r>
            <w:r w:rsidR="001F0C13" w:rsidRPr="00B509EC">
              <w:rPr>
                <w:spacing w:val="-6"/>
                <w:position w:val="2"/>
                <w:sz w:val="20"/>
                <w:szCs w:val="20"/>
                <w:rtl/>
              </w:rPr>
              <w:t xml:space="preserve"> لجنة الدراسات 11 </w:t>
            </w:r>
            <w:r w:rsidR="001F0C13" w:rsidRPr="00B509EC">
              <w:rPr>
                <w:b/>
                <w:bCs/>
                <w:spacing w:val="-6"/>
                <w:position w:val="2"/>
                <w:sz w:val="20"/>
                <w:szCs w:val="20"/>
                <w:rtl/>
              </w:rPr>
              <w:t>سلطة</w:t>
            </w:r>
            <w:r w:rsidR="001F0C13" w:rsidRPr="00B509EC">
              <w:rPr>
                <w:spacing w:val="-6"/>
                <w:position w:val="2"/>
                <w:sz w:val="20"/>
                <w:szCs w:val="20"/>
                <w:rtl/>
              </w:rPr>
              <w:t xml:space="preserve"> النظر في هذا النص للموافقة عليه (وفي هذه الحالة، اختيار أحد الخيارين):</w:t>
            </w:r>
          </w:p>
          <w:p w14:paraId="043D9574" w14:textId="10BC3781" w:rsidR="001F0C13" w:rsidRPr="00B509EC" w:rsidRDefault="00307AC8" w:rsidP="00B509EC">
            <w:pPr>
              <w:pStyle w:val="enumlev2"/>
              <w:tabs>
                <w:tab w:val="clear" w:pos="794"/>
              </w:tabs>
              <w:spacing w:after="80" w:line="300" w:lineRule="exact"/>
              <w:ind w:left="1134" w:hanging="567"/>
              <w:rPr>
                <w:position w:val="2"/>
                <w:sz w:val="20"/>
                <w:szCs w:val="20"/>
                <w:lang w:val="ar-SA" w:bidi="ar-EG"/>
              </w:rPr>
            </w:pPr>
            <w:sdt>
              <w:sdtPr>
                <w:rPr>
                  <w:position w:val="2"/>
                  <w:sz w:val="20"/>
                  <w:szCs w:val="20"/>
                  <w:rtl/>
                </w:rPr>
                <w:id w:val="409658708"/>
                <w14:checkbox>
                  <w14:checked w14:val="0"/>
                  <w14:checkedState w14:val="2612" w14:font="MS Gothic"/>
                  <w14:uncheckedState w14:val="2610" w14:font="MS Gothic"/>
                </w14:checkbox>
              </w:sdtPr>
              <w:sdtEndPr/>
              <w:sdtContent>
                <w:r w:rsidR="009247E9" w:rsidRPr="00B509EC">
                  <w:rPr>
                    <w:rFonts w:ascii="Segoe UI Symbol" w:eastAsia="MS Gothic" w:hAnsi="Segoe UI Symbol" w:cs="Segoe UI Symbol" w:hint="cs"/>
                    <w:position w:val="2"/>
                    <w:sz w:val="20"/>
                    <w:szCs w:val="20"/>
                    <w:rtl/>
                  </w:rPr>
                  <w:t>☐</w:t>
                </w:r>
              </w:sdtContent>
            </w:sdt>
            <w:r w:rsidR="001F0C13" w:rsidRPr="00B509EC">
              <w:rPr>
                <w:position w:val="2"/>
                <w:sz w:val="20"/>
                <w:szCs w:val="20"/>
                <w:rtl/>
              </w:rPr>
              <w:tab/>
              <w:t>لا تعليقات ولا تغييرات مقترحة</w:t>
            </w:r>
          </w:p>
          <w:p w14:paraId="499B23BC" w14:textId="5970980E" w:rsidR="001F0C13" w:rsidRPr="00B509EC" w:rsidRDefault="00307AC8" w:rsidP="00B509EC">
            <w:pPr>
              <w:pStyle w:val="enumlev2"/>
              <w:tabs>
                <w:tab w:val="clear" w:pos="794"/>
              </w:tabs>
              <w:spacing w:after="80" w:line="300" w:lineRule="exact"/>
              <w:ind w:left="1134" w:hanging="567"/>
              <w:rPr>
                <w:position w:val="2"/>
                <w:sz w:val="20"/>
                <w:szCs w:val="20"/>
                <w:lang w:val="ar-SA" w:bidi="ar-EG"/>
              </w:rPr>
            </w:pPr>
            <w:sdt>
              <w:sdtPr>
                <w:rPr>
                  <w:position w:val="2"/>
                  <w:sz w:val="20"/>
                  <w:szCs w:val="20"/>
                  <w:rtl/>
                </w:rPr>
                <w:id w:val="-288755631"/>
                <w14:checkbox>
                  <w14:checked w14:val="0"/>
                  <w14:checkedState w14:val="2612" w14:font="MS Gothic"/>
                  <w14:uncheckedState w14:val="2610" w14:font="MS Gothic"/>
                </w14:checkbox>
              </w:sdtPr>
              <w:sdtEndPr/>
              <w:sdtContent>
                <w:r w:rsidR="009247E9" w:rsidRPr="00B509EC">
                  <w:rPr>
                    <w:rFonts w:ascii="Segoe UI Symbol" w:eastAsia="MS Gothic" w:hAnsi="Segoe UI Symbol" w:cs="Segoe UI Symbol" w:hint="cs"/>
                    <w:position w:val="2"/>
                    <w:sz w:val="20"/>
                    <w:szCs w:val="20"/>
                    <w:rtl/>
                  </w:rPr>
                  <w:t>☐</w:t>
                </w:r>
              </w:sdtContent>
            </w:sdt>
            <w:r w:rsidR="001F0C13" w:rsidRPr="00B509EC">
              <w:rPr>
                <w:position w:val="2"/>
                <w:sz w:val="20"/>
                <w:szCs w:val="20"/>
                <w:rtl/>
              </w:rPr>
              <w:tab/>
            </w:r>
            <w:r w:rsidR="001F0C13" w:rsidRPr="00B509EC">
              <w:rPr>
                <w:rFonts w:hint="cs"/>
                <w:position w:val="2"/>
                <w:sz w:val="20"/>
                <w:szCs w:val="20"/>
                <w:rtl/>
              </w:rPr>
              <w:t>التعليقات</w:t>
            </w:r>
            <w:r w:rsidR="001F0C13" w:rsidRPr="00B509EC">
              <w:rPr>
                <w:position w:val="2"/>
                <w:sz w:val="20"/>
                <w:szCs w:val="20"/>
                <w:rtl/>
              </w:rPr>
              <w:t xml:space="preserve"> </w:t>
            </w:r>
            <w:r w:rsidR="001F0C13" w:rsidRPr="00B509EC">
              <w:rPr>
                <w:rFonts w:hint="cs"/>
                <w:position w:val="2"/>
                <w:sz w:val="20"/>
                <w:szCs w:val="20"/>
                <w:rtl/>
              </w:rPr>
              <w:t>والتغييرات</w:t>
            </w:r>
            <w:r w:rsidR="001F0C13" w:rsidRPr="00B509EC">
              <w:rPr>
                <w:position w:val="2"/>
                <w:sz w:val="20"/>
                <w:szCs w:val="20"/>
                <w:rtl/>
              </w:rPr>
              <w:t xml:space="preserve"> </w:t>
            </w:r>
            <w:r w:rsidR="001F0C13" w:rsidRPr="00B509EC">
              <w:rPr>
                <w:rFonts w:hint="cs"/>
                <w:position w:val="2"/>
                <w:sz w:val="20"/>
                <w:szCs w:val="20"/>
                <w:rtl/>
              </w:rPr>
              <w:t>المقترحة</w:t>
            </w:r>
            <w:r w:rsidR="001F0C13" w:rsidRPr="00B509EC">
              <w:rPr>
                <w:position w:val="2"/>
                <w:sz w:val="20"/>
                <w:szCs w:val="20"/>
                <w:rtl/>
              </w:rPr>
              <w:t xml:space="preserve"> </w:t>
            </w:r>
            <w:r w:rsidR="001F0C13" w:rsidRPr="00B509EC">
              <w:rPr>
                <w:rFonts w:hint="cs"/>
                <w:position w:val="2"/>
                <w:sz w:val="20"/>
                <w:szCs w:val="20"/>
                <w:rtl/>
              </w:rPr>
              <w:t>مرفقة</w:t>
            </w:r>
            <w:r w:rsidR="001F0C13" w:rsidRPr="00B509EC">
              <w:rPr>
                <w:position w:val="2"/>
                <w:sz w:val="20"/>
                <w:szCs w:val="20"/>
                <w:rtl/>
              </w:rPr>
              <w:t xml:space="preserve"> </w:t>
            </w:r>
            <w:r w:rsidR="001F0C13" w:rsidRPr="00B509EC">
              <w:rPr>
                <w:rFonts w:hint="cs"/>
                <w:position w:val="2"/>
                <w:sz w:val="20"/>
                <w:szCs w:val="20"/>
                <w:rtl/>
              </w:rPr>
              <w:t>بالطي</w:t>
            </w:r>
          </w:p>
        </w:tc>
      </w:tr>
      <w:tr w:rsidR="001F0C13" w:rsidRPr="001F0C13" w14:paraId="177176B5" w14:textId="77777777" w:rsidTr="00B509EC">
        <w:trPr>
          <w:trHeight w:val="1050"/>
        </w:trPr>
        <w:tc>
          <w:tcPr>
            <w:tcW w:w="2067" w:type="dxa"/>
            <w:vMerge/>
            <w:shd w:val="clear" w:color="auto" w:fill="auto"/>
            <w:vAlign w:val="center"/>
          </w:tcPr>
          <w:p w14:paraId="0096D87C" w14:textId="77777777" w:rsidR="001F0C13" w:rsidRPr="001F0C13" w:rsidRDefault="001F0C13" w:rsidP="00B509EC">
            <w:pPr>
              <w:spacing w:before="80" w:after="80" w:line="300" w:lineRule="exact"/>
              <w:rPr>
                <w:b/>
                <w:bCs/>
                <w:position w:val="2"/>
                <w:sz w:val="20"/>
                <w:szCs w:val="20"/>
                <w:lang w:val="en-GB" w:bidi="ar-EG"/>
              </w:rPr>
            </w:pPr>
          </w:p>
        </w:tc>
        <w:tc>
          <w:tcPr>
            <w:tcW w:w="7652" w:type="dxa"/>
            <w:shd w:val="clear" w:color="auto" w:fill="auto"/>
            <w:vAlign w:val="center"/>
          </w:tcPr>
          <w:p w14:paraId="35FBC997" w14:textId="6325F6C5" w:rsidR="001F0C13" w:rsidRPr="00B509EC" w:rsidRDefault="00307AC8" w:rsidP="00B509EC">
            <w:pPr>
              <w:pStyle w:val="enumlev1"/>
              <w:spacing w:after="80" w:line="300" w:lineRule="exact"/>
              <w:ind w:left="567" w:hanging="567"/>
              <w:rPr>
                <w:position w:val="2"/>
                <w:sz w:val="20"/>
                <w:szCs w:val="20"/>
                <w:lang w:val="ar-SA" w:bidi="ar-EG"/>
              </w:rPr>
            </w:pPr>
            <w:sdt>
              <w:sdtPr>
                <w:rPr>
                  <w:position w:val="2"/>
                  <w:sz w:val="20"/>
                  <w:szCs w:val="20"/>
                  <w:rtl/>
                </w:rPr>
                <w:id w:val="1355699449"/>
                <w14:checkbox>
                  <w14:checked w14:val="0"/>
                  <w14:checkedState w14:val="2612" w14:font="MS Gothic"/>
                  <w14:uncheckedState w14:val="2610" w14:font="MS Gothic"/>
                </w14:checkbox>
              </w:sdtPr>
              <w:sdtEndPr/>
              <w:sdtContent>
                <w:r w:rsidR="009247E9" w:rsidRPr="00B509EC">
                  <w:rPr>
                    <w:rFonts w:ascii="Segoe UI Symbol" w:eastAsia="MS Gothic" w:hAnsi="Segoe UI Symbol" w:cs="Segoe UI Symbol" w:hint="cs"/>
                    <w:position w:val="2"/>
                    <w:sz w:val="20"/>
                    <w:szCs w:val="20"/>
                    <w:rtl/>
                  </w:rPr>
                  <w:t>☐</w:t>
                </w:r>
              </w:sdtContent>
            </w:sdt>
            <w:r w:rsidR="001F0C13" w:rsidRPr="00B509EC">
              <w:rPr>
                <w:position w:val="2"/>
                <w:sz w:val="20"/>
                <w:szCs w:val="20"/>
                <w:rtl/>
              </w:rPr>
              <w:tab/>
            </w:r>
            <w:r w:rsidR="001F0C13" w:rsidRPr="00B509EC">
              <w:rPr>
                <w:b/>
                <w:bCs/>
                <w:position w:val="2"/>
                <w:sz w:val="20"/>
                <w:szCs w:val="20"/>
                <w:rtl/>
              </w:rPr>
              <w:t>لا تفوض</w:t>
            </w:r>
            <w:r w:rsidR="001F0C13" w:rsidRPr="00B509EC">
              <w:rPr>
                <w:position w:val="2"/>
                <w:sz w:val="20"/>
                <w:szCs w:val="20"/>
                <w:rtl/>
              </w:rPr>
              <w:t xml:space="preserve"> لجنة الدراسات 11 </w:t>
            </w:r>
            <w:r w:rsidR="001F0C13" w:rsidRPr="00B509EC">
              <w:rPr>
                <w:b/>
                <w:bCs/>
                <w:position w:val="2"/>
                <w:sz w:val="20"/>
                <w:szCs w:val="20"/>
                <w:rtl/>
              </w:rPr>
              <w:t>سلطة</w:t>
            </w:r>
            <w:r w:rsidR="001F0C13" w:rsidRPr="00B509EC">
              <w:rPr>
                <w:position w:val="2"/>
                <w:sz w:val="20"/>
                <w:szCs w:val="20"/>
                <w:rtl/>
              </w:rPr>
              <w:t xml:space="preserve"> النظر في هذا النص للموافقة عليه (مرفق طيا</w:t>
            </w:r>
            <w:r w:rsidR="009247E9" w:rsidRPr="00B509EC">
              <w:rPr>
                <w:rFonts w:hint="cs"/>
                <w:position w:val="2"/>
                <w:sz w:val="20"/>
                <w:szCs w:val="20"/>
                <w:rtl/>
              </w:rPr>
              <w:t>ً</w:t>
            </w:r>
            <w:r w:rsidR="001F0C13" w:rsidRPr="00B509EC">
              <w:rPr>
                <w:position w:val="2"/>
                <w:sz w:val="20"/>
                <w:szCs w:val="20"/>
                <w:rtl/>
              </w:rPr>
              <w:t xml:space="preserve"> أسباب هذا الرأي وموجز للتغييرات المحتملة التي من شأنها أن تمكن من إحراز تقدم في العمل)</w:t>
            </w:r>
          </w:p>
        </w:tc>
      </w:tr>
      <w:tr w:rsidR="001F0C13" w:rsidRPr="001F0C13" w14:paraId="4AF01368" w14:textId="77777777" w:rsidTr="00B509EC">
        <w:trPr>
          <w:trHeight w:val="1050"/>
        </w:trPr>
        <w:tc>
          <w:tcPr>
            <w:tcW w:w="2067" w:type="dxa"/>
            <w:vMerge w:val="restart"/>
            <w:shd w:val="clear" w:color="auto" w:fill="auto"/>
            <w:vAlign w:val="center"/>
          </w:tcPr>
          <w:p w14:paraId="76E3BC51" w14:textId="5ED3AEC6" w:rsidR="001F0C13" w:rsidRPr="001F0C13" w:rsidRDefault="001F0C13" w:rsidP="00B509EC">
            <w:pPr>
              <w:spacing w:before="80" w:after="80" w:line="300" w:lineRule="exact"/>
              <w:jc w:val="center"/>
              <w:rPr>
                <w:b/>
                <w:bCs/>
                <w:position w:val="2"/>
                <w:sz w:val="20"/>
                <w:szCs w:val="20"/>
                <w:lang w:val="ar-SA" w:bidi="ar-EG"/>
              </w:rPr>
            </w:pPr>
            <w:r w:rsidRPr="001F0C13">
              <w:rPr>
                <w:b/>
                <w:bCs/>
                <w:position w:val="2"/>
                <w:sz w:val="20"/>
                <w:szCs w:val="20"/>
                <w:rtl/>
              </w:rPr>
              <w:t xml:space="preserve">مشروع التوصية الجديدة </w:t>
            </w:r>
            <w:r w:rsidR="009247E9" w:rsidRPr="00B509EC">
              <w:rPr>
                <w:rFonts w:asciiTheme="minorHAnsi" w:hAnsiTheme="minorHAnsi" w:cstheme="minorHAnsi"/>
                <w:b/>
                <w:bCs/>
                <w:position w:val="2"/>
                <w:sz w:val="21"/>
                <w:szCs w:val="21"/>
              </w:rPr>
              <w:t>ITU-T Q.5010 (Q.UAMS-SRA)</w:t>
            </w:r>
          </w:p>
        </w:tc>
        <w:tc>
          <w:tcPr>
            <w:tcW w:w="7652" w:type="dxa"/>
            <w:shd w:val="clear" w:color="auto" w:fill="auto"/>
            <w:vAlign w:val="center"/>
          </w:tcPr>
          <w:p w14:paraId="19BC62F8" w14:textId="1A93C4FB" w:rsidR="001F0C13" w:rsidRPr="00B509EC" w:rsidRDefault="00307AC8" w:rsidP="00B509EC">
            <w:pPr>
              <w:pStyle w:val="enumlev1"/>
              <w:spacing w:after="80" w:line="300" w:lineRule="exact"/>
              <w:ind w:left="567" w:hanging="567"/>
              <w:rPr>
                <w:position w:val="2"/>
                <w:sz w:val="20"/>
                <w:szCs w:val="20"/>
                <w:lang w:val="ar-SA" w:bidi="ar-EG"/>
              </w:rPr>
            </w:pPr>
            <w:sdt>
              <w:sdtPr>
                <w:rPr>
                  <w:position w:val="2"/>
                  <w:sz w:val="20"/>
                  <w:szCs w:val="20"/>
                  <w:rtl/>
                </w:rPr>
                <w:id w:val="274446950"/>
                <w14:checkbox>
                  <w14:checked w14:val="0"/>
                  <w14:checkedState w14:val="2612" w14:font="MS Gothic"/>
                  <w14:uncheckedState w14:val="2610" w14:font="MS Gothic"/>
                </w14:checkbox>
              </w:sdtPr>
              <w:sdtEndPr/>
              <w:sdtContent>
                <w:r w:rsidR="009247E9" w:rsidRPr="00B509EC">
                  <w:rPr>
                    <w:rFonts w:ascii="Segoe UI Symbol" w:eastAsia="MS Gothic" w:hAnsi="Segoe UI Symbol" w:cs="Segoe UI Symbol" w:hint="cs"/>
                    <w:position w:val="2"/>
                    <w:sz w:val="20"/>
                    <w:szCs w:val="20"/>
                    <w:rtl/>
                  </w:rPr>
                  <w:t>☐</w:t>
                </w:r>
              </w:sdtContent>
            </w:sdt>
            <w:r w:rsidR="001F0C13" w:rsidRPr="00B509EC">
              <w:rPr>
                <w:position w:val="2"/>
                <w:sz w:val="20"/>
                <w:szCs w:val="20"/>
                <w:rtl/>
              </w:rPr>
              <w:tab/>
            </w:r>
            <w:r w:rsidR="001F0C13" w:rsidRPr="00B509EC">
              <w:rPr>
                <w:b/>
                <w:bCs/>
                <w:spacing w:val="-6"/>
                <w:position w:val="2"/>
                <w:sz w:val="20"/>
                <w:szCs w:val="20"/>
                <w:rtl/>
              </w:rPr>
              <w:t>تفوض</w:t>
            </w:r>
            <w:r w:rsidR="001F0C13" w:rsidRPr="00B509EC">
              <w:rPr>
                <w:spacing w:val="-6"/>
                <w:position w:val="2"/>
                <w:sz w:val="20"/>
                <w:szCs w:val="20"/>
                <w:rtl/>
              </w:rPr>
              <w:t xml:space="preserve"> لجنة الدراسات 11 </w:t>
            </w:r>
            <w:r w:rsidR="001F0C13" w:rsidRPr="00B509EC">
              <w:rPr>
                <w:b/>
                <w:bCs/>
                <w:spacing w:val="-6"/>
                <w:position w:val="2"/>
                <w:sz w:val="20"/>
                <w:szCs w:val="20"/>
                <w:rtl/>
              </w:rPr>
              <w:t>سلطة</w:t>
            </w:r>
            <w:r w:rsidR="001F0C13" w:rsidRPr="00B509EC">
              <w:rPr>
                <w:spacing w:val="-6"/>
                <w:position w:val="2"/>
                <w:sz w:val="20"/>
                <w:szCs w:val="20"/>
                <w:rtl/>
              </w:rPr>
              <w:t xml:space="preserve"> النظر في هذا النص للموافقة عليه (وفي هذه الحالة، اختيار أحد الخيارين):</w:t>
            </w:r>
          </w:p>
          <w:p w14:paraId="6B2D7B2A" w14:textId="1149FE9E" w:rsidR="001F0C13" w:rsidRPr="00B509EC" w:rsidRDefault="00307AC8" w:rsidP="00B509EC">
            <w:pPr>
              <w:pStyle w:val="enumlev2"/>
              <w:tabs>
                <w:tab w:val="clear" w:pos="794"/>
              </w:tabs>
              <w:spacing w:after="80" w:line="300" w:lineRule="exact"/>
              <w:ind w:left="1134" w:hanging="567"/>
              <w:rPr>
                <w:position w:val="2"/>
                <w:sz w:val="20"/>
                <w:szCs w:val="20"/>
                <w:lang w:val="ar-SA" w:bidi="ar-EG"/>
              </w:rPr>
            </w:pPr>
            <w:sdt>
              <w:sdtPr>
                <w:rPr>
                  <w:position w:val="2"/>
                  <w:sz w:val="20"/>
                  <w:szCs w:val="20"/>
                  <w:rtl/>
                </w:rPr>
                <w:id w:val="1638453336"/>
                <w14:checkbox>
                  <w14:checked w14:val="0"/>
                  <w14:checkedState w14:val="2612" w14:font="MS Gothic"/>
                  <w14:uncheckedState w14:val="2610" w14:font="MS Gothic"/>
                </w14:checkbox>
              </w:sdtPr>
              <w:sdtEndPr/>
              <w:sdtContent>
                <w:r w:rsidR="009247E9" w:rsidRPr="00B509EC">
                  <w:rPr>
                    <w:rFonts w:ascii="Segoe UI Symbol" w:eastAsia="MS Gothic" w:hAnsi="Segoe UI Symbol" w:cs="Segoe UI Symbol" w:hint="cs"/>
                    <w:position w:val="2"/>
                    <w:sz w:val="20"/>
                    <w:szCs w:val="20"/>
                    <w:rtl/>
                  </w:rPr>
                  <w:t>☐</w:t>
                </w:r>
              </w:sdtContent>
            </w:sdt>
            <w:r w:rsidR="001F0C13" w:rsidRPr="00B509EC">
              <w:rPr>
                <w:position w:val="2"/>
                <w:sz w:val="20"/>
                <w:szCs w:val="20"/>
                <w:rtl/>
              </w:rPr>
              <w:tab/>
              <w:t>لا تعليقات ولا تغييرات مقترحة</w:t>
            </w:r>
          </w:p>
          <w:p w14:paraId="4ADAE781" w14:textId="4EE963EB" w:rsidR="001F0C13" w:rsidRPr="00B509EC" w:rsidRDefault="00307AC8" w:rsidP="00B509EC">
            <w:pPr>
              <w:pStyle w:val="enumlev2"/>
              <w:tabs>
                <w:tab w:val="clear" w:pos="794"/>
              </w:tabs>
              <w:spacing w:after="80" w:line="300" w:lineRule="exact"/>
              <w:ind w:left="1134" w:hanging="567"/>
              <w:rPr>
                <w:position w:val="2"/>
                <w:sz w:val="20"/>
                <w:szCs w:val="20"/>
                <w:lang w:val="ar-SA" w:bidi="ar-EG"/>
              </w:rPr>
            </w:pPr>
            <w:sdt>
              <w:sdtPr>
                <w:rPr>
                  <w:position w:val="2"/>
                  <w:sz w:val="20"/>
                  <w:szCs w:val="20"/>
                  <w:rtl/>
                </w:rPr>
                <w:id w:val="-235316866"/>
                <w14:checkbox>
                  <w14:checked w14:val="0"/>
                  <w14:checkedState w14:val="2612" w14:font="MS Gothic"/>
                  <w14:uncheckedState w14:val="2610" w14:font="MS Gothic"/>
                </w14:checkbox>
              </w:sdtPr>
              <w:sdtEndPr/>
              <w:sdtContent>
                <w:r w:rsidR="009247E9" w:rsidRPr="00B509EC">
                  <w:rPr>
                    <w:rFonts w:ascii="Segoe UI Symbol" w:eastAsia="MS Gothic" w:hAnsi="Segoe UI Symbol" w:cs="Segoe UI Symbol" w:hint="cs"/>
                    <w:position w:val="2"/>
                    <w:sz w:val="20"/>
                    <w:szCs w:val="20"/>
                    <w:rtl/>
                  </w:rPr>
                  <w:t>☐</w:t>
                </w:r>
              </w:sdtContent>
            </w:sdt>
            <w:r w:rsidR="001F0C13" w:rsidRPr="00B509EC">
              <w:rPr>
                <w:position w:val="2"/>
                <w:sz w:val="20"/>
                <w:szCs w:val="20"/>
                <w:rtl/>
              </w:rPr>
              <w:tab/>
            </w:r>
            <w:r w:rsidR="001F0C13" w:rsidRPr="00B509EC">
              <w:rPr>
                <w:rFonts w:hint="cs"/>
                <w:position w:val="2"/>
                <w:sz w:val="20"/>
                <w:szCs w:val="20"/>
                <w:rtl/>
              </w:rPr>
              <w:t>التعليقات</w:t>
            </w:r>
            <w:r w:rsidR="001F0C13" w:rsidRPr="00B509EC">
              <w:rPr>
                <w:position w:val="2"/>
                <w:sz w:val="20"/>
                <w:szCs w:val="20"/>
                <w:rtl/>
              </w:rPr>
              <w:t xml:space="preserve"> </w:t>
            </w:r>
            <w:r w:rsidR="001F0C13" w:rsidRPr="00B509EC">
              <w:rPr>
                <w:rFonts w:hint="cs"/>
                <w:position w:val="2"/>
                <w:sz w:val="20"/>
                <w:szCs w:val="20"/>
                <w:rtl/>
              </w:rPr>
              <w:t>والتغييرات</w:t>
            </w:r>
            <w:r w:rsidR="001F0C13" w:rsidRPr="00B509EC">
              <w:rPr>
                <w:position w:val="2"/>
                <w:sz w:val="20"/>
                <w:szCs w:val="20"/>
                <w:rtl/>
              </w:rPr>
              <w:t xml:space="preserve"> </w:t>
            </w:r>
            <w:r w:rsidR="001F0C13" w:rsidRPr="00B509EC">
              <w:rPr>
                <w:rFonts w:hint="cs"/>
                <w:position w:val="2"/>
                <w:sz w:val="20"/>
                <w:szCs w:val="20"/>
                <w:rtl/>
              </w:rPr>
              <w:t>المقترحة</w:t>
            </w:r>
            <w:r w:rsidR="001F0C13" w:rsidRPr="00B509EC">
              <w:rPr>
                <w:position w:val="2"/>
                <w:sz w:val="20"/>
                <w:szCs w:val="20"/>
                <w:rtl/>
              </w:rPr>
              <w:t xml:space="preserve"> </w:t>
            </w:r>
            <w:r w:rsidR="001F0C13" w:rsidRPr="00B509EC">
              <w:rPr>
                <w:rFonts w:hint="cs"/>
                <w:position w:val="2"/>
                <w:sz w:val="20"/>
                <w:szCs w:val="20"/>
                <w:rtl/>
              </w:rPr>
              <w:t>مرفقة</w:t>
            </w:r>
            <w:r w:rsidR="001F0C13" w:rsidRPr="00B509EC">
              <w:rPr>
                <w:position w:val="2"/>
                <w:sz w:val="20"/>
                <w:szCs w:val="20"/>
                <w:rtl/>
              </w:rPr>
              <w:t xml:space="preserve"> </w:t>
            </w:r>
            <w:r w:rsidR="001F0C13" w:rsidRPr="00B509EC">
              <w:rPr>
                <w:rFonts w:hint="cs"/>
                <w:position w:val="2"/>
                <w:sz w:val="20"/>
                <w:szCs w:val="20"/>
                <w:rtl/>
              </w:rPr>
              <w:t>بالطي</w:t>
            </w:r>
          </w:p>
        </w:tc>
      </w:tr>
      <w:tr w:rsidR="001F0C13" w:rsidRPr="001F0C13" w14:paraId="6B440B28" w14:textId="77777777" w:rsidTr="00B509EC">
        <w:trPr>
          <w:trHeight w:val="1050"/>
        </w:trPr>
        <w:tc>
          <w:tcPr>
            <w:tcW w:w="2067" w:type="dxa"/>
            <w:vMerge/>
            <w:shd w:val="clear" w:color="auto" w:fill="auto"/>
            <w:vAlign w:val="center"/>
          </w:tcPr>
          <w:p w14:paraId="77256AEC" w14:textId="77777777" w:rsidR="001F0C13" w:rsidRPr="001F0C13" w:rsidRDefault="001F0C13" w:rsidP="00B509EC">
            <w:pPr>
              <w:spacing w:before="80" w:after="80" w:line="300" w:lineRule="exact"/>
              <w:rPr>
                <w:b/>
                <w:bCs/>
                <w:position w:val="2"/>
                <w:sz w:val="20"/>
                <w:szCs w:val="20"/>
                <w:lang w:bidi="ar-EG"/>
              </w:rPr>
            </w:pPr>
          </w:p>
        </w:tc>
        <w:tc>
          <w:tcPr>
            <w:tcW w:w="7652" w:type="dxa"/>
            <w:shd w:val="clear" w:color="auto" w:fill="auto"/>
            <w:vAlign w:val="center"/>
          </w:tcPr>
          <w:p w14:paraId="7183E062" w14:textId="43605EE9" w:rsidR="001F0C13" w:rsidRPr="00B509EC" w:rsidRDefault="00307AC8" w:rsidP="00B509EC">
            <w:pPr>
              <w:pStyle w:val="enumlev1"/>
              <w:spacing w:after="80" w:line="300" w:lineRule="exact"/>
              <w:ind w:left="567" w:hanging="567"/>
              <w:rPr>
                <w:position w:val="2"/>
                <w:sz w:val="20"/>
                <w:szCs w:val="20"/>
                <w:lang w:val="ar-SA" w:bidi="ar-EG"/>
              </w:rPr>
            </w:pPr>
            <w:sdt>
              <w:sdtPr>
                <w:rPr>
                  <w:position w:val="2"/>
                  <w:sz w:val="20"/>
                  <w:szCs w:val="20"/>
                  <w:rtl/>
                </w:rPr>
                <w:id w:val="241681836"/>
                <w14:checkbox>
                  <w14:checked w14:val="0"/>
                  <w14:checkedState w14:val="2612" w14:font="MS Gothic"/>
                  <w14:uncheckedState w14:val="2610" w14:font="MS Gothic"/>
                </w14:checkbox>
              </w:sdtPr>
              <w:sdtEndPr/>
              <w:sdtContent>
                <w:r w:rsidR="009247E9" w:rsidRPr="00B509EC">
                  <w:rPr>
                    <w:rFonts w:ascii="Segoe UI Symbol" w:eastAsia="MS Gothic" w:hAnsi="Segoe UI Symbol" w:cs="Segoe UI Symbol" w:hint="cs"/>
                    <w:position w:val="2"/>
                    <w:sz w:val="20"/>
                    <w:szCs w:val="20"/>
                    <w:rtl/>
                  </w:rPr>
                  <w:t>☐</w:t>
                </w:r>
              </w:sdtContent>
            </w:sdt>
            <w:r w:rsidR="001F0C13" w:rsidRPr="00B509EC">
              <w:rPr>
                <w:position w:val="2"/>
                <w:sz w:val="20"/>
                <w:szCs w:val="20"/>
                <w:rtl/>
              </w:rPr>
              <w:tab/>
            </w:r>
            <w:r w:rsidR="001F0C13" w:rsidRPr="00B509EC">
              <w:rPr>
                <w:b/>
                <w:bCs/>
                <w:position w:val="2"/>
                <w:sz w:val="20"/>
                <w:szCs w:val="20"/>
                <w:rtl/>
              </w:rPr>
              <w:t>لا تفوض</w:t>
            </w:r>
            <w:r w:rsidR="001F0C13" w:rsidRPr="00B509EC">
              <w:rPr>
                <w:position w:val="2"/>
                <w:sz w:val="20"/>
                <w:szCs w:val="20"/>
                <w:rtl/>
              </w:rPr>
              <w:t xml:space="preserve"> لجنة الدراسات 11 </w:t>
            </w:r>
            <w:r w:rsidR="001F0C13" w:rsidRPr="00B509EC">
              <w:rPr>
                <w:b/>
                <w:bCs/>
                <w:position w:val="2"/>
                <w:sz w:val="20"/>
                <w:szCs w:val="20"/>
                <w:rtl/>
              </w:rPr>
              <w:t>سلطة</w:t>
            </w:r>
            <w:r w:rsidR="001F0C13" w:rsidRPr="00B509EC">
              <w:rPr>
                <w:position w:val="2"/>
                <w:sz w:val="20"/>
                <w:szCs w:val="20"/>
                <w:rtl/>
              </w:rPr>
              <w:t xml:space="preserve"> النظر في هذا النص للموافقة عليه (مرفق طي</w:t>
            </w:r>
            <w:r w:rsidR="009247E9" w:rsidRPr="00B509EC">
              <w:rPr>
                <w:rFonts w:hint="cs"/>
                <w:position w:val="2"/>
                <w:sz w:val="20"/>
                <w:szCs w:val="20"/>
                <w:rtl/>
              </w:rPr>
              <w:t>اً</w:t>
            </w:r>
            <w:r w:rsidR="001F0C13" w:rsidRPr="00B509EC">
              <w:rPr>
                <w:position w:val="2"/>
                <w:sz w:val="20"/>
                <w:szCs w:val="20"/>
                <w:rtl/>
              </w:rPr>
              <w:t xml:space="preserve"> أسباب هذا الرأي وموجز للتغييرات المحتملة التي من شأنها أن تمكن من إحراز تقدم في العمل)</w:t>
            </w:r>
          </w:p>
        </w:tc>
      </w:tr>
    </w:tbl>
    <w:p w14:paraId="1C9FA918" w14:textId="77777777" w:rsidR="001F0C13" w:rsidRPr="001F0C13" w:rsidRDefault="001F0C13" w:rsidP="009247E9">
      <w:pPr>
        <w:spacing w:before="240"/>
        <w:rPr>
          <w:lang w:val="ar-SA" w:bidi="ar-EG"/>
        </w:rPr>
      </w:pPr>
      <w:r w:rsidRPr="001F0C13">
        <w:rPr>
          <w:rtl/>
        </w:rPr>
        <w:t>وتفضلوا بقبول فائق التقدير والاحترام.</w:t>
      </w:r>
    </w:p>
    <w:p w14:paraId="505963EF" w14:textId="77777777" w:rsidR="001F0C13" w:rsidRPr="001F0C13" w:rsidRDefault="001F0C13" w:rsidP="009247E9">
      <w:pPr>
        <w:spacing w:before="600"/>
        <w:rPr>
          <w:highlight w:val="green"/>
          <w:lang w:val="ar-SA" w:bidi="ar-EG"/>
        </w:rPr>
      </w:pPr>
      <w:r w:rsidRPr="001F0C13">
        <w:rPr>
          <w:highlight w:val="green"/>
          <w:rtl/>
        </w:rPr>
        <w:t>[الاسم]</w:t>
      </w:r>
    </w:p>
    <w:p w14:paraId="105B9707" w14:textId="77777777" w:rsidR="001F0C13" w:rsidRPr="001F0C13" w:rsidRDefault="001F0C13" w:rsidP="001F0C13">
      <w:pPr>
        <w:rPr>
          <w:highlight w:val="green"/>
          <w:lang w:val="ar-SA" w:bidi="ar-EG"/>
        </w:rPr>
      </w:pPr>
      <w:r w:rsidRPr="001F0C13">
        <w:rPr>
          <w:highlight w:val="green"/>
          <w:rtl/>
        </w:rPr>
        <w:t>[الدور/المنصب الرسمي]</w:t>
      </w:r>
    </w:p>
    <w:p w14:paraId="24BD9ACC" w14:textId="77777777" w:rsidR="001F0C13" w:rsidRPr="001F0C13" w:rsidRDefault="001F0C13" w:rsidP="001F0C13">
      <w:pPr>
        <w:rPr>
          <w:lang w:val="ar-SA" w:bidi="ar-EG"/>
        </w:rPr>
      </w:pPr>
      <w:r w:rsidRPr="001F0C13">
        <w:rPr>
          <w:rtl/>
        </w:rPr>
        <w:t xml:space="preserve">لدى إدارة </w:t>
      </w:r>
      <w:r w:rsidRPr="001F0C13">
        <w:rPr>
          <w:highlight w:val="green"/>
          <w:rtl/>
        </w:rPr>
        <w:t>[الدولة العضو]</w:t>
      </w:r>
    </w:p>
    <w:p w14:paraId="62B21004" w14:textId="0A166321" w:rsidR="00596808" w:rsidRPr="00D517B2" w:rsidRDefault="009247E9" w:rsidP="00B509EC">
      <w:pPr>
        <w:spacing w:before="24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34354" w14:textId="77777777" w:rsidR="001F0C13" w:rsidRDefault="001F0C13" w:rsidP="006C3242">
      <w:pPr>
        <w:spacing w:before="0" w:line="240" w:lineRule="auto"/>
      </w:pPr>
      <w:r>
        <w:separator/>
      </w:r>
    </w:p>
  </w:endnote>
  <w:endnote w:type="continuationSeparator" w:id="0">
    <w:p w14:paraId="4CE73E3C" w14:textId="77777777" w:rsidR="001F0C13" w:rsidRDefault="001F0C1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C7D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4FF70" w14:textId="77777777" w:rsidR="001F0C13" w:rsidRDefault="001F0C13" w:rsidP="006C3242">
      <w:pPr>
        <w:spacing w:before="0" w:line="240" w:lineRule="auto"/>
      </w:pPr>
      <w:r>
        <w:separator/>
      </w:r>
    </w:p>
  </w:footnote>
  <w:footnote w:type="continuationSeparator" w:id="0">
    <w:p w14:paraId="4D0DF20A" w14:textId="77777777" w:rsidR="001F0C13" w:rsidRDefault="001F0C1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D0904" w14:textId="4357748C"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210472">
      <w:rPr>
        <w:rFonts w:hint="cs"/>
        <w:sz w:val="20"/>
        <w:szCs w:val="20"/>
        <w:rtl/>
        <w:lang w:val="en-GB"/>
      </w:rPr>
      <w:t>223</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13"/>
    <w:rsid w:val="00002A63"/>
    <w:rsid w:val="0006468A"/>
    <w:rsid w:val="00071F13"/>
    <w:rsid w:val="00090574"/>
    <w:rsid w:val="000C1C0E"/>
    <w:rsid w:val="000C548A"/>
    <w:rsid w:val="000E327F"/>
    <w:rsid w:val="00146FE2"/>
    <w:rsid w:val="0017500A"/>
    <w:rsid w:val="001C0169"/>
    <w:rsid w:val="001D1D50"/>
    <w:rsid w:val="001D6745"/>
    <w:rsid w:val="001E446E"/>
    <w:rsid w:val="001F0C13"/>
    <w:rsid w:val="00210472"/>
    <w:rsid w:val="002154EE"/>
    <w:rsid w:val="002276D2"/>
    <w:rsid w:val="0023283D"/>
    <w:rsid w:val="0026373E"/>
    <w:rsid w:val="00271C43"/>
    <w:rsid w:val="00290728"/>
    <w:rsid w:val="002978F4"/>
    <w:rsid w:val="002B028D"/>
    <w:rsid w:val="002E196B"/>
    <w:rsid w:val="002E6541"/>
    <w:rsid w:val="00307AC8"/>
    <w:rsid w:val="00334924"/>
    <w:rsid w:val="003409BC"/>
    <w:rsid w:val="00357185"/>
    <w:rsid w:val="00383829"/>
    <w:rsid w:val="003A3046"/>
    <w:rsid w:val="003C7EDF"/>
    <w:rsid w:val="003F4B29"/>
    <w:rsid w:val="00400EC6"/>
    <w:rsid w:val="00406BB8"/>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5B0030"/>
    <w:rsid w:val="006635B2"/>
    <w:rsid w:val="00677396"/>
    <w:rsid w:val="0069200F"/>
    <w:rsid w:val="006A65CB"/>
    <w:rsid w:val="006C1530"/>
    <w:rsid w:val="006C3242"/>
    <w:rsid w:val="006C7CC0"/>
    <w:rsid w:val="006E1BAD"/>
    <w:rsid w:val="006E6264"/>
    <w:rsid w:val="006F63F7"/>
    <w:rsid w:val="007025C7"/>
    <w:rsid w:val="00706D7A"/>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A7F84"/>
    <w:rsid w:val="0091702E"/>
    <w:rsid w:val="00923B0C"/>
    <w:rsid w:val="009247E9"/>
    <w:rsid w:val="00926F44"/>
    <w:rsid w:val="0094021C"/>
    <w:rsid w:val="0094432F"/>
    <w:rsid w:val="00952F86"/>
    <w:rsid w:val="009546FF"/>
    <w:rsid w:val="00982B28"/>
    <w:rsid w:val="009D313F"/>
    <w:rsid w:val="00A47A5A"/>
    <w:rsid w:val="00A6683B"/>
    <w:rsid w:val="00A77C90"/>
    <w:rsid w:val="00A9156F"/>
    <w:rsid w:val="00A97F94"/>
    <w:rsid w:val="00AA7EA2"/>
    <w:rsid w:val="00AF6B5C"/>
    <w:rsid w:val="00B03099"/>
    <w:rsid w:val="00B05BC8"/>
    <w:rsid w:val="00B509EC"/>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3285B"/>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23ADF"/>
  <w15:chartTrackingRefBased/>
  <w15:docId w15:val="{4817E267-99C4-4DC0-BB7B-A51CA7B7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None">
    <w:name w:val="None"/>
    <w:rsid w:val="001F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T22-SG11-R-00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meetingdoc.asp?lang=en&amp;parent=T22-SG11-R-0028"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Maguire, Mairéad</cp:lastModifiedBy>
  <cp:revision>2</cp:revision>
  <dcterms:created xsi:type="dcterms:W3CDTF">2024-08-15T11:16:00Z</dcterms:created>
  <dcterms:modified xsi:type="dcterms:W3CDTF">2024-08-15T11:16:00Z</dcterms:modified>
</cp:coreProperties>
</file>