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311"/>
        <w:gridCol w:w="5139"/>
      </w:tblGrid>
      <w:tr w:rsidR="00EF6A23" w:rsidRPr="003B1FB2" w14:paraId="3FDAE1F3" w14:textId="77777777" w:rsidTr="003F083D">
        <w:trPr>
          <w:cantSplit/>
        </w:trPr>
        <w:tc>
          <w:tcPr>
            <w:tcW w:w="0" w:type="auto"/>
            <w:vAlign w:val="center"/>
          </w:tcPr>
          <w:p w14:paraId="3DE42CAA" w14:textId="77777777" w:rsidR="00EF6A23" w:rsidRPr="003B1FB2" w:rsidRDefault="00EF6A23" w:rsidP="00D14F31">
            <w:pPr>
              <w:tabs>
                <w:tab w:val="right" w:pos="8732"/>
              </w:tabs>
              <w:spacing w:before="0"/>
              <w:rPr>
                <w:b/>
                <w:bCs/>
                <w:iCs/>
                <w:color w:val="FFFFFF"/>
                <w:sz w:val="30"/>
                <w:szCs w:val="30"/>
              </w:rPr>
            </w:pPr>
            <w:r w:rsidRPr="003B1FB2">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3B1FB2" w:rsidRDefault="00EF6A23" w:rsidP="00EF6A23">
            <w:pPr>
              <w:spacing w:before="0"/>
              <w:rPr>
                <w:rFonts w:cs="Times New Roman Bold"/>
                <w:b/>
                <w:bCs/>
                <w:iCs/>
                <w:smallCaps/>
                <w:sz w:val="34"/>
                <w:szCs w:val="34"/>
              </w:rPr>
            </w:pPr>
            <w:r w:rsidRPr="003B1FB2">
              <w:rPr>
                <w:rFonts w:cs="Times New Roman Bold"/>
                <w:b/>
                <w:bCs/>
                <w:iCs/>
                <w:smallCaps/>
                <w:sz w:val="34"/>
                <w:szCs w:val="34"/>
              </w:rPr>
              <w:t>Union internationale des télécommunications</w:t>
            </w:r>
          </w:p>
          <w:p w14:paraId="089E66D0" w14:textId="77777777" w:rsidR="00EF6A23" w:rsidRPr="003B1FB2" w:rsidRDefault="00EF6A23" w:rsidP="00EF6A23">
            <w:pPr>
              <w:spacing w:before="0"/>
              <w:rPr>
                <w:color w:val="FFFFFF"/>
                <w:sz w:val="26"/>
                <w:szCs w:val="26"/>
              </w:rPr>
            </w:pPr>
            <w:r w:rsidRPr="003B1FB2">
              <w:rPr>
                <w:rFonts w:cs="Times New Roman Bold"/>
                <w:b/>
                <w:bCs/>
                <w:iCs/>
                <w:smallCaps/>
                <w:sz w:val="28"/>
                <w:szCs w:val="28"/>
              </w:rPr>
              <w:t>B</w:t>
            </w:r>
            <w:r w:rsidRPr="003B1FB2">
              <w:rPr>
                <w:b/>
                <w:bCs/>
                <w:iCs/>
                <w:smallCaps/>
                <w:sz w:val="28"/>
                <w:szCs w:val="28"/>
              </w:rPr>
              <w:t>ureau de la Normalisation des Télécommunications</w:t>
            </w:r>
          </w:p>
        </w:tc>
      </w:tr>
      <w:tr w:rsidR="00036F4F" w:rsidRPr="003B1FB2" w14:paraId="18B25741" w14:textId="77777777" w:rsidTr="003C37F8">
        <w:trPr>
          <w:cantSplit/>
        </w:trPr>
        <w:tc>
          <w:tcPr>
            <w:tcW w:w="0" w:type="auto"/>
          </w:tcPr>
          <w:p w14:paraId="4B1AFD72" w14:textId="77777777" w:rsidR="00036F4F" w:rsidRPr="003B1FB2" w:rsidRDefault="00036F4F" w:rsidP="00A5280F">
            <w:pPr>
              <w:tabs>
                <w:tab w:val="left" w:pos="4111"/>
              </w:tabs>
              <w:spacing w:before="10"/>
              <w:ind w:left="57"/>
            </w:pPr>
          </w:p>
        </w:tc>
        <w:tc>
          <w:tcPr>
            <w:tcW w:w="3344" w:type="dxa"/>
          </w:tcPr>
          <w:p w14:paraId="6579D3E8" w14:textId="77777777" w:rsidR="00036F4F" w:rsidRPr="003B1FB2" w:rsidRDefault="00036F4F" w:rsidP="00A5280F">
            <w:pPr>
              <w:tabs>
                <w:tab w:val="left" w:pos="4111"/>
              </w:tabs>
              <w:spacing w:before="10"/>
              <w:ind w:left="57"/>
              <w:rPr>
                <w:b/>
              </w:rPr>
            </w:pPr>
          </w:p>
        </w:tc>
        <w:tc>
          <w:tcPr>
            <w:tcW w:w="5106" w:type="dxa"/>
          </w:tcPr>
          <w:p w14:paraId="0DC34ECA" w14:textId="4F0DDBCD" w:rsidR="00036F4F" w:rsidRPr="003B1FB2" w:rsidRDefault="00036F4F" w:rsidP="00A5645A">
            <w:pPr>
              <w:tabs>
                <w:tab w:val="clear" w:pos="794"/>
                <w:tab w:val="clear" w:pos="1191"/>
                <w:tab w:val="clear" w:pos="1588"/>
                <w:tab w:val="clear" w:pos="1985"/>
                <w:tab w:val="left" w:pos="284"/>
              </w:tabs>
              <w:spacing w:after="120"/>
              <w:ind w:left="284" w:hanging="227"/>
            </w:pPr>
            <w:r w:rsidRPr="003B1FB2">
              <w:t>Genève, le</w:t>
            </w:r>
            <w:r w:rsidR="004419E9" w:rsidRPr="003B1FB2">
              <w:t xml:space="preserve"> </w:t>
            </w:r>
            <w:r w:rsidR="00EE6D6F" w:rsidRPr="003B1FB2">
              <w:t>25 juillet 2024</w:t>
            </w:r>
          </w:p>
        </w:tc>
      </w:tr>
      <w:tr w:rsidR="003C37F8" w:rsidRPr="003B1FB2" w14:paraId="16CDDFEF" w14:textId="77777777" w:rsidTr="003C37F8">
        <w:trPr>
          <w:cantSplit/>
          <w:trHeight w:val="340"/>
        </w:trPr>
        <w:tc>
          <w:tcPr>
            <w:tcW w:w="0" w:type="auto"/>
          </w:tcPr>
          <w:p w14:paraId="3EFF375D" w14:textId="58556577" w:rsidR="003C37F8" w:rsidRPr="003B1FB2" w:rsidRDefault="003C37F8" w:rsidP="00307FB4">
            <w:pPr>
              <w:tabs>
                <w:tab w:val="left" w:pos="4111"/>
              </w:tabs>
              <w:spacing w:before="10"/>
              <w:ind w:left="57"/>
              <w:rPr>
                <w:b/>
                <w:bCs/>
              </w:rPr>
            </w:pPr>
            <w:r w:rsidRPr="003B1FB2">
              <w:rPr>
                <w:b/>
                <w:bCs/>
              </w:rPr>
              <w:t>Réf.:</w:t>
            </w:r>
          </w:p>
        </w:tc>
        <w:tc>
          <w:tcPr>
            <w:tcW w:w="3344" w:type="dxa"/>
          </w:tcPr>
          <w:p w14:paraId="5FFBBC9B" w14:textId="4A73803F" w:rsidR="003C37F8" w:rsidRPr="003B1FB2" w:rsidRDefault="003C37F8" w:rsidP="00A5280F">
            <w:pPr>
              <w:tabs>
                <w:tab w:val="left" w:pos="4111"/>
              </w:tabs>
              <w:spacing w:before="10"/>
              <w:ind w:left="57"/>
              <w:rPr>
                <w:b/>
              </w:rPr>
            </w:pPr>
            <w:r w:rsidRPr="003B1FB2">
              <w:rPr>
                <w:b/>
              </w:rPr>
              <w:t>Circulaire TSB 223</w:t>
            </w:r>
          </w:p>
          <w:p w14:paraId="577F6DA2" w14:textId="2026FFA6" w:rsidR="003C37F8" w:rsidRPr="003B1FB2" w:rsidRDefault="003C37F8" w:rsidP="00307FB4">
            <w:pPr>
              <w:tabs>
                <w:tab w:val="left" w:pos="4111"/>
              </w:tabs>
              <w:spacing w:before="10"/>
              <w:ind w:left="57"/>
              <w:rPr>
                <w:b/>
                <w:bCs/>
              </w:rPr>
            </w:pPr>
            <w:r w:rsidRPr="003B1FB2">
              <w:t>CE 11/DA</w:t>
            </w:r>
          </w:p>
        </w:tc>
        <w:tc>
          <w:tcPr>
            <w:tcW w:w="5106" w:type="dxa"/>
            <w:vMerge w:val="restart"/>
          </w:tcPr>
          <w:p w14:paraId="56FFB697" w14:textId="77777777" w:rsidR="003C37F8" w:rsidRPr="003B1FB2" w:rsidRDefault="003C37F8" w:rsidP="00307FB4">
            <w:pPr>
              <w:tabs>
                <w:tab w:val="left" w:pos="226"/>
                <w:tab w:val="left" w:pos="4111"/>
              </w:tabs>
              <w:spacing w:before="0"/>
              <w:ind w:left="226" w:hanging="226"/>
              <w:rPr>
                <w:b/>
                <w:bCs/>
              </w:rPr>
            </w:pPr>
            <w:bookmarkStart w:id="0" w:name="Addressee_F"/>
            <w:bookmarkEnd w:id="0"/>
            <w:r w:rsidRPr="003B1FB2">
              <w:rPr>
                <w:b/>
                <w:bCs/>
              </w:rPr>
              <w:t>Aux:</w:t>
            </w:r>
          </w:p>
          <w:p w14:paraId="559C0B18" w14:textId="77777777" w:rsidR="003C37F8" w:rsidRPr="003B1FB2" w:rsidRDefault="003C37F8" w:rsidP="00307FB4">
            <w:pPr>
              <w:tabs>
                <w:tab w:val="left" w:pos="4111"/>
              </w:tabs>
              <w:spacing w:before="0"/>
              <w:ind w:left="426" w:hanging="426"/>
            </w:pPr>
            <w:r w:rsidRPr="003B1FB2">
              <w:t>–</w:t>
            </w:r>
            <w:r w:rsidRPr="003B1FB2">
              <w:tab/>
              <w:t>Administrations des États Membres de l'Union;</w:t>
            </w:r>
          </w:p>
          <w:p w14:paraId="5E6273E1" w14:textId="77777777" w:rsidR="003C37F8" w:rsidRPr="003B1FB2" w:rsidRDefault="003C37F8" w:rsidP="003C37F8">
            <w:pPr>
              <w:tabs>
                <w:tab w:val="clear" w:pos="794"/>
                <w:tab w:val="left" w:pos="226"/>
                <w:tab w:val="left" w:pos="4111"/>
              </w:tabs>
              <w:ind w:left="226" w:hanging="226"/>
              <w:rPr>
                <w:b/>
                <w:bCs/>
              </w:rPr>
            </w:pPr>
            <w:r w:rsidRPr="003B1FB2">
              <w:rPr>
                <w:b/>
                <w:bCs/>
              </w:rPr>
              <w:t>Copie:</w:t>
            </w:r>
          </w:p>
          <w:p w14:paraId="0204689E" w14:textId="77777777" w:rsidR="003C37F8" w:rsidRPr="003B1FB2" w:rsidRDefault="003C37F8" w:rsidP="00EE6D6F">
            <w:pPr>
              <w:tabs>
                <w:tab w:val="left" w:pos="4111"/>
              </w:tabs>
              <w:spacing w:before="0"/>
              <w:ind w:left="426" w:hanging="426"/>
            </w:pPr>
            <w:r w:rsidRPr="003B1FB2">
              <w:t>–</w:t>
            </w:r>
            <w:r w:rsidRPr="003B1FB2">
              <w:tab/>
              <w:t>Aux Membres du Secteur de l'UIT-T;</w:t>
            </w:r>
          </w:p>
          <w:p w14:paraId="7E2E1BC2" w14:textId="77777777" w:rsidR="003C37F8" w:rsidRPr="003B1FB2" w:rsidRDefault="003C37F8" w:rsidP="00EE6D6F">
            <w:pPr>
              <w:tabs>
                <w:tab w:val="left" w:pos="4111"/>
              </w:tabs>
              <w:spacing w:before="0"/>
              <w:ind w:left="426" w:hanging="426"/>
            </w:pPr>
            <w:r w:rsidRPr="003B1FB2">
              <w:t>–</w:t>
            </w:r>
            <w:r w:rsidRPr="003B1FB2">
              <w:tab/>
              <w:t>Aux Associés de l'UIT-T participant aux travaux de la Commission d'études 11;</w:t>
            </w:r>
          </w:p>
          <w:p w14:paraId="49EBE1AE" w14:textId="77777777" w:rsidR="003C37F8" w:rsidRPr="003B1FB2" w:rsidRDefault="003C37F8" w:rsidP="00EE6D6F">
            <w:pPr>
              <w:tabs>
                <w:tab w:val="clear" w:pos="794"/>
                <w:tab w:val="left" w:pos="4111"/>
              </w:tabs>
              <w:spacing w:before="0"/>
              <w:ind w:left="430" w:hanging="430"/>
              <w:rPr>
                <w:b/>
                <w:bCs/>
              </w:rPr>
            </w:pPr>
            <w:r w:rsidRPr="003B1FB2">
              <w:t>–</w:t>
            </w:r>
            <w:r w:rsidRPr="003B1FB2">
              <w:tab/>
              <w:t>Aux établissements universitaires participant aux travaux de l'UIT;</w:t>
            </w:r>
          </w:p>
          <w:p w14:paraId="793DB8E2" w14:textId="77777777" w:rsidR="003C37F8" w:rsidRPr="003B1FB2" w:rsidRDefault="003C37F8" w:rsidP="00307FB4">
            <w:pPr>
              <w:tabs>
                <w:tab w:val="clear" w:pos="794"/>
                <w:tab w:val="left" w:pos="4111"/>
              </w:tabs>
              <w:spacing w:before="0"/>
              <w:ind w:left="426" w:hanging="426"/>
            </w:pPr>
            <w:r w:rsidRPr="003B1FB2">
              <w:t>–</w:t>
            </w:r>
            <w:r w:rsidRPr="003B1FB2">
              <w:tab/>
              <w:t>Au Président et aux Vice-Présidents de la Commissions d'études 11 de l'UIT-T;</w:t>
            </w:r>
          </w:p>
          <w:p w14:paraId="4FEAACCA" w14:textId="77777777" w:rsidR="003C37F8" w:rsidRPr="003B1FB2" w:rsidRDefault="003C37F8" w:rsidP="00307FB4">
            <w:pPr>
              <w:tabs>
                <w:tab w:val="clear" w:pos="794"/>
                <w:tab w:val="left" w:pos="4111"/>
              </w:tabs>
              <w:spacing w:before="0"/>
              <w:ind w:left="426" w:hanging="426"/>
            </w:pPr>
            <w:r w:rsidRPr="003B1FB2">
              <w:t>–</w:t>
            </w:r>
            <w:r w:rsidRPr="003B1FB2">
              <w:tab/>
              <w:t>Au Directeur du Bureau de développement des télécommunications;</w:t>
            </w:r>
          </w:p>
          <w:p w14:paraId="461460AE" w14:textId="78F3906E" w:rsidR="003C37F8" w:rsidRPr="003B1FB2" w:rsidRDefault="003C37F8" w:rsidP="00307FB4">
            <w:pPr>
              <w:tabs>
                <w:tab w:val="left" w:pos="4111"/>
              </w:tabs>
              <w:spacing w:before="0"/>
              <w:ind w:left="426" w:hanging="426"/>
            </w:pPr>
            <w:r w:rsidRPr="003B1FB2">
              <w:t>–</w:t>
            </w:r>
            <w:r w:rsidRPr="003B1FB2">
              <w:tab/>
              <w:t>Au Directeur du Bureau des radiocommunications</w:t>
            </w:r>
          </w:p>
        </w:tc>
      </w:tr>
      <w:tr w:rsidR="003C37F8" w:rsidRPr="003B1FB2" w14:paraId="724FD23E" w14:textId="77777777" w:rsidTr="003C37F8">
        <w:trPr>
          <w:cantSplit/>
        </w:trPr>
        <w:tc>
          <w:tcPr>
            <w:tcW w:w="0" w:type="auto"/>
          </w:tcPr>
          <w:p w14:paraId="73149CCD" w14:textId="77777777" w:rsidR="003C37F8" w:rsidRPr="003B1FB2" w:rsidRDefault="003C37F8" w:rsidP="00A5280F">
            <w:pPr>
              <w:tabs>
                <w:tab w:val="left" w:pos="4111"/>
              </w:tabs>
              <w:spacing w:before="10"/>
              <w:ind w:left="57"/>
              <w:rPr>
                <w:b/>
                <w:bCs/>
                <w:sz w:val="20"/>
              </w:rPr>
            </w:pPr>
            <w:r w:rsidRPr="003B1FB2">
              <w:rPr>
                <w:b/>
                <w:bCs/>
              </w:rPr>
              <w:t>Tél.:</w:t>
            </w:r>
          </w:p>
        </w:tc>
        <w:tc>
          <w:tcPr>
            <w:tcW w:w="3344" w:type="dxa"/>
          </w:tcPr>
          <w:p w14:paraId="78D06186" w14:textId="31C2D6C5" w:rsidR="003C37F8" w:rsidRPr="003B1FB2" w:rsidRDefault="003C37F8" w:rsidP="00A5280F">
            <w:pPr>
              <w:tabs>
                <w:tab w:val="left" w:pos="4111"/>
              </w:tabs>
              <w:spacing w:before="0"/>
              <w:ind w:left="57"/>
            </w:pPr>
            <w:r w:rsidRPr="003B1FB2">
              <w:rPr>
                <w:rStyle w:val="None"/>
              </w:rPr>
              <w:t>+41 22 730 5780</w:t>
            </w:r>
          </w:p>
        </w:tc>
        <w:tc>
          <w:tcPr>
            <w:tcW w:w="5106" w:type="dxa"/>
            <w:vMerge/>
          </w:tcPr>
          <w:p w14:paraId="6D3A5806" w14:textId="40A002E6" w:rsidR="003C37F8" w:rsidRPr="003B1FB2" w:rsidRDefault="003C37F8" w:rsidP="00307FB4">
            <w:pPr>
              <w:tabs>
                <w:tab w:val="left" w:pos="4111"/>
              </w:tabs>
              <w:spacing w:before="0"/>
              <w:ind w:left="426" w:hanging="426"/>
              <w:rPr>
                <w:b/>
              </w:rPr>
            </w:pPr>
          </w:p>
        </w:tc>
      </w:tr>
      <w:tr w:rsidR="003C37F8" w:rsidRPr="003B1FB2" w14:paraId="030F9AE5" w14:textId="77777777" w:rsidTr="003C37F8">
        <w:trPr>
          <w:cantSplit/>
          <w:trHeight w:val="74"/>
        </w:trPr>
        <w:tc>
          <w:tcPr>
            <w:tcW w:w="0" w:type="auto"/>
          </w:tcPr>
          <w:p w14:paraId="7B417C4C" w14:textId="77777777" w:rsidR="003C37F8" w:rsidRPr="003B1FB2" w:rsidRDefault="003C37F8" w:rsidP="00A5280F">
            <w:pPr>
              <w:tabs>
                <w:tab w:val="left" w:pos="4111"/>
              </w:tabs>
              <w:spacing w:before="10"/>
              <w:ind w:left="57"/>
              <w:rPr>
                <w:b/>
                <w:bCs/>
                <w:sz w:val="20"/>
              </w:rPr>
            </w:pPr>
            <w:r w:rsidRPr="003B1FB2">
              <w:rPr>
                <w:b/>
                <w:bCs/>
              </w:rPr>
              <w:t>Télécopie:</w:t>
            </w:r>
          </w:p>
        </w:tc>
        <w:tc>
          <w:tcPr>
            <w:tcW w:w="3344" w:type="dxa"/>
          </w:tcPr>
          <w:p w14:paraId="1A4A5F7B" w14:textId="77777777" w:rsidR="003C37F8" w:rsidRPr="003B1FB2" w:rsidRDefault="003C37F8" w:rsidP="00A5280F">
            <w:pPr>
              <w:tabs>
                <w:tab w:val="left" w:pos="4111"/>
              </w:tabs>
              <w:spacing w:before="0"/>
              <w:ind w:left="57"/>
            </w:pPr>
            <w:r w:rsidRPr="003B1FB2">
              <w:t>+41 22 730 5853</w:t>
            </w:r>
          </w:p>
        </w:tc>
        <w:tc>
          <w:tcPr>
            <w:tcW w:w="5106" w:type="dxa"/>
            <w:vMerge/>
          </w:tcPr>
          <w:p w14:paraId="323DAC81" w14:textId="654712B0" w:rsidR="003C37F8" w:rsidRPr="003B1FB2" w:rsidRDefault="003C37F8" w:rsidP="00307FB4">
            <w:pPr>
              <w:tabs>
                <w:tab w:val="left" w:pos="4111"/>
              </w:tabs>
              <w:spacing w:before="0"/>
              <w:ind w:left="426" w:hanging="426"/>
              <w:rPr>
                <w:b/>
              </w:rPr>
            </w:pPr>
          </w:p>
        </w:tc>
      </w:tr>
      <w:tr w:rsidR="003C37F8" w:rsidRPr="003B1FB2" w14:paraId="640FB6B9" w14:textId="77777777" w:rsidTr="003C37F8">
        <w:trPr>
          <w:cantSplit/>
        </w:trPr>
        <w:tc>
          <w:tcPr>
            <w:tcW w:w="0" w:type="auto"/>
          </w:tcPr>
          <w:p w14:paraId="15527369" w14:textId="0865F49A" w:rsidR="003C37F8" w:rsidRPr="003B1FB2" w:rsidRDefault="003C37F8" w:rsidP="00A5280F">
            <w:pPr>
              <w:tabs>
                <w:tab w:val="left" w:pos="4111"/>
              </w:tabs>
              <w:spacing w:before="10"/>
              <w:ind w:left="57"/>
              <w:rPr>
                <w:b/>
                <w:bCs/>
              </w:rPr>
            </w:pPr>
            <w:r w:rsidRPr="003B1FB2">
              <w:rPr>
                <w:b/>
                <w:bCs/>
              </w:rPr>
              <w:t>Courriel:</w:t>
            </w:r>
          </w:p>
        </w:tc>
        <w:tc>
          <w:tcPr>
            <w:tcW w:w="3344" w:type="dxa"/>
          </w:tcPr>
          <w:p w14:paraId="172249CE" w14:textId="78BDC5AC" w:rsidR="003C37F8" w:rsidRPr="003B1FB2" w:rsidRDefault="0034355A" w:rsidP="00A5280F">
            <w:pPr>
              <w:tabs>
                <w:tab w:val="left" w:pos="4111"/>
              </w:tabs>
              <w:spacing w:before="0"/>
              <w:ind w:left="57"/>
              <w:rPr>
                <w:szCs w:val="24"/>
              </w:rPr>
            </w:pPr>
            <w:hyperlink r:id="rId9" w:history="1">
              <w:r w:rsidR="003C37F8" w:rsidRPr="003B1FB2">
                <w:rPr>
                  <w:rStyle w:val="Hyperlink"/>
                  <w:rFonts w:cstheme="minorHAnsi"/>
                  <w:szCs w:val="24"/>
                </w:rPr>
                <w:t>tsbsg11@itu.int</w:t>
              </w:r>
            </w:hyperlink>
          </w:p>
        </w:tc>
        <w:tc>
          <w:tcPr>
            <w:tcW w:w="5106" w:type="dxa"/>
            <w:vMerge/>
          </w:tcPr>
          <w:p w14:paraId="19762254" w14:textId="5683ABE7" w:rsidR="003C37F8" w:rsidRPr="003B1FB2" w:rsidRDefault="003C37F8" w:rsidP="00307FB4">
            <w:pPr>
              <w:tabs>
                <w:tab w:val="clear" w:pos="794"/>
                <w:tab w:val="left" w:pos="4111"/>
              </w:tabs>
              <w:spacing w:before="0"/>
              <w:ind w:left="426" w:hanging="426"/>
            </w:pPr>
          </w:p>
        </w:tc>
      </w:tr>
      <w:tr w:rsidR="00517A03" w:rsidRPr="003B1FB2" w14:paraId="5435C04A" w14:textId="77777777" w:rsidTr="00C41B89">
        <w:trPr>
          <w:cantSplit/>
          <w:trHeight w:val="397"/>
        </w:trPr>
        <w:tc>
          <w:tcPr>
            <w:tcW w:w="0" w:type="auto"/>
          </w:tcPr>
          <w:p w14:paraId="2A0B9B4F" w14:textId="77777777" w:rsidR="00517A03" w:rsidRPr="003B1FB2" w:rsidRDefault="00517A03" w:rsidP="00307FB4">
            <w:pPr>
              <w:tabs>
                <w:tab w:val="left" w:pos="4111"/>
              </w:tabs>
              <w:ind w:left="57"/>
              <w:rPr>
                <w:b/>
                <w:bCs/>
                <w:szCs w:val="22"/>
              </w:rPr>
            </w:pPr>
            <w:r w:rsidRPr="003B1FB2">
              <w:rPr>
                <w:b/>
                <w:bCs/>
                <w:szCs w:val="22"/>
              </w:rPr>
              <w:t>Objet:</w:t>
            </w:r>
          </w:p>
        </w:tc>
        <w:tc>
          <w:tcPr>
            <w:tcW w:w="0" w:type="auto"/>
            <w:gridSpan w:val="2"/>
          </w:tcPr>
          <w:p w14:paraId="1A51EE75" w14:textId="0B9DF187" w:rsidR="00517A03" w:rsidRPr="003B1FB2" w:rsidRDefault="00EE6D6F" w:rsidP="0048088B">
            <w:pPr>
              <w:tabs>
                <w:tab w:val="left" w:pos="4111"/>
              </w:tabs>
              <w:spacing w:after="120"/>
              <w:ind w:left="57"/>
              <w:rPr>
                <w:b/>
                <w:bCs/>
                <w:szCs w:val="22"/>
              </w:rPr>
            </w:pPr>
            <w:r w:rsidRPr="003B1FB2">
              <w:rPr>
                <w:b/>
                <w:bCs/>
              </w:rPr>
              <w:t>Consultation des États Membres au sujet des textes déterminés des projets de Recommandations UIT-T Q.5054 (anciennement Q.CCF-CCSD) et UIT-T Q.5010 (anciennement Q.UAMS-SRA) qu'il est proposé d'approuver à la réunion de la Commission d'études 11 de l'UIT-T (prévue à Genève, du 19 au 28 février 2025)</w:t>
            </w:r>
          </w:p>
        </w:tc>
      </w:tr>
    </w:tbl>
    <w:p w14:paraId="2D1EC328" w14:textId="77777777" w:rsidR="00517A03" w:rsidRPr="003B1FB2" w:rsidRDefault="00517A03" w:rsidP="0048088B">
      <w:pPr>
        <w:spacing w:before="360"/>
      </w:pPr>
      <w:bookmarkStart w:id="1" w:name="StartTyping_F"/>
      <w:bookmarkEnd w:id="1"/>
      <w:r w:rsidRPr="003B1FB2">
        <w:t>Madame, Monsieur,</w:t>
      </w:r>
    </w:p>
    <w:p w14:paraId="7F0BAE4C" w14:textId="45476E42" w:rsidR="00EE6D6F" w:rsidRPr="00EE6D6F" w:rsidRDefault="00EE6D6F" w:rsidP="00EE6D6F">
      <w:pPr>
        <w:rPr>
          <w:bCs/>
        </w:rPr>
      </w:pPr>
      <w:r w:rsidRPr="00EE6D6F">
        <w:rPr>
          <w:bCs/>
        </w:rPr>
        <w:t>1</w:t>
      </w:r>
      <w:r w:rsidRPr="00EE6D6F">
        <w:rPr>
          <w:bCs/>
        </w:rPr>
        <w:tab/>
        <w:t>La Commission d'études 11 de l'UIT-T (Exigences de signalisation, protocoles, spécifications de test et lutte contre la contrefaçon des dispositifs de télécommunication/TIC) a l'intention d'appliquer la procédure d'approbation traditionnelle énoncée à la section 9 de la Résolution 1 (Rév.</w:t>
      </w:r>
      <w:r w:rsidR="003C37F8" w:rsidRPr="003B1FB2">
        <w:rPr>
          <w:bCs/>
        </w:rPr>
        <w:t> </w:t>
      </w:r>
      <w:r w:rsidRPr="00EE6D6F">
        <w:rPr>
          <w:bCs/>
        </w:rPr>
        <w:t>Genève, 2022) de l'AMNT pour l'approbation des projets de Recommandations mentionnés ci-dessus, à sa prochaine réunion, qui se tiendra à Genève du 19 au 28 février 2025. L'ordre du jour ainsi que tous les renseignements pertinents concernant la réunion de la Commission d'études 11 de l'UIT-T seront mis à disposition en temps utile, après l'AMNT-24.</w:t>
      </w:r>
    </w:p>
    <w:p w14:paraId="7E2A8E7E" w14:textId="77777777" w:rsidR="00EE6D6F" w:rsidRPr="00EE6D6F" w:rsidRDefault="00EE6D6F" w:rsidP="00EE6D6F">
      <w:pPr>
        <w:rPr>
          <w:bCs/>
        </w:rPr>
      </w:pPr>
      <w:r w:rsidRPr="00EE6D6F">
        <w:rPr>
          <w:bCs/>
        </w:rPr>
        <w:t>2</w:t>
      </w:r>
      <w:r w:rsidRPr="00EE6D6F">
        <w:rPr>
          <w:bCs/>
        </w:rPr>
        <w:tab/>
        <w:t>On trouvera dans l'</w:t>
      </w:r>
      <w:r w:rsidRPr="00EE6D6F">
        <w:rPr>
          <w:b/>
        </w:rPr>
        <w:t>Annexe 1</w:t>
      </w:r>
      <w:r w:rsidRPr="00EE6D6F">
        <w:rPr>
          <w:bCs/>
        </w:rPr>
        <w:t xml:space="preserve"> le titre, le résumé et la localisation des projets de Recommandation UIT-T qu'il est proposé d'approuver.</w:t>
      </w:r>
    </w:p>
    <w:p w14:paraId="41A985C3" w14:textId="0A79EF87" w:rsidR="00EE6D6F" w:rsidRPr="00EE6D6F" w:rsidRDefault="00EE6D6F" w:rsidP="00EE6D6F">
      <w:pPr>
        <w:rPr>
          <w:bCs/>
        </w:rPr>
      </w:pPr>
      <w:r w:rsidRPr="00EE6D6F">
        <w:rPr>
          <w:bCs/>
        </w:rPr>
        <w:t>3</w:t>
      </w:r>
      <w:r w:rsidRPr="00EE6D6F">
        <w:rPr>
          <w:bCs/>
        </w:rPr>
        <w:tab/>
        <w:t>La présente Circulaire a pour objet d'engager le processus de consultation formelle des États Membres de l'UIT, qui devront indiquer si ces textes peuvent être examinés en vue de leur approbation à la prochaine réunion, conformément au paragraphe 9.4 de la Résolution 1. Les États</w:t>
      </w:r>
      <w:r w:rsidR="00356194" w:rsidRPr="003B1FB2">
        <w:rPr>
          <w:bCs/>
        </w:rPr>
        <w:t> </w:t>
      </w:r>
      <w:r w:rsidRPr="00EE6D6F">
        <w:rPr>
          <w:bCs/>
        </w:rPr>
        <w:t xml:space="preserve">Membres sont priés de remplir le formulaire reproduit dans </w:t>
      </w:r>
      <w:r w:rsidRPr="00EE6D6F">
        <w:t>l'</w:t>
      </w:r>
      <w:r w:rsidRPr="00EE6D6F">
        <w:rPr>
          <w:b/>
          <w:bCs/>
        </w:rPr>
        <w:t>Annexe 2</w:t>
      </w:r>
      <w:r w:rsidRPr="00EE6D6F">
        <w:rPr>
          <w:bCs/>
        </w:rPr>
        <w:t xml:space="preserve"> et de le renvoyer d'ici au </w:t>
      </w:r>
      <w:r w:rsidRPr="00EE6D6F">
        <w:rPr>
          <w:b/>
          <w:bCs/>
        </w:rPr>
        <w:t>7 février 2025</w:t>
      </w:r>
      <w:r w:rsidRPr="00EE6D6F">
        <w:rPr>
          <w:bCs/>
        </w:rPr>
        <w:t xml:space="preserve"> à 23 h 59 (UTC).</w:t>
      </w:r>
    </w:p>
    <w:p w14:paraId="404D444C" w14:textId="77777777" w:rsidR="00356194" w:rsidRPr="003B1FB2" w:rsidRDefault="00356194" w:rsidP="00EE6D6F">
      <w:pPr>
        <w:rPr>
          <w:bCs/>
        </w:rPr>
      </w:pPr>
      <w:bookmarkStart w:id="2" w:name="_Hlk172722338"/>
      <w:r w:rsidRPr="003B1FB2">
        <w:rPr>
          <w:bCs/>
        </w:rPr>
        <w:br w:type="page"/>
      </w:r>
    </w:p>
    <w:p w14:paraId="1F7D6BC6" w14:textId="6772F5D1" w:rsidR="00EE6D6F" w:rsidRPr="00EE6D6F" w:rsidRDefault="00EE6D6F" w:rsidP="00EE6D6F">
      <w:pPr>
        <w:rPr>
          <w:bCs/>
        </w:rPr>
      </w:pPr>
      <w:r w:rsidRPr="00EE6D6F">
        <w:rPr>
          <w:bCs/>
        </w:rPr>
        <w:lastRenderedPageBreak/>
        <w:t>4</w:t>
      </w:r>
      <w:r w:rsidRPr="00EE6D6F">
        <w:rPr>
          <w:bCs/>
        </w:rPr>
        <w:tab/>
        <w:t>Si au moins 70% des réponses des États Membres sont en faveur de l'examen, aux fins d'approbation, de ce texte, une séance plénière sera consacrée à l'application de la procédure d'approbation. Les États Membres qui n'autorisent pas le groupe régional à procéder ainsi doivent informer le Directeur du TSB des motifs de cette décision et lui faire part des éventuelles modifications qui permettraient la poursuite des travaux.</w:t>
      </w:r>
      <w:bookmarkEnd w:id="2"/>
    </w:p>
    <w:p w14:paraId="46F2C3C2" w14:textId="299C4DEB" w:rsidR="00307FB4" w:rsidRPr="003B1FB2" w:rsidRDefault="00EE6D6F" w:rsidP="00EE6D6F">
      <w:pPr>
        <w:rPr>
          <w:bCs/>
        </w:rPr>
      </w:pPr>
      <w:r w:rsidRPr="003B1FB2">
        <w:rPr>
          <w:bCs/>
        </w:rPr>
        <w:t>Veuillez agréer, Madame, Monsieur, l'assurance de ma haute considération.</w:t>
      </w:r>
    </w:p>
    <w:p w14:paraId="3A296738" w14:textId="5A5DBCDD" w:rsidR="00B60868" w:rsidRPr="003B1FB2" w:rsidRDefault="00B60868" w:rsidP="00B60868">
      <w:pPr>
        <w:spacing w:before="480" w:after="480"/>
        <w:rPr>
          <w:bCs/>
        </w:rPr>
      </w:pPr>
      <w:r w:rsidRPr="003B1FB2">
        <w:rPr>
          <w:bCs/>
        </w:rPr>
        <w:t>(</w:t>
      </w:r>
      <w:r w:rsidRPr="003B1FB2">
        <w:rPr>
          <w:bCs/>
          <w:i/>
        </w:rPr>
        <w:t>signé</w:t>
      </w:r>
      <w:r w:rsidRPr="003B1FB2">
        <w:rPr>
          <w:bCs/>
        </w:rPr>
        <w:t>)</w:t>
      </w:r>
    </w:p>
    <w:p w14:paraId="558FB742" w14:textId="175CD9BE" w:rsidR="002937DB" w:rsidRPr="003B1FB2" w:rsidRDefault="00307FB4" w:rsidP="00B60868">
      <w:pPr>
        <w:rPr>
          <w:bCs/>
        </w:rPr>
      </w:pPr>
      <w:r w:rsidRPr="003B1FB2">
        <w:rPr>
          <w:bCs/>
        </w:rPr>
        <w:t>Seizo Onoe</w:t>
      </w:r>
      <w:r w:rsidR="00B60868" w:rsidRPr="003B1FB2">
        <w:rPr>
          <w:bCs/>
        </w:rPr>
        <w:br/>
      </w:r>
      <w:r w:rsidRPr="003B1FB2">
        <w:rPr>
          <w:bCs/>
        </w:rPr>
        <w:t>Directeur du Bureau de la normalisation</w:t>
      </w:r>
      <w:r w:rsidR="00B60868" w:rsidRPr="003B1FB2">
        <w:rPr>
          <w:bCs/>
        </w:rPr>
        <w:br/>
      </w:r>
      <w:r w:rsidRPr="003B1FB2">
        <w:rPr>
          <w:bCs/>
        </w:rPr>
        <w:t>des télécommunications</w:t>
      </w:r>
    </w:p>
    <w:p w14:paraId="443E617D" w14:textId="282EDDB7" w:rsidR="00EE6D6F" w:rsidRPr="003B1FB2" w:rsidRDefault="00EE6D6F" w:rsidP="00513B81">
      <w:pPr>
        <w:spacing w:before="360"/>
        <w:rPr>
          <w:bCs/>
        </w:rPr>
      </w:pPr>
      <w:r w:rsidRPr="003B1FB2">
        <w:rPr>
          <w:b/>
          <w:bCs/>
        </w:rPr>
        <w:t>Annexes:</w:t>
      </w:r>
      <w:r w:rsidRPr="003B1FB2">
        <w:t xml:space="preserve"> 2</w:t>
      </w:r>
    </w:p>
    <w:p w14:paraId="601A1E45" w14:textId="77777777" w:rsidR="002937DB" w:rsidRPr="003B1FB2" w:rsidRDefault="002937DB">
      <w:pPr>
        <w:tabs>
          <w:tab w:val="clear" w:pos="794"/>
          <w:tab w:val="clear" w:pos="1191"/>
          <w:tab w:val="clear" w:pos="1588"/>
          <w:tab w:val="clear" w:pos="1985"/>
        </w:tabs>
        <w:overflowPunct/>
        <w:autoSpaceDE/>
        <w:autoSpaceDN/>
        <w:adjustRightInd/>
        <w:spacing w:before="0"/>
        <w:textAlignment w:val="auto"/>
        <w:rPr>
          <w:bCs/>
        </w:rPr>
      </w:pPr>
      <w:r w:rsidRPr="003B1FB2">
        <w:rPr>
          <w:bCs/>
        </w:rPr>
        <w:br w:type="page"/>
      </w:r>
    </w:p>
    <w:p w14:paraId="7DEDE2BA" w14:textId="7AD4A5A3" w:rsidR="00EE6D6F" w:rsidRPr="003B1FB2" w:rsidRDefault="00EE6D6F" w:rsidP="00EE6D6F">
      <w:pPr>
        <w:pStyle w:val="Annextitle0"/>
        <w:rPr>
          <w:rFonts w:asciiTheme="minorHAnsi" w:hAnsiTheme="minorHAnsi" w:cstheme="minorHAnsi"/>
          <w:sz w:val="24"/>
          <w:szCs w:val="24"/>
          <w:lang w:val="fr-FR"/>
        </w:rPr>
      </w:pPr>
      <w:r w:rsidRPr="003B1FB2">
        <w:rPr>
          <w:bCs/>
          <w:lang w:val="fr-FR"/>
        </w:rPr>
        <w:lastRenderedPageBreak/>
        <w:t>Annexe 1</w:t>
      </w:r>
      <w:r w:rsidR="00513B81" w:rsidRPr="003B1FB2">
        <w:rPr>
          <w:bCs/>
          <w:lang w:val="fr-FR"/>
        </w:rPr>
        <w:br/>
      </w:r>
      <w:r w:rsidR="00513B81" w:rsidRPr="003B1FB2">
        <w:rPr>
          <w:bCs/>
          <w:lang w:val="fr-FR"/>
        </w:rPr>
        <w:br/>
      </w:r>
      <w:r w:rsidRPr="003B1FB2">
        <w:rPr>
          <w:bCs/>
          <w:lang w:val="fr-FR"/>
        </w:rPr>
        <w:t>Résumé et localisation du texte déterminé des projets de nouvelles Recommandations UIT-T Q.5054 (anciennement Q.CCF-CCSD)</w:t>
      </w:r>
      <w:r w:rsidR="00513B81" w:rsidRPr="003B1FB2">
        <w:rPr>
          <w:bCs/>
          <w:lang w:val="fr-FR"/>
        </w:rPr>
        <w:br/>
      </w:r>
      <w:r w:rsidRPr="003B1FB2">
        <w:rPr>
          <w:bCs/>
          <w:lang w:val="fr-FR"/>
        </w:rPr>
        <w:t>et UIT-T Q.5010 (anciennement Q.UAMS-SRA)</w:t>
      </w:r>
    </w:p>
    <w:p w14:paraId="2A1FE77E" w14:textId="6D840851" w:rsidR="00EE6D6F" w:rsidRPr="003B1FB2" w:rsidRDefault="00EE6D6F" w:rsidP="00EE6D6F">
      <w:pPr>
        <w:pStyle w:val="Heading1"/>
        <w:rPr>
          <w:rFonts w:cstheme="minorHAnsi"/>
          <w:sz w:val="22"/>
          <w:szCs w:val="22"/>
        </w:rPr>
      </w:pPr>
      <w:r w:rsidRPr="003B1FB2">
        <w:rPr>
          <w:bCs/>
        </w:rPr>
        <w:t>1</w:t>
      </w:r>
      <w:r w:rsidRPr="003B1FB2">
        <w:tab/>
        <w:t>Projet de nouvelle Recommandation UIT-T Q.</w:t>
      </w:r>
      <w:r w:rsidRPr="003B1FB2">
        <w:rPr>
          <w:bCs/>
        </w:rPr>
        <w:t>5054 (anciennement Q.CCF-CCSD)</w:t>
      </w:r>
      <w:r w:rsidRPr="003B1FB2">
        <w:t xml:space="preserve"> </w:t>
      </w:r>
      <w:r w:rsidRPr="003B1FB2">
        <w:rPr>
          <w:szCs w:val="24"/>
        </w:rPr>
        <w:t>[</w:t>
      </w:r>
      <w:hyperlink r:id="rId10" w:history="1">
        <w:r w:rsidR="00513B81" w:rsidRPr="003B1FB2">
          <w:rPr>
            <w:rStyle w:val="Hyperlink"/>
            <w:rFonts w:cstheme="minorHAnsi"/>
            <w:szCs w:val="24"/>
          </w:rPr>
          <w:t>SG11</w:t>
        </w:r>
        <w:r w:rsidR="00513B81" w:rsidRPr="003B1FB2">
          <w:rPr>
            <w:rStyle w:val="Hyperlink"/>
            <w:rFonts w:cstheme="minorHAnsi"/>
            <w:szCs w:val="24"/>
          </w:rPr>
          <w:noBreakHyphen/>
          <w:t>R28</w:t>
        </w:r>
      </w:hyperlink>
      <w:r w:rsidRPr="003B1FB2">
        <w:rPr>
          <w:szCs w:val="24"/>
        </w:rPr>
        <w:t>]</w:t>
      </w:r>
    </w:p>
    <w:p w14:paraId="2500923C" w14:textId="05A6B1CA" w:rsidR="00EE6D6F" w:rsidRPr="003B1FB2" w:rsidRDefault="00EE6D6F" w:rsidP="00513B81">
      <w:pPr>
        <w:pStyle w:val="headingb"/>
        <w:rPr>
          <w:rFonts w:cstheme="minorHAnsi"/>
          <w:sz w:val="22"/>
          <w:szCs w:val="22"/>
        </w:rPr>
      </w:pPr>
      <w:r w:rsidRPr="003B1FB2">
        <w:t>Cadre axé sur le consommateur pour la lutte contre la contrefaçon et le vol de dispositifs mobiles</w:t>
      </w:r>
      <w:r w:rsidR="00513B81" w:rsidRPr="003B1FB2">
        <w:t> </w:t>
      </w:r>
      <w:r w:rsidRPr="003B1FB2">
        <w:t>TIC</w:t>
      </w:r>
    </w:p>
    <w:p w14:paraId="21F6C9E3" w14:textId="77777777" w:rsidR="00EE6D6F" w:rsidRPr="003B1FB2" w:rsidRDefault="00EE6D6F" w:rsidP="00513B81">
      <w:pPr>
        <w:pStyle w:val="headingb"/>
        <w:rPr>
          <w:rFonts w:cstheme="minorHAnsi"/>
          <w:sz w:val="22"/>
          <w:szCs w:val="22"/>
        </w:rPr>
      </w:pPr>
      <w:r w:rsidRPr="003B1FB2">
        <w:t>Résumé</w:t>
      </w:r>
    </w:p>
    <w:p w14:paraId="13ABC4E3" w14:textId="054490B0" w:rsidR="00EE6D6F" w:rsidRPr="003B1FB2" w:rsidRDefault="00EE6D6F" w:rsidP="00EE6D6F">
      <w:r w:rsidRPr="003B1FB2">
        <w:t>Alors que la portée de l</w:t>
      </w:r>
      <w:r w:rsidR="00513B81" w:rsidRPr="003B1FB2">
        <w:t>'</w:t>
      </w:r>
      <w:r w:rsidRPr="003B1FB2">
        <w:t>Internet s'est développée rapidement et que l</w:t>
      </w:r>
      <w:r w:rsidR="00513B81" w:rsidRPr="003B1FB2">
        <w:t>'</w:t>
      </w:r>
      <w:r w:rsidRPr="003B1FB2">
        <w:t>adoption et l</w:t>
      </w:r>
      <w:r w:rsidR="00513B81" w:rsidRPr="003B1FB2">
        <w:t>'</w:t>
      </w:r>
      <w:r w:rsidRPr="003B1FB2">
        <w:t>utilisation des technologies de l</w:t>
      </w:r>
      <w:r w:rsidR="00513B81" w:rsidRPr="003B1FB2">
        <w:t>'</w:t>
      </w:r>
      <w:r w:rsidRPr="003B1FB2">
        <w:t>information et de la communication (TIC) se sont accélérées pendant la pandémie de COVID-19, la circulation et l</w:t>
      </w:r>
      <w:r w:rsidR="00513B81" w:rsidRPr="003B1FB2">
        <w:t>'</w:t>
      </w:r>
      <w:r w:rsidRPr="003B1FB2">
        <w:t>utilisation de dispositifs TIC de contrefaçon ont considérablement augmenté. Selon un rapport de l</w:t>
      </w:r>
      <w:r w:rsidR="00513B81" w:rsidRPr="003B1FB2">
        <w:t>'</w:t>
      </w:r>
      <w:r w:rsidRPr="003B1FB2">
        <w:t>OCDE publié en 2017, à cette époque, déjà, près d</w:t>
      </w:r>
      <w:r w:rsidR="00513B81" w:rsidRPr="003B1FB2">
        <w:t>'</w:t>
      </w:r>
      <w:r w:rsidRPr="003B1FB2">
        <w:t>un téléphone mobile sur cinq expédié à l</w:t>
      </w:r>
      <w:r w:rsidR="00513B81" w:rsidRPr="003B1FB2">
        <w:t>'</w:t>
      </w:r>
      <w:r w:rsidRPr="003B1FB2">
        <w:t>étranger était faux ou contrefait. Le commerce croissant de matériel informatique et de communication contrefait a des conséquences pour les consommateurs, les fabricants et les finances publiques.</w:t>
      </w:r>
    </w:p>
    <w:p w14:paraId="3FACED84" w14:textId="1EF2DB8D" w:rsidR="00EE6D6F" w:rsidRPr="003B1FB2" w:rsidRDefault="00EE6D6F" w:rsidP="00EE6D6F">
      <w:r w:rsidRPr="003B1FB2">
        <w:t>Un dispositif de télécommunication/TIC de contrefaçon est un produit qui enfreint expressément la marque de fabrique, copie les modèles de matériels et de logiciels, enfreint les droits liés à la marque ou à l'emballage d'un produit original ou authentique et, de manière générale, enfreint les normes techniques, les prescriptions réglementaires ou les procédures de conformité, les accords de licences de fabrication applicables aux niveaux national et/ou international ou les autres prescriptions juridiques applicables. Les principaux dispositifs de télécommunication/TIC mobiles sont notamment les smartphones, les tablettes, les dispositifs IoT, les dispositifs portables, les modems, les clés et les routeurs WLAN avec connectivité au réseau cellulaire. Outre la contrefaçon de dispositifs de télécommunication/TIC, l</w:t>
      </w:r>
      <w:r w:rsidR="00513B81" w:rsidRPr="003B1FB2">
        <w:t>'</w:t>
      </w:r>
      <w:r w:rsidRPr="003B1FB2">
        <w:t>utilisation, dans les réseaux mobiles, de dispositifs volés pose également de graves problèmes pour la sécurité et l</w:t>
      </w:r>
      <w:r w:rsidR="00513B81" w:rsidRPr="003B1FB2">
        <w:t>'</w:t>
      </w:r>
      <w:r w:rsidRPr="003B1FB2">
        <w:t>ordre public.</w:t>
      </w:r>
    </w:p>
    <w:p w14:paraId="6820AB81" w14:textId="59219586" w:rsidR="00EE6D6F" w:rsidRPr="003B1FB2" w:rsidRDefault="00EE6D6F" w:rsidP="00EE6D6F">
      <w:r w:rsidRPr="003B1FB2">
        <w:t>La multiplication incontrôlée des dispositifs mobiles de télécommunication/TIC de contrefaçon et des dispositifs volés dans les réseaux mobiles terrestres publics (RMTP) pose de sérieux problèmes aux régulateurs, aux autorités chargées de l'application de la loi et aux consommateurs finals et a des effets négatifs sur l</w:t>
      </w:r>
      <w:r w:rsidR="00513B81" w:rsidRPr="003B1FB2">
        <w:t>'</w:t>
      </w:r>
      <w:r w:rsidRPr="003B1FB2">
        <w:t>économie en général. Les aspects économiques de l</w:t>
      </w:r>
      <w:r w:rsidR="00513B81" w:rsidRPr="003B1FB2">
        <w:t>'</w:t>
      </w:r>
      <w:r w:rsidRPr="003B1FB2">
        <w:t>offre et de la demande liés aux dispositifs de contrefaçon et aux dispositifs volés compliquent les efforts visant à contrôler la situation du marché local et mondial pour ces dispositifs.</w:t>
      </w:r>
    </w:p>
    <w:p w14:paraId="05D761C1" w14:textId="77777777" w:rsidR="00513B81" w:rsidRPr="003B1FB2" w:rsidRDefault="00EE6D6F" w:rsidP="00EE6D6F">
      <w:r w:rsidRPr="003B1FB2">
        <w:t xml:space="preserve">La Recommandation UIT-T Q.5050 fournit un cadre de référence, ainsi que les difficultés et les exigences de haut niveau, dont il faudrait tenir compte lors de la mise en </w:t>
      </w:r>
      <w:r w:rsidR="00513B81" w:rsidRPr="003B1FB2">
        <w:t>œuvre</w:t>
      </w:r>
      <w:r w:rsidRPr="003B1FB2">
        <w:t xml:space="preserve"> de solutions visant à lutter contre la circulation et l'utilisation de dispositifs TIC de contrefaçon. En outre, la Recommandation UIT-T Q.5051 fournit un </w:t>
      </w:r>
      <w:r w:rsidR="00513B81" w:rsidRPr="003B1FB2">
        <w:t>"</w:t>
      </w:r>
      <w:r w:rsidRPr="003B1FB2">
        <w:t>Cadre pour la lutte contre l'utilisation de dispositifs mobiles volés</w:t>
      </w:r>
      <w:r w:rsidR="00513B81" w:rsidRPr="003B1FB2">
        <w:t>"</w:t>
      </w:r>
      <w:r w:rsidRPr="003B1FB2">
        <w:t>. Elle vise également à définir des canaux de communication et des interfaces de consommateur possibles avec des formats de plate-forme, d</w:t>
      </w:r>
      <w:r w:rsidR="00513B81" w:rsidRPr="003B1FB2">
        <w:t>'</w:t>
      </w:r>
      <w:r w:rsidRPr="003B1FB2">
        <w:t xml:space="preserve">interrogation indicative et de réponse, y compris des approches pour la formation et la sensibilisation des consommateurs. Elle traite également des principales caractéristiques de la plate-forme, des considérations essentielles relatives à la sécurité, des scénarios de mise en œuvre et des problèmes techniques éventuels liés, </w:t>
      </w:r>
      <w:r w:rsidR="00513B81" w:rsidRPr="003B1FB2">
        <w:br w:type="page"/>
      </w:r>
    </w:p>
    <w:p w14:paraId="486069CD" w14:textId="0993CACA" w:rsidR="00EE6D6F" w:rsidRPr="003B1FB2" w:rsidRDefault="00EE6D6F" w:rsidP="00EE6D6F">
      <w:r w:rsidRPr="003B1FB2">
        <w:lastRenderedPageBreak/>
        <w:t>notamment, aux interfaces indépendantes des fournisseurs, à la vérification en masse des équipements mobiles, aux dispositifs dotés d</w:t>
      </w:r>
      <w:r w:rsidR="00513B81" w:rsidRPr="003B1FB2">
        <w:t>'</w:t>
      </w:r>
      <w:r w:rsidRPr="003B1FB2">
        <w:t>identificateurs uniques reproduits ainsi qu</w:t>
      </w:r>
      <w:r w:rsidR="00513B81" w:rsidRPr="003B1FB2">
        <w:t>'</w:t>
      </w:r>
      <w:r w:rsidRPr="003B1FB2">
        <w:t>au signalement et au traitement des dispositifs de télécommunication/TIC mobiles volés ou perdus et à leur restauration après récupération.</w:t>
      </w:r>
    </w:p>
    <w:p w14:paraId="35C7B391" w14:textId="765B339D" w:rsidR="00EE6D6F" w:rsidRPr="003B1FB2" w:rsidRDefault="00EE6D6F" w:rsidP="00EE6D6F">
      <w:pPr>
        <w:rPr>
          <w:color w:val="000000"/>
          <w:sz w:val="22"/>
          <w:szCs w:val="18"/>
        </w:rPr>
      </w:pPr>
      <w:r w:rsidRPr="003B1FB2">
        <w:t>Dans ce contexte, cette Recommandation vise à fournir un cadre axé sur le consommateur au moyen d</w:t>
      </w:r>
      <w:r w:rsidR="00513B81" w:rsidRPr="003B1FB2">
        <w:t>'</w:t>
      </w:r>
      <w:r w:rsidRPr="003B1FB2">
        <w:t>une plate-forme unifiée tenant compte des scénarios possibles et d</w:t>
      </w:r>
      <w:r w:rsidR="00513B81" w:rsidRPr="003B1FB2">
        <w:t>'</w:t>
      </w:r>
      <w:r w:rsidRPr="003B1FB2">
        <w:t>une approche multiforme pour lutter contre la contrefaçon et le vol de dispositifs de télécommunication/TIC mobiles.</w:t>
      </w:r>
    </w:p>
    <w:p w14:paraId="49409033" w14:textId="31C67C60" w:rsidR="00EE6D6F" w:rsidRPr="003B1FB2" w:rsidRDefault="00EE6D6F" w:rsidP="00EE6D6F">
      <w:pPr>
        <w:rPr>
          <w:color w:val="000000"/>
          <w:sz w:val="22"/>
          <w:szCs w:val="18"/>
        </w:rPr>
      </w:pPr>
      <w:r w:rsidRPr="003B1FB2">
        <w:t xml:space="preserve">NOTE DU TSB – À la date de la présente circulaire,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1" w:history="1">
        <w:r w:rsidR="00513B81" w:rsidRPr="003B1FB2">
          <w:rPr>
            <w:rStyle w:val="Hyperlink"/>
            <w:rFonts w:cstheme="minorHAnsi"/>
            <w:szCs w:val="24"/>
          </w:rPr>
          <w:t>www.itu.int/ipr/</w:t>
        </w:r>
      </w:hyperlink>
      <w:r w:rsidRPr="003B1FB2">
        <w:rPr>
          <w:szCs w:val="24"/>
        </w:rPr>
        <w:t>.</w:t>
      </w:r>
    </w:p>
    <w:p w14:paraId="4CE8DC27" w14:textId="7ACF0BEC" w:rsidR="00EE6D6F" w:rsidRPr="003B1FB2" w:rsidRDefault="00EE6D6F" w:rsidP="00EE6D6F">
      <w:pPr>
        <w:pStyle w:val="Heading1"/>
        <w:rPr>
          <w:rFonts w:cstheme="minorHAnsi"/>
          <w:sz w:val="22"/>
          <w:szCs w:val="22"/>
        </w:rPr>
      </w:pPr>
      <w:r w:rsidRPr="003B1FB2">
        <w:rPr>
          <w:bCs/>
        </w:rPr>
        <w:t>2</w:t>
      </w:r>
      <w:r w:rsidRPr="003B1FB2">
        <w:tab/>
        <w:t xml:space="preserve">Projet de nouvelle Recommandation </w:t>
      </w:r>
      <w:r w:rsidRPr="003B1FB2">
        <w:rPr>
          <w:bCs/>
        </w:rPr>
        <w:t>UIT-T Q.5010 (anciennement Q.UAMS-SRA)</w:t>
      </w:r>
      <w:r w:rsidRPr="003B1FB2">
        <w:rPr>
          <w:szCs w:val="24"/>
        </w:rPr>
        <w:t xml:space="preserve"> [</w:t>
      </w:r>
      <w:hyperlink r:id="rId12" w:history="1">
        <w:r w:rsidR="00513B81" w:rsidRPr="003B1FB2">
          <w:rPr>
            <w:rStyle w:val="Hyperlink"/>
            <w:rFonts w:cstheme="minorHAnsi"/>
            <w:szCs w:val="24"/>
          </w:rPr>
          <w:t>SG11</w:t>
        </w:r>
        <w:r w:rsidR="00513B81" w:rsidRPr="003B1FB2">
          <w:rPr>
            <w:rStyle w:val="Hyperlink"/>
            <w:rFonts w:cstheme="minorHAnsi"/>
            <w:szCs w:val="24"/>
          </w:rPr>
          <w:noBreakHyphen/>
          <w:t>R29</w:t>
        </w:r>
      </w:hyperlink>
      <w:r w:rsidRPr="003B1FB2">
        <w:rPr>
          <w:szCs w:val="24"/>
        </w:rPr>
        <w:t>]</w:t>
      </w:r>
    </w:p>
    <w:p w14:paraId="1C52A607" w14:textId="04922FF2" w:rsidR="00EE6D6F" w:rsidRPr="003B1FB2" w:rsidRDefault="00EE6D6F" w:rsidP="00513B81">
      <w:pPr>
        <w:pStyle w:val="headingb"/>
        <w:rPr>
          <w:rFonts w:cstheme="minorHAnsi"/>
          <w:sz w:val="22"/>
          <w:szCs w:val="22"/>
        </w:rPr>
      </w:pPr>
      <w:r w:rsidRPr="003B1FB2">
        <w:t>Exigences et architecture de signalisation pour l'environnement des services de mobilité aérienne urbaine</w:t>
      </w:r>
    </w:p>
    <w:p w14:paraId="29B81690" w14:textId="77777777" w:rsidR="00EE6D6F" w:rsidRPr="003B1FB2" w:rsidRDefault="00EE6D6F" w:rsidP="00513B81">
      <w:pPr>
        <w:pStyle w:val="headingb"/>
        <w:rPr>
          <w:rFonts w:cstheme="minorHAnsi"/>
          <w:sz w:val="22"/>
          <w:szCs w:val="22"/>
        </w:rPr>
      </w:pPr>
      <w:r w:rsidRPr="003B1FB2">
        <w:t>Résumé</w:t>
      </w:r>
    </w:p>
    <w:p w14:paraId="164658BF" w14:textId="4597D8A2" w:rsidR="00EE6D6F" w:rsidRPr="003B1FB2" w:rsidRDefault="00EE6D6F" w:rsidP="00EE6D6F">
      <w:pPr>
        <w:rPr>
          <w:rFonts w:cstheme="minorHAnsi"/>
          <w:sz w:val="22"/>
          <w:szCs w:val="22"/>
        </w:rPr>
      </w:pPr>
      <w:r w:rsidRPr="003B1FB2">
        <w:t>Cette Recommandation définit les exigences et l</w:t>
      </w:r>
      <w:r w:rsidR="00513B81" w:rsidRPr="003B1FB2">
        <w:t>'</w:t>
      </w:r>
      <w:r w:rsidRPr="003B1FB2">
        <w:t>architecture de signalisation pour les services de mobilité aérienne urbaine (UAM). Ces exigences comprennent des informations de signalisation à chaque point de référence et des procédures de service pour la communication entre l</w:t>
      </w:r>
      <w:r w:rsidR="00513B81" w:rsidRPr="003B1FB2">
        <w:t>'</w:t>
      </w:r>
      <w:r w:rsidRPr="003B1FB2">
        <w:t>équipement d</w:t>
      </w:r>
      <w:r w:rsidR="00513B81" w:rsidRPr="003B1FB2">
        <w:t>'</w:t>
      </w:r>
      <w:r w:rsidRPr="003B1FB2">
        <w:t>utilisateur, la couche accès, la couche centrale et la couche de service pour les services UAM.</w:t>
      </w:r>
    </w:p>
    <w:p w14:paraId="23C76756" w14:textId="697A2B77" w:rsidR="00EE6D6F" w:rsidRPr="003B1FB2" w:rsidRDefault="00EE6D6F" w:rsidP="00EE6D6F">
      <w:r w:rsidRPr="003B1FB2">
        <w:t xml:space="preserve">NOTE DU TSB – À la date de la présente circulaire,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3" w:history="1">
        <w:r w:rsidR="00FE4256" w:rsidRPr="003B1FB2">
          <w:rPr>
            <w:rStyle w:val="Hyperlink"/>
            <w:rFonts w:cstheme="minorHAnsi"/>
            <w:szCs w:val="24"/>
          </w:rPr>
          <w:t>www.itu.int/ipr/</w:t>
        </w:r>
      </w:hyperlink>
      <w:r w:rsidRPr="003B1FB2">
        <w:rPr>
          <w:szCs w:val="24"/>
        </w:rPr>
        <w:t>.</w:t>
      </w:r>
    </w:p>
    <w:p w14:paraId="33D420D0" w14:textId="77777777" w:rsidR="00EE6D6F" w:rsidRPr="003B1FB2" w:rsidRDefault="00EE6D6F" w:rsidP="00EE6D6F">
      <w:pPr>
        <w:tabs>
          <w:tab w:val="clear" w:pos="794"/>
          <w:tab w:val="clear" w:pos="1191"/>
          <w:tab w:val="clear" w:pos="1588"/>
          <w:tab w:val="clear" w:pos="1985"/>
        </w:tabs>
        <w:overflowPunct/>
        <w:autoSpaceDE/>
        <w:autoSpaceDN/>
        <w:adjustRightInd/>
        <w:spacing w:before="0"/>
        <w:textAlignment w:val="auto"/>
      </w:pPr>
      <w:r w:rsidRPr="003B1FB2">
        <w:br w:type="page"/>
      </w:r>
    </w:p>
    <w:p w14:paraId="30FC66F8" w14:textId="1C2FEAD3" w:rsidR="00EE6D6F" w:rsidRPr="003B1FB2" w:rsidRDefault="00EE6D6F" w:rsidP="00EE6D6F">
      <w:pPr>
        <w:pStyle w:val="AnnexTitle"/>
        <w:spacing w:before="0" w:after="240"/>
        <w:rPr>
          <w:sz w:val="28"/>
          <w:szCs w:val="28"/>
          <w:highlight w:val="yellow"/>
        </w:rPr>
      </w:pPr>
      <w:r w:rsidRPr="003B1FB2">
        <w:rPr>
          <w:sz w:val="28"/>
          <w:szCs w:val="28"/>
        </w:rPr>
        <w:lastRenderedPageBreak/>
        <w:t>Annexe 2</w:t>
      </w:r>
      <w:r w:rsidRPr="003B1FB2">
        <w:rPr>
          <w:sz w:val="28"/>
          <w:szCs w:val="28"/>
        </w:rPr>
        <w:br/>
      </w:r>
      <w:r w:rsidRPr="003B1FB2">
        <w:rPr>
          <w:sz w:val="28"/>
          <w:szCs w:val="28"/>
        </w:rPr>
        <w:br/>
        <w:t>Objet: Réponse des États Membres à la Circulaire TSB 223:</w:t>
      </w:r>
      <w:r w:rsidRPr="003B1FB2">
        <w:rPr>
          <w:sz w:val="28"/>
          <w:szCs w:val="28"/>
        </w:rPr>
        <w:br/>
        <w:t>Consultation au sujet du texte déterminé des projets de nouvelles Recommandations UIT-T Q.5054 (anciennement Q.CCF-CCSD)</w:t>
      </w:r>
      <w:r w:rsidR="00FE4256" w:rsidRPr="003B1FB2">
        <w:rPr>
          <w:sz w:val="28"/>
          <w:szCs w:val="28"/>
        </w:rPr>
        <w:br/>
      </w:r>
      <w:r w:rsidRPr="003B1FB2">
        <w:rPr>
          <w:sz w:val="28"/>
          <w:szCs w:val="28"/>
        </w:rPr>
        <w:t>et UIT-T Q.5010 (anciennement Q.UAMS-SRA)</w:t>
      </w:r>
    </w:p>
    <w:tbl>
      <w:tblPr>
        <w:tblW w:w="9923" w:type="dxa"/>
        <w:tblInd w:w="-142" w:type="dxa"/>
        <w:tblLayout w:type="fixed"/>
        <w:tblLook w:val="04A0" w:firstRow="1" w:lastRow="0" w:firstColumn="1" w:lastColumn="0" w:noHBand="0" w:noVBand="1"/>
      </w:tblPr>
      <w:tblGrid>
        <w:gridCol w:w="1276"/>
        <w:gridCol w:w="4820"/>
        <w:gridCol w:w="1276"/>
        <w:gridCol w:w="2551"/>
      </w:tblGrid>
      <w:tr w:rsidR="00EE6D6F" w:rsidRPr="003B1FB2" w14:paraId="4BD6C199" w14:textId="77777777" w:rsidTr="000B7944">
        <w:tc>
          <w:tcPr>
            <w:tcW w:w="1276" w:type="dxa"/>
            <w:shd w:val="clear" w:color="auto" w:fill="auto"/>
          </w:tcPr>
          <w:p w14:paraId="5E070857" w14:textId="75505BFE" w:rsidR="00EE6D6F" w:rsidRPr="003B1FB2" w:rsidRDefault="00EE6D6F" w:rsidP="000B7944">
            <w:pPr>
              <w:spacing w:before="40"/>
              <w:jc w:val="right"/>
              <w:rPr>
                <w:b/>
                <w:szCs w:val="24"/>
              </w:rPr>
            </w:pPr>
            <w:r w:rsidRPr="003B1FB2">
              <w:rPr>
                <w:b/>
                <w:szCs w:val="24"/>
              </w:rPr>
              <w:t>Au</w:t>
            </w:r>
            <w:r w:rsidR="00FE4256" w:rsidRPr="003B1FB2">
              <w:rPr>
                <w:b/>
                <w:szCs w:val="24"/>
              </w:rPr>
              <w:t>:</w:t>
            </w:r>
          </w:p>
        </w:tc>
        <w:tc>
          <w:tcPr>
            <w:tcW w:w="4820" w:type="dxa"/>
            <w:tcBorders>
              <w:right w:val="single" w:sz="8" w:space="0" w:color="auto"/>
            </w:tcBorders>
            <w:shd w:val="clear" w:color="auto" w:fill="auto"/>
          </w:tcPr>
          <w:p w14:paraId="4ED7E00D" w14:textId="77777777" w:rsidR="00EE6D6F" w:rsidRPr="003B1FB2" w:rsidRDefault="00EE6D6F" w:rsidP="000B7944">
            <w:pPr>
              <w:spacing w:before="40"/>
              <w:rPr>
                <w:szCs w:val="24"/>
              </w:rPr>
            </w:pPr>
            <w:r w:rsidRPr="003B1FB2">
              <w:t>Directeur du Bureau de la normalisation</w:t>
            </w:r>
            <w:r w:rsidRPr="003B1FB2">
              <w:br/>
              <w:t>des télécommunications</w:t>
            </w:r>
          </w:p>
          <w:p w14:paraId="4ABB2285" w14:textId="77777777" w:rsidR="00EE6D6F" w:rsidRPr="003B1FB2" w:rsidRDefault="00EE6D6F" w:rsidP="000B7944">
            <w:pPr>
              <w:spacing w:before="0"/>
              <w:rPr>
                <w:szCs w:val="24"/>
              </w:rPr>
            </w:pPr>
            <w:r w:rsidRPr="003B1FB2">
              <w:t>Union internationale des télécommunications</w:t>
            </w:r>
          </w:p>
          <w:p w14:paraId="08283351" w14:textId="77777777" w:rsidR="00EE6D6F" w:rsidRPr="003B1FB2" w:rsidRDefault="00EE6D6F" w:rsidP="000B7944">
            <w:pPr>
              <w:spacing w:before="0"/>
              <w:rPr>
                <w:szCs w:val="24"/>
              </w:rPr>
            </w:pPr>
            <w:r w:rsidRPr="003B1FB2">
              <w:t>Place des Nations</w:t>
            </w:r>
          </w:p>
          <w:p w14:paraId="09456C97" w14:textId="77777777" w:rsidR="00EE6D6F" w:rsidRPr="003B1FB2" w:rsidRDefault="00EE6D6F" w:rsidP="000B7944">
            <w:pPr>
              <w:spacing w:before="0"/>
              <w:rPr>
                <w:szCs w:val="24"/>
              </w:rPr>
            </w:pPr>
            <w:r w:rsidRPr="003B1FB2">
              <w:t>CH-1211 Genève 20, Suisse</w:t>
            </w:r>
          </w:p>
        </w:tc>
        <w:tc>
          <w:tcPr>
            <w:tcW w:w="1276" w:type="dxa"/>
            <w:tcBorders>
              <w:left w:val="single" w:sz="8" w:space="0" w:color="auto"/>
            </w:tcBorders>
            <w:shd w:val="clear" w:color="auto" w:fill="auto"/>
          </w:tcPr>
          <w:p w14:paraId="47639F3E" w14:textId="77777777" w:rsidR="00EE6D6F" w:rsidRPr="003B1FB2" w:rsidRDefault="00EE6D6F" w:rsidP="000B7944">
            <w:pPr>
              <w:spacing w:before="40"/>
              <w:jc w:val="right"/>
              <w:rPr>
                <w:szCs w:val="24"/>
              </w:rPr>
            </w:pPr>
            <w:r w:rsidRPr="003B1FB2">
              <w:rPr>
                <w:b/>
              </w:rPr>
              <w:t>De</w:t>
            </w:r>
            <w:r w:rsidRPr="003B1FB2">
              <w:rPr>
                <w:b/>
                <w:bCs/>
              </w:rPr>
              <w:t>:</w:t>
            </w:r>
          </w:p>
        </w:tc>
        <w:tc>
          <w:tcPr>
            <w:tcW w:w="2551" w:type="dxa"/>
            <w:shd w:val="clear" w:color="auto" w:fill="auto"/>
          </w:tcPr>
          <w:p w14:paraId="53E0E4D0" w14:textId="77777777" w:rsidR="00EE6D6F" w:rsidRPr="003B1FB2" w:rsidRDefault="00EE6D6F" w:rsidP="000B7944">
            <w:pPr>
              <w:spacing w:before="40"/>
              <w:rPr>
                <w:szCs w:val="24"/>
                <w:highlight w:val="green"/>
              </w:rPr>
            </w:pPr>
            <w:r w:rsidRPr="003B1FB2">
              <w:rPr>
                <w:highlight w:val="green"/>
              </w:rPr>
              <w:t>[Nom]</w:t>
            </w:r>
          </w:p>
          <w:p w14:paraId="75B6F0DA" w14:textId="77777777" w:rsidR="00EE6D6F" w:rsidRPr="003B1FB2" w:rsidRDefault="00EE6D6F" w:rsidP="000B7944">
            <w:pPr>
              <w:spacing w:before="40"/>
              <w:rPr>
                <w:szCs w:val="24"/>
                <w:highlight w:val="green"/>
              </w:rPr>
            </w:pPr>
            <w:r w:rsidRPr="003B1FB2">
              <w:rPr>
                <w:highlight w:val="green"/>
              </w:rPr>
              <w:t>[Rôle/titre officiel]</w:t>
            </w:r>
          </w:p>
          <w:p w14:paraId="0642CD9D" w14:textId="77777777" w:rsidR="00EE6D6F" w:rsidRPr="003B1FB2" w:rsidRDefault="00EE6D6F" w:rsidP="000B7944">
            <w:pPr>
              <w:spacing w:before="40"/>
              <w:rPr>
                <w:szCs w:val="24"/>
              </w:rPr>
            </w:pPr>
            <w:r w:rsidRPr="003B1FB2">
              <w:rPr>
                <w:highlight w:val="green"/>
              </w:rPr>
              <w:t>[Adresse]</w:t>
            </w:r>
          </w:p>
        </w:tc>
      </w:tr>
      <w:tr w:rsidR="00EE6D6F" w:rsidRPr="003B1FB2" w14:paraId="30177BB2" w14:textId="77777777" w:rsidTr="000B7944">
        <w:tc>
          <w:tcPr>
            <w:tcW w:w="1276" w:type="dxa"/>
            <w:shd w:val="clear" w:color="auto" w:fill="auto"/>
          </w:tcPr>
          <w:p w14:paraId="08CDE1F4" w14:textId="77777777" w:rsidR="00EE6D6F" w:rsidRPr="003B1FB2" w:rsidRDefault="00EE6D6F" w:rsidP="000B7944">
            <w:pPr>
              <w:spacing w:before="40"/>
              <w:ind w:left="-104"/>
              <w:jc w:val="right"/>
              <w:rPr>
                <w:szCs w:val="24"/>
              </w:rPr>
            </w:pPr>
            <w:r w:rsidRPr="003B1FB2">
              <w:rPr>
                <w:b/>
                <w:bCs/>
              </w:rPr>
              <w:t>Télécopie:</w:t>
            </w:r>
          </w:p>
        </w:tc>
        <w:tc>
          <w:tcPr>
            <w:tcW w:w="4820" w:type="dxa"/>
            <w:tcBorders>
              <w:right w:val="single" w:sz="8" w:space="0" w:color="auto"/>
            </w:tcBorders>
            <w:shd w:val="clear" w:color="auto" w:fill="auto"/>
          </w:tcPr>
          <w:p w14:paraId="5D61F92C" w14:textId="684EB70E" w:rsidR="00EE6D6F" w:rsidRPr="003B1FB2" w:rsidRDefault="00EE6D6F" w:rsidP="000B7944">
            <w:pPr>
              <w:spacing w:before="40"/>
              <w:rPr>
                <w:szCs w:val="24"/>
              </w:rPr>
            </w:pPr>
            <w:r w:rsidRPr="003B1FB2">
              <w:t>+41</w:t>
            </w:r>
            <w:r w:rsidR="00FE4256" w:rsidRPr="003B1FB2">
              <w:t xml:space="preserve"> </w:t>
            </w:r>
            <w:r w:rsidRPr="003B1FB2">
              <w:t>22</w:t>
            </w:r>
            <w:r w:rsidR="00FE4256" w:rsidRPr="003B1FB2">
              <w:t xml:space="preserve"> </w:t>
            </w:r>
            <w:r w:rsidRPr="003B1FB2">
              <w:t>730</w:t>
            </w:r>
            <w:r w:rsidR="00FE4256" w:rsidRPr="003B1FB2">
              <w:t xml:space="preserve"> </w:t>
            </w:r>
            <w:r w:rsidRPr="003B1FB2">
              <w:t>5853</w:t>
            </w:r>
          </w:p>
        </w:tc>
        <w:tc>
          <w:tcPr>
            <w:tcW w:w="1276" w:type="dxa"/>
            <w:tcBorders>
              <w:left w:val="single" w:sz="8" w:space="0" w:color="auto"/>
            </w:tcBorders>
            <w:shd w:val="clear" w:color="auto" w:fill="auto"/>
          </w:tcPr>
          <w:p w14:paraId="12A0FB48" w14:textId="77777777" w:rsidR="00EE6D6F" w:rsidRPr="003B1FB2" w:rsidRDefault="00EE6D6F" w:rsidP="000B7944">
            <w:pPr>
              <w:spacing w:before="40"/>
              <w:ind w:left="-106"/>
              <w:jc w:val="right"/>
              <w:rPr>
                <w:b/>
                <w:bCs/>
                <w:szCs w:val="24"/>
              </w:rPr>
            </w:pPr>
            <w:r w:rsidRPr="003B1FB2">
              <w:rPr>
                <w:b/>
                <w:bCs/>
              </w:rPr>
              <w:t>Télécopie:</w:t>
            </w:r>
          </w:p>
        </w:tc>
        <w:tc>
          <w:tcPr>
            <w:tcW w:w="2551" w:type="dxa"/>
            <w:shd w:val="clear" w:color="auto" w:fill="auto"/>
          </w:tcPr>
          <w:p w14:paraId="44D4BB05" w14:textId="77777777" w:rsidR="00EE6D6F" w:rsidRPr="003B1FB2" w:rsidRDefault="00EE6D6F" w:rsidP="000B7944">
            <w:pPr>
              <w:spacing w:before="40"/>
              <w:rPr>
                <w:szCs w:val="24"/>
              </w:rPr>
            </w:pPr>
          </w:p>
        </w:tc>
      </w:tr>
      <w:tr w:rsidR="00EE6D6F" w:rsidRPr="003B1FB2" w14:paraId="4895A1DF" w14:textId="77777777" w:rsidTr="000B7944">
        <w:tc>
          <w:tcPr>
            <w:tcW w:w="1276" w:type="dxa"/>
            <w:shd w:val="clear" w:color="auto" w:fill="auto"/>
          </w:tcPr>
          <w:p w14:paraId="0FF11D14" w14:textId="77777777" w:rsidR="00EE6D6F" w:rsidRPr="003B1FB2" w:rsidRDefault="00EE6D6F" w:rsidP="000B7944">
            <w:pPr>
              <w:spacing w:before="40"/>
              <w:jc w:val="right"/>
              <w:rPr>
                <w:b/>
                <w:bCs/>
              </w:rPr>
            </w:pPr>
            <w:r w:rsidRPr="003B1FB2">
              <w:rPr>
                <w:b/>
                <w:bCs/>
              </w:rPr>
              <w:t>Courriel:</w:t>
            </w:r>
          </w:p>
        </w:tc>
        <w:tc>
          <w:tcPr>
            <w:tcW w:w="4820" w:type="dxa"/>
            <w:tcBorders>
              <w:right w:val="single" w:sz="8" w:space="0" w:color="auto"/>
            </w:tcBorders>
            <w:shd w:val="clear" w:color="auto" w:fill="auto"/>
          </w:tcPr>
          <w:p w14:paraId="2FF551B2" w14:textId="77777777" w:rsidR="00EE6D6F" w:rsidRPr="003B1FB2" w:rsidRDefault="0034355A" w:rsidP="000B7944">
            <w:pPr>
              <w:spacing w:before="40"/>
            </w:pPr>
            <w:hyperlink r:id="rId14" w:history="1">
              <w:r w:rsidR="00EE6D6F" w:rsidRPr="003B1FB2">
                <w:rPr>
                  <w:color w:val="0000FF"/>
                  <w:u w:val="single"/>
                </w:rPr>
                <w:t>tsbdir@itu.int</w:t>
              </w:r>
            </w:hyperlink>
          </w:p>
        </w:tc>
        <w:tc>
          <w:tcPr>
            <w:tcW w:w="1276" w:type="dxa"/>
            <w:tcBorders>
              <w:left w:val="single" w:sz="8" w:space="0" w:color="auto"/>
            </w:tcBorders>
            <w:shd w:val="clear" w:color="auto" w:fill="auto"/>
          </w:tcPr>
          <w:p w14:paraId="714BF3CD" w14:textId="77777777" w:rsidR="00EE6D6F" w:rsidRPr="003B1FB2" w:rsidRDefault="00EE6D6F" w:rsidP="000B7944">
            <w:pPr>
              <w:spacing w:before="40"/>
              <w:jc w:val="right"/>
              <w:rPr>
                <w:b/>
                <w:bCs/>
              </w:rPr>
            </w:pPr>
            <w:r w:rsidRPr="003B1FB2">
              <w:rPr>
                <w:b/>
                <w:bCs/>
              </w:rPr>
              <w:t>Courriel:</w:t>
            </w:r>
          </w:p>
        </w:tc>
        <w:tc>
          <w:tcPr>
            <w:tcW w:w="2551" w:type="dxa"/>
            <w:shd w:val="clear" w:color="auto" w:fill="auto"/>
          </w:tcPr>
          <w:p w14:paraId="09D4ED05" w14:textId="77777777" w:rsidR="00EE6D6F" w:rsidRPr="003B1FB2" w:rsidRDefault="00EE6D6F" w:rsidP="000B7944">
            <w:pPr>
              <w:spacing w:before="40"/>
              <w:rPr>
                <w:szCs w:val="24"/>
              </w:rPr>
            </w:pPr>
          </w:p>
        </w:tc>
      </w:tr>
      <w:tr w:rsidR="00EE6D6F" w:rsidRPr="003B1FB2" w14:paraId="3BDB2F92" w14:textId="77777777" w:rsidTr="000B7944">
        <w:tc>
          <w:tcPr>
            <w:tcW w:w="1276" w:type="dxa"/>
            <w:shd w:val="clear" w:color="auto" w:fill="auto"/>
          </w:tcPr>
          <w:p w14:paraId="2F6FC5AC" w14:textId="77777777" w:rsidR="00EE6D6F" w:rsidRPr="003B1FB2" w:rsidRDefault="00EE6D6F" w:rsidP="000B7944">
            <w:pPr>
              <w:spacing w:before="40"/>
              <w:jc w:val="right"/>
              <w:rPr>
                <w:szCs w:val="24"/>
              </w:rPr>
            </w:pPr>
          </w:p>
        </w:tc>
        <w:tc>
          <w:tcPr>
            <w:tcW w:w="4820" w:type="dxa"/>
            <w:tcBorders>
              <w:right w:val="single" w:sz="8" w:space="0" w:color="auto"/>
            </w:tcBorders>
            <w:shd w:val="clear" w:color="auto" w:fill="auto"/>
          </w:tcPr>
          <w:p w14:paraId="6DFF3345" w14:textId="77777777" w:rsidR="00EE6D6F" w:rsidRPr="003B1FB2" w:rsidRDefault="00EE6D6F" w:rsidP="000B7944">
            <w:pPr>
              <w:spacing w:before="40"/>
              <w:rPr>
                <w:szCs w:val="24"/>
              </w:rPr>
            </w:pPr>
          </w:p>
        </w:tc>
        <w:tc>
          <w:tcPr>
            <w:tcW w:w="1276" w:type="dxa"/>
            <w:tcBorders>
              <w:left w:val="single" w:sz="8" w:space="0" w:color="auto"/>
            </w:tcBorders>
            <w:shd w:val="clear" w:color="auto" w:fill="auto"/>
          </w:tcPr>
          <w:p w14:paraId="725ECB75" w14:textId="77777777" w:rsidR="00EE6D6F" w:rsidRPr="003B1FB2" w:rsidRDefault="00EE6D6F" w:rsidP="000B7944">
            <w:pPr>
              <w:spacing w:before="40"/>
              <w:jc w:val="right"/>
              <w:rPr>
                <w:szCs w:val="24"/>
              </w:rPr>
            </w:pPr>
            <w:r w:rsidRPr="003B1FB2">
              <w:rPr>
                <w:b/>
                <w:bCs/>
              </w:rPr>
              <w:t>Date:</w:t>
            </w:r>
          </w:p>
        </w:tc>
        <w:tc>
          <w:tcPr>
            <w:tcW w:w="2551" w:type="dxa"/>
            <w:shd w:val="clear" w:color="auto" w:fill="auto"/>
          </w:tcPr>
          <w:p w14:paraId="39B04F33" w14:textId="77777777" w:rsidR="00EE6D6F" w:rsidRPr="003B1FB2" w:rsidRDefault="00EE6D6F" w:rsidP="000B7944">
            <w:pPr>
              <w:spacing w:before="40"/>
              <w:rPr>
                <w:szCs w:val="24"/>
              </w:rPr>
            </w:pPr>
            <w:r w:rsidRPr="003B1FB2">
              <w:rPr>
                <w:highlight w:val="green"/>
              </w:rPr>
              <w:t>[Lieu,] [date]</w:t>
            </w:r>
          </w:p>
        </w:tc>
      </w:tr>
    </w:tbl>
    <w:p w14:paraId="62BCB7EC" w14:textId="77777777" w:rsidR="00EE6D6F" w:rsidRPr="003B1FB2" w:rsidRDefault="00EE6D6F" w:rsidP="00FE4256">
      <w:r w:rsidRPr="003B1FB2">
        <w:t>Madame, Monsieur,</w:t>
      </w:r>
    </w:p>
    <w:p w14:paraId="7CE8C84D" w14:textId="77777777" w:rsidR="00EE6D6F" w:rsidRPr="003B1FB2" w:rsidRDefault="00EE6D6F" w:rsidP="00EE6D6F">
      <w:pPr>
        <w:spacing w:after="120"/>
      </w:pPr>
      <w:r w:rsidRPr="003B1FB2">
        <w:t>Dans le cadre de la consultation des États Membres au sujet des projets de textes déterminés dont il est question dans la Circulaire TSB 223,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314"/>
      </w:tblGrid>
      <w:tr w:rsidR="00EE6D6F" w:rsidRPr="003B1FB2" w14:paraId="61D76B46" w14:textId="77777777" w:rsidTr="000B7944">
        <w:trPr>
          <w:tblHeader/>
        </w:trPr>
        <w:tc>
          <w:tcPr>
            <w:tcW w:w="2405" w:type="dxa"/>
            <w:shd w:val="clear" w:color="auto" w:fill="auto"/>
            <w:vAlign w:val="center"/>
          </w:tcPr>
          <w:p w14:paraId="09591D93" w14:textId="77777777" w:rsidR="00EE6D6F" w:rsidRPr="003B1FB2" w:rsidRDefault="00EE6D6F" w:rsidP="000B794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
        </w:tc>
        <w:tc>
          <w:tcPr>
            <w:tcW w:w="7314" w:type="dxa"/>
            <w:shd w:val="clear" w:color="auto" w:fill="auto"/>
            <w:vAlign w:val="center"/>
          </w:tcPr>
          <w:p w14:paraId="3AD03D96" w14:textId="77777777" w:rsidR="00EE6D6F" w:rsidRPr="003B1FB2" w:rsidRDefault="00EE6D6F" w:rsidP="000B794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3B1FB2">
              <w:rPr>
                <w:b/>
                <w:sz w:val="22"/>
              </w:rPr>
              <w:t>Cochez l'une des deux cases pour chaque texte</w:t>
            </w:r>
          </w:p>
        </w:tc>
      </w:tr>
      <w:tr w:rsidR="00EE6D6F" w:rsidRPr="003B1FB2" w14:paraId="4E666C3E" w14:textId="77777777" w:rsidTr="000B7944">
        <w:trPr>
          <w:trHeight w:val="748"/>
        </w:trPr>
        <w:tc>
          <w:tcPr>
            <w:tcW w:w="2405" w:type="dxa"/>
            <w:vMerge w:val="restart"/>
            <w:shd w:val="clear" w:color="auto" w:fill="auto"/>
            <w:vAlign w:val="center"/>
          </w:tcPr>
          <w:p w14:paraId="203B36B8" w14:textId="370BC03E" w:rsidR="00EE6D6F" w:rsidRPr="003B1FB2" w:rsidRDefault="00EE6D6F" w:rsidP="000B79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3B1FB2">
              <w:rPr>
                <w:b/>
                <w:sz w:val="22"/>
              </w:rPr>
              <w:t>Projet de nouvelle Recommandation</w:t>
            </w:r>
            <w:r w:rsidR="00FE4256" w:rsidRPr="003B1FB2">
              <w:rPr>
                <w:b/>
                <w:sz w:val="22"/>
              </w:rPr>
              <w:t xml:space="preserve"> </w:t>
            </w:r>
            <w:r w:rsidRPr="003B1FB2">
              <w:rPr>
                <w:b/>
                <w:sz w:val="22"/>
              </w:rPr>
              <w:t>UIT</w:t>
            </w:r>
            <w:r w:rsidR="00FE4256" w:rsidRPr="003B1FB2">
              <w:rPr>
                <w:b/>
                <w:sz w:val="22"/>
              </w:rPr>
              <w:noBreakHyphen/>
            </w:r>
            <w:r w:rsidRPr="003B1FB2">
              <w:rPr>
                <w:b/>
                <w:sz w:val="22"/>
              </w:rPr>
              <w:t>T</w:t>
            </w:r>
            <w:r w:rsidR="00FE4256" w:rsidRPr="003B1FB2">
              <w:rPr>
                <w:b/>
                <w:sz w:val="22"/>
              </w:rPr>
              <w:t> </w:t>
            </w:r>
            <w:r w:rsidRPr="003B1FB2">
              <w:rPr>
                <w:b/>
                <w:sz w:val="22"/>
              </w:rPr>
              <w:t>Q.5054 (anciennement Q.CCF</w:t>
            </w:r>
            <w:r w:rsidR="00FE4256" w:rsidRPr="003B1FB2">
              <w:rPr>
                <w:b/>
                <w:sz w:val="22"/>
              </w:rPr>
              <w:noBreakHyphen/>
            </w:r>
            <w:r w:rsidRPr="003B1FB2">
              <w:rPr>
                <w:b/>
                <w:sz w:val="22"/>
              </w:rPr>
              <w:t>CCSD)</w:t>
            </w:r>
          </w:p>
        </w:tc>
        <w:tc>
          <w:tcPr>
            <w:tcW w:w="7314" w:type="dxa"/>
            <w:shd w:val="clear" w:color="auto" w:fill="auto"/>
            <w:vAlign w:val="center"/>
          </w:tcPr>
          <w:p w14:paraId="1AAF05F7" w14:textId="77777777" w:rsidR="00EE6D6F" w:rsidRPr="003B1FB2" w:rsidRDefault="00EE6D6F" w:rsidP="000B7944">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sz w:val="22"/>
              </w:rPr>
            </w:pPr>
            <w:r w:rsidRPr="003B1FB2">
              <w:rPr>
                <w:sz w:val="22"/>
              </w:rPr>
              <w:fldChar w:fldCharType="begin">
                <w:ffData>
                  <w:name w:val="Check1"/>
                  <w:enabled/>
                  <w:calcOnExit w:val="0"/>
                  <w:checkBox>
                    <w:sizeAuto/>
                    <w:default w:val="0"/>
                  </w:checkBox>
                </w:ffData>
              </w:fldChar>
            </w:r>
            <w:r w:rsidRPr="003B1FB2">
              <w:rPr>
                <w:sz w:val="22"/>
              </w:rPr>
              <w:instrText xml:space="preserve"> FORMCHECKBOX </w:instrText>
            </w:r>
            <w:r w:rsidR="0034355A">
              <w:rPr>
                <w:sz w:val="22"/>
              </w:rPr>
            </w:r>
            <w:r w:rsidR="0034355A">
              <w:rPr>
                <w:sz w:val="22"/>
              </w:rPr>
              <w:fldChar w:fldCharType="separate"/>
            </w:r>
            <w:r w:rsidRPr="003B1FB2">
              <w:rPr>
                <w:sz w:val="22"/>
              </w:rPr>
              <w:fldChar w:fldCharType="end"/>
            </w:r>
            <w:r w:rsidRPr="003B1FB2">
              <w:rPr>
                <w:sz w:val="22"/>
              </w:rPr>
              <w:tab/>
            </w:r>
            <w:r w:rsidRPr="003B1FB2">
              <w:rPr>
                <w:b/>
                <w:sz w:val="22"/>
              </w:rPr>
              <w:t>Autorise</w:t>
            </w:r>
            <w:r w:rsidRPr="003B1FB2">
              <w:rPr>
                <w:bCs/>
                <w:sz w:val="22"/>
              </w:rPr>
              <w:t xml:space="preserve"> </w:t>
            </w:r>
            <w:r w:rsidRPr="003B1FB2">
              <w:rPr>
                <w:sz w:val="22"/>
              </w:rPr>
              <w:t>la Commission d'études 11 à procéder à l'examen de ce document en vue de son approbation (dans ce cas, sélectionnez l'une des deux options):</w:t>
            </w:r>
          </w:p>
          <w:p w14:paraId="47849565" w14:textId="77777777" w:rsidR="00EE6D6F" w:rsidRPr="003B1FB2" w:rsidRDefault="00EE6D6F" w:rsidP="000B7944">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1163" w:hanging="567"/>
              <w:rPr>
                <w:sz w:val="22"/>
              </w:rPr>
            </w:pPr>
            <w:r w:rsidRPr="003B1FB2">
              <w:rPr>
                <w:sz w:val="22"/>
              </w:rPr>
              <w:fldChar w:fldCharType="begin">
                <w:ffData>
                  <w:name w:val="Check1"/>
                  <w:enabled/>
                  <w:calcOnExit w:val="0"/>
                  <w:checkBox>
                    <w:sizeAuto/>
                    <w:default w:val="0"/>
                  </w:checkBox>
                </w:ffData>
              </w:fldChar>
            </w:r>
            <w:r w:rsidRPr="003B1FB2">
              <w:rPr>
                <w:sz w:val="22"/>
              </w:rPr>
              <w:instrText xml:space="preserve"> FORMCHECKBOX </w:instrText>
            </w:r>
            <w:r w:rsidR="0034355A">
              <w:rPr>
                <w:sz w:val="22"/>
              </w:rPr>
            </w:r>
            <w:r w:rsidR="0034355A">
              <w:rPr>
                <w:sz w:val="22"/>
              </w:rPr>
              <w:fldChar w:fldCharType="separate"/>
            </w:r>
            <w:r w:rsidRPr="003B1FB2">
              <w:rPr>
                <w:sz w:val="22"/>
              </w:rPr>
              <w:fldChar w:fldCharType="end"/>
            </w:r>
            <w:r w:rsidRPr="003B1FB2">
              <w:rPr>
                <w:sz w:val="22"/>
              </w:rPr>
              <w:tab/>
              <w:t>Pas de commentaire ou de proposition de modification.</w:t>
            </w:r>
          </w:p>
          <w:p w14:paraId="4464142A" w14:textId="77777777" w:rsidR="00EE6D6F" w:rsidRPr="003B1FB2" w:rsidRDefault="00EE6D6F" w:rsidP="000B7944">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1163" w:hanging="567"/>
              <w:rPr>
                <w:sz w:val="22"/>
              </w:rPr>
            </w:pPr>
            <w:r w:rsidRPr="003B1FB2">
              <w:rPr>
                <w:sz w:val="22"/>
              </w:rPr>
              <w:fldChar w:fldCharType="begin">
                <w:ffData>
                  <w:name w:val="Check1"/>
                  <w:enabled/>
                  <w:calcOnExit w:val="0"/>
                  <w:checkBox>
                    <w:sizeAuto/>
                    <w:default w:val="0"/>
                  </w:checkBox>
                </w:ffData>
              </w:fldChar>
            </w:r>
            <w:r w:rsidRPr="003B1FB2">
              <w:rPr>
                <w:sz w:val="22"/>
              </w:rPr>
              <w:instrText xml:space="preserve"> FORMCHECKBOX </w:instrText>
            </w:r>
            <w:r w:rsidR="0034355A">
              <w:rPr>
                <w:sz w:val="22"/>
              </w:rPr>
            </w:r>
            <w:r w:rsidR="0034355A">
              <w:rPr>
                <w:sz w:val="22"/>
              </w:rPr>
              <w:fldChar w:fldCharType="separate"/>
            </w:r>
            <w:r w:rsidRPr="003B1FB2">
              <w:rPr>
                <w:sz w:val="22"/>
              </w:rPr>
              <w:fldChar w:fldCharType="end"/>
            </w:r>
            <w:r w:rsidRPr="003B1FB2">
              <w:rPr>
                <w:sz w:val="22"/>
              </w:rPr>
              <w:tab/>
              <w:t>Des commentaires ou propositions de modification sont joints à la présente.</w:t>
            </w:r>
          </w:p>
        </w:tc>
      </w:tr>
      <w:tr w:rsidR="00EE6D6F" w:rsidRPr="003B1FB2" w14:paraId="3668F99B" w14:textId="77777777" w:rsidTr="000B7944">
        <w:trPr>
          <w:trHeight w:val="747"/>
        </w:trPr>
        <w:tc>
          <w:tcPr>
            <w:tcW w:w="2405" w:type="dxa"/>
            <w:vMerge/>
            <w:shd w:val="clear" w:color="auto" w:fill="auto"/>
            <w:vAlign w:val="center"/>
          </w:tcPr>
          <w:p w14:paraId="4A537052" w14:textId="77777777" w:rsidR="00EE6D6F" w:rsidRPr="003B1FB2" w:rsidRDefault="00EE6D6F" w:rsidP="000B79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14" w:type="dxa"/>
            <w:shd w:val="clear" w:color="auto" w:fill="auto"/>
            <w:vAlign w:val="center"/>
          </w:tcPr>
          <w:p w14:paraId="7E08E5E8" w14:textId="77777777" w:rsidR="00EE6D6F" w:rsidRPr="003B1FB2" w:rsidRDefault="00EE6D6F" w:rsidP="000B7944">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sz w:val="22"/>
              </w:rPr>
            </w:pPr>
            <w:r w:rsidRPr="003B1FB2">
              <w:rPr>
                <w:sz w:val="22"/>
              </w:rPr>
              <w:fldChar w:fldCharType="begin">
                <w:ffData>
                  <w:name w:val="Check1"/>
                  <w:enabled/>
                  <w:calcOnExit w:val="0"/>
                  <w:checkBox>
                    <w:sizeAuto/>
                    <w:default w:val="0"/>
                  </w:checkBox>
                </w:ffData>
              </w:fldChar>
            </w:r>
            <w:r w:rsidRPr="003B1FB2">
              <w:rPr>
                <w:sz w:val="22"/>
              </w:rPr>
              <w:instrText xml:space="preserve"> FORMCHECKBOX </w:instrText>
            </w:r>
            <w:r w:rsidR="0034355A">
              <w:rPr>
                <w:sz w:val="22"/>
              </w:rPr>
            </w:r>
            <w:r w:rsidR="0034355A">
              <w:rPr>
                <w:sz w:val="22"/>
              </w:rPr>
              <w:fldChar w:fldCharType="separate"/>
            </w:r>
            <w:r w:rsidRPr="003B1FB2">
              <w:rPr>
                <w:sz w:val="22"/>
              </w:rPr>
              <w:fldChar w:fldCharType="end"/>
            </w:r>
            <w:r w:rsidRPr="003B1FB2">
              <w:rPr>
                <w:sz w:val="22"/>
              </w:rPr>
              <w:tab/>
            </w:r>
            <w:r w:rsidRPr="003B1FB2">
              <w:rPr>
                <w:b/>
                <w:sz w:val="22"/>
              </w:rPr>
              <w:t>N'autorise pas</w:t>
            </w:r>
            <w:r w:rsidRPr="003B1FB2">
              <w:rPr>
                <w:bCs/>
                <w:sz w:val="22"/>
              </w:rPr>
              <w:t xml:space="preserve"> </w:t>
            </w:r>
            <w:r w:rsidRPr="003B1FB2">
              <w:rPr>
                <w:sz w:val="22"/>
              </w:rPr>
              <w:t>la Commission d'études 11 à procéder à l'examen de ce document en vue de son approbation (les motifs de cette décision et une description des éventuelles modifications qui permettraient la poursuite des travaux sont joints à la présente).</w:t>
            </w:r>
          </w:p>
        </w:tc>
      </w:tr>
      <w:tr w:rsidR="00EE6D6F" w:rsidRPr="003B1FB2" w14:paraId="1EDD2B2D" w14:textId="77777777" w:rsidTr="000B7944">
        <w:trPr>
          <w:trHeight w:val="748"/>
        </w:trPr>
        <w:tc>
          <w:tcPr>
            <w:tcW w:w="2405" w:type="dxa"/>
            <w:vMerge w:val="restart"/>
            <w:shd w:val="clear" w:color="auto" w:fill="auto"/>
            <w:vAlign w:val="center"/>
          </w:tcPr>
          <w:p w14:paraId="743C80C1" w14:textId="4B49EC04" w:rsidR="00EE6D6F" w:rsidRPr="003B1FB2" w:rsidRDefault="00EE6D6F" w:rsidP="000B79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3B1FB2">
              <w:rPr>
                <w:b/>
                <w:sz w:val="22"/>
              </w:rPr>
              <w:t>Projet de nouvelle Recommandation UIT</w:t>
            </w:r>
            <w:r w:rsidR="00FE4256" w:rsidRPr="003B1FB2">
              <w:rPr>
                <w:b/>
                <w:sz w:val="22"/>
              </w:rPr>
              <w:noBreakHyphen/>
            </w:r>
            <w:r w:rsidRPr="003B1FB2">
              <w:rPr>
                <w:b/>
                <w:sz w:val="22"/>
              </w:rPr>
              <w:t>T</w:t>
            </w:r>
            <w:r w:rsidR="00FE4256" w:rsidRPr="003B1FB2">
              <w:rPr>
                <w:b/>
                <w:sz w:val="22"/>
              </w:rPr>
              <w:t> </w:t>
            </w:r>
            <w:r w:rsidRPr="003B1FB2">
              <w:rPr>
                <w:b/>
                <w:sz w:val="22"/>
              </w:rPr>
              <w:t>Q.5010 (anciennement Q.UAMS-SRA)</w:t>
            </w:r>
          </w:p>
        </w:tc>
        <w:tc>
          <w:tcPr>
            <w:tcW w:w="7314" w:type="dxa"/>
            <w:shd w:val="clear" w:color="auto" w:fill="auto"/>
            <w:vAlign w:val="center"/>
          </w:tcPr>
          <w:p w14:paraId="502456F6" w14:textId="77777777" w:rsidR="00EE6D6F" w:rsidRPr="003B1FB2" w:rsidRDefault="00EE6D6F" w:rsidP="000B7944">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sz w:val="22"/>
              </w:rPr>
            </w:pPr>
            <w:r w:rsidRPr="003B1FB2">
              <w:rPr>
                <w:sz w:val="22"/>
              </w:rPr>
              <w:fldChar w:fldCharType="begin">
                <w:ffData>
                  <w:name w:val="Check1"/>
                  <w:enabled/>
                  <w:calcOnExit w:val="0"/>
                  <w:checkBox>
                    <w:sizeAuto/>
                    <w:default w:val="0"/>
                  </w:checkBox>
                </w:ffData>
              </w:fldChar>
            </w:r>
            <w:r w:rsidRPr="003B1FB2">
              <w:rPr>
                <w:sz w:val="22"/>
              </w:rPr>
              <w:instrText xml:space="preserve"> FORMCHECKBOX </w:instrText>
            </w:r>
            <w:r w:rsidR="0034355A">
              <w:rPr>
                <w:sz w:val="22"/>
              </w:rPr>
            </w:r>
            <w:r w:rsidR="0034355A">
              <w:rPr>
                <w:sz w:val="22"/>
              </w:rPr>
              <w:fldChar w:fldCharType="separate"/>
            </w:r>
            <w:r w:rsidRPr="003B1FB2">
              <w:rPr>
                <w:sz w:val="22"/>
              </w:rPr>
              <w:fldChar w:fldCharType="end"/>
            </w:r>
            <w:r w:rsidRPr="003B1FB2">
              <w:rPr>
                <w:sz w:val="22"/>
              </w:rPr>
              <w:tab/>
            </w:r>
            <w:r w:rsidRPr="003B1FB2">
              <w:rPr>
                <w:b/>
                <w:sz w:val="22"/>
              </w:rPr>
              <w:t>Autorise</w:t>
            </w:r>
            <w:r w:rsidRPr="003B1FB2">
              <w:rPr>
                <w:bCs/>
                <w:sz w:val="22"/>
              </w:rPr>
              <w:t xml:space="preserve"> </w:t>
            </w:r>
            <w:r w:rsidRPr="003B1FB2">
              <w:rPr>
                <w:sz w:val="22"/>
              </w:rPr>
              <w:t>la Commission d'études 11 à procéder à l'examen de ce document en vue de son approbation (dans ce cas, sélectionnez l'une des deux options):</w:t>
            </w:r>
          </w:p>
          <w:p w14:paraId="1D28F61C" w14:textId="77777777" w:rsidR="00EE6D6F" w:rsidRPr="003B1FB2" w:rsidRDefault="00EE6D6F" w:rsidP="000B7944">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1163" w:hanging="567"/>
              <w:rPr>
                <w:sz w:val="22"/>
              </w:rPr>
            </w:pPr>
            <w:r w:rsidRPr="003B1FB2">
              <w:rPr>
                <w:sz w:val="22"/>
              </w:rPr>
              <w:fldChar w:fldCharType="begin">
                <w:ffData>
                  <w:name w:val="Check1"/>
                  <w:enabled/>
                  <w:calcOnExit w:val="0"/>
                  <w:checkBox>
                    <w:sizeAuto/>
                    <w:default w:val="0"/>
                  </w:checkBox>
                </w:ffData>
              </w:fldChar>
            </w:r>
            <w:r w:rsidRPr="003B1FB2">
              <w:rPr>
                <w:sz w:val="22"/>
              </w:rPr>
              <w:instrText xml:space="preserve"> FORMCHECKBOX </w:instrText>
            </w:r>
            <w:r w:rsidR="0034355A">
              <w:rPr>
                <w:sz w:val="22"/>
              </w:rPr>
            </w:r>
            <w:r w:rsidR="0034355A">
              <w:rPr>
                <w:sz w:val="22"/>
              </w:rPr>
              <w:fldChar w:fldCharType="separate"/>
            </w:r>
            <w:r w:rsidRPr="003B1FB2">
              <w:rPr>
                <w:sz w:val="22"/>
              </w:rPr>
              <w:fldChar w:fldCharType="end"/>
            </w:r>
            <w:r w:rsidRPr="003B1FB2">
              <w:rPr>
                <w:sz w:val="22"/>
              </w:rPr>
              <w:tab/>
              <w:t>Pas de commentaire ou de proposition de modification.</w:t>
            </w:r>
          </w:p>
          <w:p w14:paraId="47764260" w14:textId="77777777" w:rsidR="00EE6D6F" w:rsidRPr="003B1FB2" w:rsidRDefault="00EE6D6F" w:rsidP="000B7944">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1163" w:hanging="567"/>
              <w:rPr>
                <w:sz w:val="22"/>
              </w:rPr>
            </w:pPr>
            <w:r w:rsidRPr="003B1FB2">
              <w:rPr>
                <w:sz w:val="22"/>
              </w:rPr>
              <w:fldChar w:fldCharType="begin">
                <w:ffData>
                  <w:name w:val="Check1"/>
                  <w:enabled/>
                  <w:calcOnExit w:val="0"/>
                  <w:checkBox>
                    <w:sizeAuto/>
                    <w:default w:val="0"/>
                  </w:checkBox>
                </w:ffData>
              </w:fldChar>
            </w:r>
            <w:r w:rsidRPr="003B1FB2">
              <w:rPr>
                <w:sz w:val="22"/>
              </w:rPr>
              <w:instrText xml:space="preserve"> FORMCHECKBOX </w:instrText>
            </w:r>
            <w:r w:rsidR="0034355A">
              <w:rPr>
                <w:sz w:val="22"/>
              </w:rPr>
            </w:r>
            <w:r w:rsidR="0034355A">
              <w:rPr>
                <w:sz w:val="22"/>
              </w:rPr>
              <w:fldChar w:fldCharType="separate"/>
            </w:r>
            <w:r w:rsidRPr="003B1FB2">
              <w:rPr>
                <w:sz w:val="22"/>
              </w:rPr>
              <w:fldChar w:fldCharType="end"/>
            </w:r>
            <w:r w:rsidRPr="003B1FB2">
              <w:rPr>
                <w:sz w:val="22"/>
              </w:rPr>
              <w:tab/>
              <w:t>Des commentaires ou propositions de modification sont joints à la présente.</w:t>
            </w:r>
          </w:p>
        </w:tc>
      </w:tr>
      <w:tr w:rsidR="00EE6D6F" w:rsidRPr="003B1FB2" w14:paraId="742B05F2" w14:textId="77777777" w:rsidTr="000B7944">
        <w:trPr>
          <w:trHeight w:val="747"/>
        </w:trPr>
        <w:tc>
          <w:tcPr>
            <w:tcW w:w="2405" w:type="dxa"/>
            <w:vMerge/>
            <w:shd w:val="clear" w:color="auto" w:fill="auto"/>
            <w:vAlign w:val="center"/>
          </w:tcPr>
          <w:p w14:paraId="25CE3012" w14:textId="77777777" w:rsidR="00EE6D6F" w:rsidRPr="003B1FB2" w:rsidRDefault="00EE6D6F" w:rsidP="000B79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14" w:type="dxa"/>
            <w:shd w:val="clear" w:color="auto" w:fill="auto"/>
            <w:vAlign w:val="center"/>
          </w:tcPr>
          <w:p w14:paraId="7216EA64" w14:textId="77777777" w:rsidR="00EE6D6F" w:rsidRPr="003B1FB2" w:rsidRDefault="00EE6D6F" w:rsidP="000B7944">
            <w:pPr>
              <w:keepLines/>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sz w:val="22"/>
              </w:rPr>
            </w:pPr>
            <w:r w:rsidRPr="003B1FB2">
              <w:rPr>
                <w:sz w:val="22"/>
              </w:rPr>
              <w:fldChar w:fldCharType="begin">
                <w:ffData>
                  <w:name w:val="Check1"/>
                  <w:enabled/>
                  <w:calcOnExit w:val="0"/>
                  <w:checkBox>
                    <w:sizeAuto/>
                    <w:default w:val="0"/>
                  </w:checkBox>
                </w:ffData>
              </w:fldChar>
            </w:r>
            <w:r w:rsidRPr="003B1FB2">
              <w:rPr>
                <w:sz w:val="22"/>
              </w:rPr>
              <w:instrText xml:space="preserve"> FORMCHECKBOX </w:instrText>
            </w:r>
            <w:r w:rsidR="0034355A">
              <w:rPr>
                <w:sz w:val="22"/>
              </w:rPr>
            </w:r>
            <w:r w:rsidR="0034355A">
              <w:rPr>
                <w:sz w:val="22"/>
              </w:rPr>
              <w:fldChar w:fldCharType="separate"/>
            </w:r>
            <w:r w:rsidRPr="003B1FB2">
              <w:rPr>
                <w:sz w:val="22"/>
              </w:rPr>
              <w:fldChar w:fldCharType="end"/>
            </w:r>
            <w:r w:rsidRPr="003B1FB2">
              <w:rPr>
                <w:sz w:val="22"/>
              </w:rPr>
              <w:tab/>
            </w:r>
            <w:r w:rsidRPr="003B1FB2">
              <w:rPr>
                <w:b/>
                <w:sz w:val="22"/>
              </w:rPr>
              <w:t>N'autorise pas</w:t>
            </w:r>
            <w:r w:rsidRPr="003B1FB2">
              <w:rPr>
                <w:sz w:val="22"/>
              </w:rPr>
              <w:t xml:space="preserve"> la Commission d'études 11 à procéder à l'examen de ce document en vue de son approbation (les motifs de cette décision et une description des éventuelles modifications qui permettraient la poursuite des travaux sont joints à la présente).</w:t>
            </w:r>
          </w:p>
        </w:tc>
      </w:tr>
    </w:tbl>
    <w:p w14:paraId="31900C6D" w14:textId="77777777" w:rsidR="00EE6D6F" w:rsidRPr="003B1FB2" w:rsidRDefault="00EE6D6F" w:rsidP="00EE6D6F">
      <w:r w:rsidRPr="003B1FB2">
        <w:t>Veuillez agréer, Monsieur le Directeur, l'assurance de ma considération distinguée.</w:t>
      </w:r>
    </w:p>
    <w:p w14:paraId="7E3980A5" w14:textId="77777777" w:rsidR="00EE6D6F" w:rsidRPr="003B1FB2" w:rsidRDefault="00EE6D6F" w:rsidP="00FE4256">
      <w:pPr>
        <w:spacing w:before="240"/>
        <w:rPr>
          <w:szCs w:val="24"/>
          <w:highlight w:val="green"/>
        </w:rPr>
      </w:pPr>
      <w:r w:rsidRPr="003B1FB2">
        <w:rPr>
          <w:highlight w:val="green"/>
        </w:rPr>
        <w:t>[Nom]</w:t>
      </w:r>
    </w:p>
    <w:p w14:paraId="7F092BFB" w14:textId="77777777" w:rsidR="00EE6D6F" w:rsidRPr="003B1FB2" w:rsidRDefault="00EE6D6F" w:rsidP="00EE6D6F">
      <w:pPr>
        <w:spacing w:before="0"/>
        <w:rPr>
          <w:szCs w:val="24"/>
        </w:rPr>
      </w:pPr>
      <w:r w:rsidRPr="003B1FB2">
        <w:rPr>
          <w:highlight w:val="green"/>
        </w:rPr>
        <w:t>[Rôle/titre officiel]</w:t>
      </w:r>
    </w:p>
    <w:p w14:paraId="1DE927B5" w14:textId="77777777" w:rsidR="00EE6D6F" w:rsidRPr="003B1FB2" w:rsidRDefault="00EE6D6F" w:rsidP="00EE6D6F">
      <w:pPr>
        <w:spacing w:before="0"/>
      </w:pPr>
      <w:r w:rsidRPr="003B1FB2">
        <w:t xml:space="preserve">Administration de </w:t>
      </w:r>
      <w:r w:rsidRPr="003B1FB2">
        <w:rPr>
          <w:highlight w:val="green"/>
        </w:rPr>
        <w:t>[État Membre]</w:t>
      </w:r>
    </w:p>
    <w:p w14:paraId="3B647157" w14:textId="14A51769" w:rsidR="00517A03" w:rsidRPr="003B1FB2" w:rsidRDefault="00EE6D6F" w:rsidP="00FE4256">
      <w:pPr>
        <w:spacing w:before="0"/>
        <w:jc w:val="center"/>
        <w:rPr>
          <w:bCs/>
        </w:rPr>
      </w:pPr>
      <w:r w:rsidRPr="003B1FB2">
        <w:t>______________</w:t>
      </w:r>
    </w:p>
    <w:sectPr w:rsidR="00517A03" w:rsidRPr="003B1FB2"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6F738D7E"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492" w14:textId="49B69C7B" w:rsidR="00697BC1" w:rsidRPr="00697BC1" w:rsidRDefault="0034355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EE6D6F">
      <w:rPr>
        <w:noProof/>
        <w:sz w:val="18"/>
        <w:szCs w:val="16"/>
      </w:rPr>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1F13"/>
    <w:rsid w:val="000758B3"/>
    <w:rsid w:val="00085F5A"/>
    <w:rsid w:val="000A131E"/>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937DB"/>
    <w:rsid w:val="002E395D"/>
    <w:rsid w:val="00307FB4"/>
    <w:rsid w:val="003131F0"/>
    <w:rsid w:val="00333A80"/>
    <w:rsid w:val="00341117"/>
    <w:rsid w:val="0034355A"/>
    <w:rsid w:val="00356194"/>
    <w:rsid w:val="00364E95"/>
    <w:rsid w:val="00372875"/>
    <w:rsid w:val="003742F8"/>
    <w:rsid w:val="003A6E7E"/>
    <w:rsid w:val="003B1E80"/>
    <w:rsid w:val="003B1FB2"/>
    <w:rsid w:val="003B66E8"/>
    <w:rsid w:val="003C37F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3B81"/>
    <w:rsid w:val="00517A03"/>
    <w:rsid w:val="005A3DD9"/>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57E0"/>
    <w:rsid w:val="00850477"/>
    <w:rsid w:val="00854E1D"/>
    <w:rsid w:val="00864A28"/>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E6D6F"/>
    <w:rsid w:val="00EF6A23"/>
    <w:rsid w:val="00F346CE"/>
    <w:rsid w:val="00F34F98"/>
    <w:rsid w:val="00F40540"/>
    <w:rsid w:val="00F67402"/>
    <w:rsid w:val="00F766A2"/>
    <w:rsid w:val="00F9451D"/>
    <w:rsid w:val="00FE425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character" w:customStyle="1" w:styleId="None">
    <w:name w:val="None"/>
    <w:rsid w:val="00EE6D6F"/>
  </w:style>
  <w:style w:type="paragraph" w:customStyle="1" w:styleId="Annextitle0">
    <w:name w:val="Annex_title"/>
    <w:basedOn w:val="Normal"/>
    <w:next w:val="Normal"/>
    <w:rsid w:val="00EE6D6F"/>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ipr/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T22-SG11-R-00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ipr/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meetingdoc.asp?lang=en&amp;parent=T22-SG11-R-0028"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5</Pages>
  <Words>1494</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10796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2024-08-15T11:17:00Z</dcterms:created>
  <dcterms:modified xsi:type="dcterms:W3CDTF">2024-08-15T11:17:00Z</dcterms:modified>
</cp:coreProperties>
</file>