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Look w:val="0000" w:firstRow="0" w:lastRow="0" w:firstColumn="0" w:lastColumn="0" w:noHBand="0" w:noVBand="0"/>
      </w:tblPr>
      <w:tblGrid>
        <w:gridCol w:w="1134"/>
        <w:gridCol w:w="142"/>
        <w:gridCol w:w="3402"/>
        <w:gridCol w:w="3119"/>
        <w:gridCol w:w="2126"/>
      </w:tblGrid>
      <w:tr w:rsidR="00FA46A0" w:rsidRPr="00C84C83" w14:paraId="1851D63E" w14:textId="77777777" w:rsidTr="00634658">
        <w:trPr>
          <w:trHeight w:val="1282"/>
        </w:trPr>
        <w:tc>
          <w:tcPr>
            <w:tcW w:w="1276" w:type="dxa"/>
            <w:gridSpan w:val="2"/>
            <w:shd w:val="clear" w:color="auto" w:fill="auto"/>
            <w:tcMar>
              <w:left w:w="0" w:type="dxa"/>
              <w:right w:w="0" w:type="dxa"/>
            </w:tcMar>
            <w:vAlign w:val="center"/>
          </w:tcPr>
          <w:p w14:paraId="5729E76F" w14:textId="77777777" w:rsidR="00FA46A0" w:rsidRPr="00C84C83" w:rsidRDefault="009747C5" w:rsidP="00F020AB">
            <w:pPr>
              <w:pStyle w:val="Tabletext"/>
              <w:jc w:val="center"/>
            </w:pPr>
            <w:r w:rsidRPr="00C84C83">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69A455E2" w:rsidR="00FA46A0" w:rsidRPr="00C84C83" w:rsidRDefault="00B61012" w:rsidP="00F020AB">
            <w:pPr>
              <w:spacing w:before="0"/>
              <w:rPr>
                <w:rFonts w:cs="Times New Roman Bold"/>
                <w:b/>
                <w:bCs/>
                <w:smallCaps/>
                <w:sz w:val="26"/>
                <w:szCs w:val="26"/>
              </w:rPr>
            </w:pPr>
            <w:r w:rsidRPr="00C84C83">
              <w:rPr>
                <w:rFonts w:cs="Times New Roman Bold"/>
                <w:b/>
                <w:bCs/>
                <w:smallCaps/>
                <w:sz w:val="36"/>
                <w:szCs w:val="36"/>
              </w:rPr>
              <w:t>International telecommunication union</w:t>
            </w:r>
          </w:p>
          <w:p w14:paraId="10AD84E3" w14:textId="77777777" w:rsidR="00FA46A0" w:rsidRPr="00C84C83" w:rsidRDefault="00B61012" w:rsidP="00F020AB">
            <w:pPr>
              <w:spacing w:before="0"/>
              <w:rPr>
                <w:rFonts w:ascii="Verdana" w:hAnsi="Verdana"/>
                <w:color w:val="FFFFFF"/>
                <w:sz w:val="26"/>
                <w:szCs w:val="26"/>
              </w:rPr>
            </w:pPr>
            <w:r w:rsidRPr="00C84C83">
              <w:rPr>
                <w:rFonts w:cs="Times New Roman Bold"/>
                <w:b/>
                <w:bCs/>
                <w:iCs/>
                <w:smallCaps/>
                <w:sz w:val="28"/>
                <w:szCs w:val="28"/>
              </w:rPr>
              <w:t>Telecommunication Standardization Bureau</w:t>
            </w:r>
          </w:p>
        </w:tc>
        <w:tc>
          <w:tcPr>
            <w:tcW w:w="2126" w:type="dxa"/>
            <w:shd w:val="clear" w:color="auto" w:fill="auto"/>
            <w:vAlign w:val="center"/>
          </w:tcPr>
          <w:p w14:paraId="6BCFA74B" w14:textId="77777777" w:rsidR="00FA46A0" w:rsidRPr="00C84C83" w:rsidRDefault="00FA46A0" w:rsidP="00F020AB">
            <w:pPr>
              <w:spacing w:before="0"/>
              <w:jc w:val="right"/>
              <w:rPr>
                <w:rFonts w:ascii="Verdana" w:hAnsi="Verdana"/>
                <w:color w:val="FFFFFF"/>
                <w:sz w:val="26"/>
                <w:szCs w:val="26"/>
              </w:rPr>
            </w:pPr>
          </w:p>
        </w:tc>
      </w:tr>
      <w:tr w:rsidR="00FA46A0" w:rsidRPr="00FE7B21" w14:paraId="26B97C93" w14:textId="77777777" w:rsidTr="00DB29C3">
        <w:trPr>
          <w:cantSplit/>
          <w:trHeight w:val="352"/>
        </w:trPr>
        <w:tc>
          <w:tcPr>
            <w:tcW w:w="4678" w:type="dxa"/>
            <w:gridSpan w:val="3"/>
            <w:vAlign w:val="center"/>
          </w:tcPr>
          <w:p w14:paraId="1694D4E1" w14:textId="77777777" w:rsidR="00FA46A0" w:rsidRPr="00C84C83" w:rsidRDefault="00FA46A0" w:rsidP="00F020AB">
            <w:pPr>
              <w:pStyle w:val="Tabletext"/>
              <w:jc w:val="right"/>
              <w:rPr>
                <w:sz w:val="22"/>
                <w:szCs w:val="22"/>
              </w:rPr>
            </w:pPr>
          </w:p>
        </w:tc>
        <w:tc>
          <w:tcPr>
            <w:tcW w:w="5245" w:type="dxa"/>
            <w:gridSpan w:val="2"/>
            <w:vAlign w:val="center"/>
          </w:tcPr>
          <w:p w14:paraId="66B772BC" w14:textId="03E2DEB5" w:rsidR="00FA46A0" w:rsidRPr="00FE7B21" w:rsidRDefault="00B61012" w:rsidP="00776EDA">
            <w:pPr>
              <w:pStyle w:val="Tabletext"/>
              <w:spacing w:before="0" w:after="120"/>
              <w:ind w:left="-108"/>
              <w:rPr>
                <w:sz w:val="22"/>
                <w:szCs w:val="22"/>
              </w:rPr>
            </w:pPr>
            <w:r w:rsidRPr="00FE7B21">
              <w:rPr>
                <w:sz w:val="22"/>
                <w:szCs w:val="22"/>
              </w:rPr>
              <w:t xml:space="preserve">Geneva, </w:t>
            </w:r>
            <w:r w:rsidR="00C84C83" w:rsidRPr="00FE7B21">
              <w:rPr>
                <w:sz w:val="22"/>
                <w:szCs w:val="22"/>
              </w:rPr>
              <w:t>27 September 2024</w:t>
            </w:r>
          </w:p>
        </w:tc>
      </w:tr>
      <w:tr w:rsidR="00F46912" w:rsidRPr="00FE7B21" w14:paraId="51F4638F" w14:textId="77777777" w:rsidTr="00634658">
        <w:trPr>
          <w:cantSplit/>
          <w:trHeight w:val="283"/>
        </w:trPr>
        <w:tc>
          <w:tcPr>
            <w:tcW w:w="1134" w:type="dxa"/>
          </w:tcPr>
          <w:p w14:paraId="34ECEAEB" w14:textId="77777777" w:rsidR="00F46912" w:rsidRPr="00FE7B21" w:rsidRDefault="00F46912" w:rsidP="00F020AB">
            <w:pPr>
              <w:pStyle w:val="Tabletext"/>
              <w:ind w:left="-110"/>
              <w:rPr>
                <w:sz w:val="22"/>
                <w:szCs w:val="22"/>
              </w:rPr>
            </w:pPr>
            <w:r w:rsidRPr="00FE7B21">
              <w:rPr>
                <w:b/>
                <w:sz w:val="22"/>
                <w:szCs w:val="22"/>
              </w:rPr>
              <w:t>Ref:</w:t>
            </w:r>
          </w:p>
        </w:tc>
        <w:tc>
          <w:tcPr>
            <w:tcW w:w="3544" w:type="dxa"/>
            <w:gridSpan w:val="2"/>
          </w:tcPr>
          <w:p w14:paraId="5A0E45A2" w14:textId="7582D92E" w:rsidR="00F46912" w:rsidRPr="00FE7B21" w:rsidRDefault="00F46912" w:rsidP="00F020AB">
            <w:pPr>
              <w:pStyle w:val="Tabletext"/>
              <w:rPr>
                <w:b/>
                <w:bCs/>
                <w:sz w:val="22"/>
                <w:szCs w:val="22"/>
              </w:rPr>
            </w:pPr>
            <w:r w:rsidRPr="00FE7B21">
              <w:rPr>
                <w:b/>
                <w:bCs/>
                <w:sz w:val="22"/>
                <w:szCs w:val="22"/>
              </w:rPr>
              <w:t xml:space="preserve">TSB Circular </w:t>
            </w:r>
            <w:r w:rsidR="00A164A9">
              <w:rPr>
                <w:b/>
                <w:bCs/>
                <w:sz w:val="22"/>
                <w:szCs w:val="22"/>
              </w:rPr>
              <w:t>236</w:t>
            </w:r>
          </w:p>
          <w:p w14:paraId="7FFD1933" w14:textId="5D8C8165" w:rsidR="00F46912" w:rsidRPr="00FE7B21" w:rsidRDefault="00F46912" w:rsidP="00F020AB">
            <w:pPr>
              <w:pStyle w:val="Tabletext"/>
              <w:rPr>
                <w:b/>
                <w:bCs/>
                <w:sz w:val="22"/>
                <w:szCs w:val="22"/>
              </w:rPr>
            </w:pPr>
            <w:r w:rsidRPr="00FE7B21">
              <w:rPr>
                <w:b/>
                <w:bCs/>
                <w:sz w:val="22"/>
                <w:szCs w:val="22"/>
              </w:rPr>
              <w:t>SG20/CB</w:t>
            </w:r>
          </w:p>
        </w:tc>
        <w:tc>
          <w:tcPr>
            <w:tcW w:w="5245" w:type="dxa"/>
            <w:gridSpan w:val="2"/>
            <w:vMerge w:val="restart"/>
          </w:tcPr>
          <w:p w14:paraId="2BBCC5F2" w14:textId="77777777" w:rsidR="00F46912" w:rsidRPr="00FE7B21" w:rsidRDefault="00F46912" w:rsidP="00F020AB">
            <w:pPr>
              <w:tabs>
                <w:tab w:val="clear" w:pos="794"/>
                <w:tab w:val="clear" w:pos="1191"/>
                <w:tab w:val="clear" w:pos="1588"/>
                <w:tab w:val="clear" w:pos="1985"/>
                <w:tab w:val="left" w:pos="241"/>
              </w:tabs>
              <w:spacing w:before="0"/>
              <w:ind w:left="283" w:hanging="391"/>
              <w:rPr>
                <w:sz w:val="22"/>
                <w:szCs w:val="22"/>
              </w:rPr>
            </w:pPr>
            <w:r w:rsidRPr="00FE7B21">
              <w:rPr>
                <w:b/>
                <w:sz w:val="22"/>
                <w:szCs w:val="22"/>
              </w:rPr>
              <w:t>To:</w:t>
            </w:r>
          </w:p>
          <w:p w14:paraId="72819B9D" w14:textId="60140300" w:rsidR="00F46912" w:rsidRPr="00FE7B21" w:rsidRDefault="00F46912" w:rsidP="00634658">
            <w:pPr>
              <w:tabs>
                <w:tab w:val="clear" w:pos="794"/>
                <w:tab w:val="clear" w:pos="1191"/>
                <w:tab w:val="clear" w:pos="1588"/>
                <w:tab w:val="clear" w:pos="1985"/>
              </w:tabs>
              <w:spacing w:before="0"/>
              <w:ind w:left="318" w:hanging="318"/>
              <w:rPr>
                <w:sz w:val="22"/>
                <w:szCs w:val="22"/>
              </w:rPr>
            </w:pPr>
            <w:r w:rsidRPr="00FE7B21">
              <w:rPr>
                <w:sz w:val="22"/>
                <w:szCs w:val="22"/>
              </w:rPr>
              <w:t>-</w:t>
            </w:r>
            <w:r w:rsidRPr="00FE7B21">
              <w:rPr>
                <w:sz w:val="22"/>
                <w:szCs w:val="22"/>
              </w:rPr>
              <w:tab/>
              <w:t xml:space="preserve">Administrations of Member States of the </w:t>
            </w:r>
            <w:proofErr w:type="gramStart"/>
            <w:r w:rsidRPr="00FE7B21">
              <w:rPr>
                <w:sz w:val="22"/>
                <w:szCs w:val="22"/>
              </w:rPr>
              <w:t>Union;</w:t>
            </w:r>
            <w:proofErr w:type="gramEnd"/>
          </w:p>
          <w:p w14:paraId="3C9B7DAA" w14:textId="77777777" w:rsidR="00776EDA" w:rsidRPr="00FE7B21" w:rsidRDefault="00776EDA" w:rsidP="00634658">
            <w:pPr>
              <w:pStyle w:val="Tabletext"/>
              <w:spacing w:before="0" w:after="0"/>
              <w:ind w:left="283" w:hanging="391"/>
              <w:rPr>
                <w:sz w:val="22"/>
                <w:szCs w:val="22"/>
              </w:rPr>
            </w:pPr>
            <w:r w:rsidRPr="00FE7B21">
              <w:rPr>
                <w:b/>
                <w:sz w:val="22"/>
                <w:szCs w:val="22"/>
              </w:rPr>
              <w:t>Copy to:</w:t>
            </w:r>
          </w:p>
          <w:p w14:paraId="3430C404" w14:textId="77777777" w:rsidR="00776EDA" w:rsidRPr="00FE7B21" w:rsidRDefault="00776EDA" w:rsidP="00634658">
            <w:pPr>
              <w:pStyle w:val="Tabletext"/>
              <w:spacing w:before="0" w:after="0"/>
              <w:ind w:left="283" w:hanging="283"/>
              <w:rPr>
                <w:sz w:val="22"/>
                <w:szCs w:val="22"/>
              </w:rPr>
            </w:pPr>
            <w:r w:rsidRPr="00FE7B21">
              <w:rPr>
                <w:sz w:val="22"/>
                <w:szCs w:val="22"/>
              </w:rPr>
              <w:t>-</w:t>
            </w:r>
            <w:r w:rsidRPr="00FE7B21">
              <w:rPr>
                <w:sz w:val="22"/>
                <w:szCs w:val="22"/>
              </w:rPr>
              <w:tab/>
              <w:t xml:space="preserve">ITU-T Sector </w:t>
            </w:r>
            <w:proofErr w:type="gramStart"/>
            <w:r w:rsidRPr="00FE7B21">
              <w:rPr>
                <w:sz w:val="22"/>
                <w:szCs w:val="22"/>
              </w:rPr>
              <w:t>Members;</w:t>
            </w:r>
            <w:proofErr w:type="gramEnd"/>
          </w:p>
          <w:p w14:paraId="4DDC9E73" w14:textId="77777777" w:rsidR="00776EDA" w:rsidRPr="00FE7B21" w:rsidRDefault="00776EDA" w:rsidP="00634658">
            <w:pPr>
              <w:pStyle w:val="Tabletext"/>
              <w:spacing w:before="0" w:after="0"/>
              <w:ind w:left="283" w:hanging="283"/>
              <w:rPr>
                <w:sz w:val="22"/>
                <w:szCs w:val="22"/>
              </w:rPr>
            </w:pPr>
            <w:r w:rsidRPr="00FE7B21">
              <w:rPr>
                <w:sz w:val="22"/>
                <w:szCs w:val="22"/>
              </w:rPr>
              <w:t>-</w:t>
            </w:r>
            <w:r w:rsidRPr="00FE7B21">
              <w:rPr>
                <w:sz w:val="22"/>
                <w:szCs w:val="22"/>
              </w:rPr>
              <w:tab/>
              <w:t xml:space="preserve">Associates of ITU-T Study Group </w:t>
            </w:r>
            <w:proofErr w:type="gramStart"/>
            <w:r w:rsidRPr="00FE7B21">
              <w:rPr>
                <w:sz w:val="22"/>
                <w:szCs w:val="22"/>
              </w:rPr>
              <w:t>20;</w:t>
            </w:r>
            <w:proofErr w:type="gramEnd"/>
            <w:r w:rsidRPr="00FE7B21">
              <w:rPr>
                <w:sz w:val="22"/>
                <w:szCs w:val="22"/>
              </w:rPr>
              <w:t xml:space="preserve"> </w:t>
            </w:r>
          </w:p>
          <w:p w14:paraId="23B7892E" w14:textId="77777777" w:rsidR="00776EDA" w:rsidRPr="00FE7B21" w:rsidRDefault="00776EDA" w:rsidP="00634658">
            <w:pPr>
              <w:pStyle w:val="Tabletext"/>
              <w:spacing w:before="0" w:after="0"/>
              <w:ind w:left="283" w:hanging="283"/>
              <w:rPr>
                <w:sz w:val="22"/>
                <w:szCs w:val="22"/>
              </w:rPr>
            </w:pPr>
            <w:r w:rsidRPr="00FE7B21">
              <w:rPr>
                <w:sz w:val="22"/>
                <w:szCs w:val="22"/>
              </w:rPr>
              <w:t>-</w:t>
            </w:r>
            <w:r w:rsidRPr="00FE7B21">
              <w:rPr>
                <w:sz w:val="22"/>
                <w:szCs w:val="22"/>
              </w:rPr>
              <w:tab/>
              <w:t xml:space="preserve">ITU </w:t>
            </w:r>
            <w:proofErr w:type="gramStart"/>
            <w:r w:rsidRPr="00FE7B21">
              <w:rPr>
                <w:sz w:val="22"/>
                <w:szCs w:val="22"/>
              </w:rPr>
              <w:t>Academia;</w:t>
            </w:r>
            <w:proofErr w:type="gramEnd"/>
          </w:p>
          <w:p w14:paraId="531676A9" w14:textId="37189024" w:rsidR="00776EDA" w:rsidRPr="00FE7B21" w:rsidRDefault="00776EDA" w:rsidP="00634658">
            <w:pPr>
              <w:pStyle w:val="Tabletext"/>
              <w:spacing w:before="0" w:after="0"/>
              <w:ind w:left="283" w:hanging="283"/>
              <w:rPr>
                <w:sz w:val="22"/>
                <w:szCs w:val="22"/>
              </w:rPr>
            </w:pPr>
            <w:r w:rsidRPr="00FE7B21">
              <w:rPr>
                <w:sz w:val="22"/>
                <w:szCs w:val="22"/>
              </w:rPr>
              <w:t>-</w:t>
            </w:r>
            <w:r w:rsidRPr="00FE7B21">
              <w:rPr>
                <w:sz w:val="22"/>
                <w:szCs w:val="22"/>
              </w:rPr>
              <w:tab/>
              <w:t>The Chair and Vice-Chair</w:t>
            </w:r>
            <w:r w:rsidR="00627A5E" w:rsidRPr="00FE7B21">
              <w:rPr>
                <w:sz w:val="22"/>
                <w:szCs w:val="22"/>
              </w:rPr>
              <w:t>s</w:t>
            </w:r>
            <w:r w:rsidRPr="00FE7B21">
              <w:rPr>
                <w:sz w:val="22"/>
                <w:szCs w:val="22"/>
              </w:rPr>
              <w:t xml:space="preserve"> of ITU-T Study Group </w:t>
            </w:r>
            <w:proofErr w:type="gramStart"/>
            <w:r w:rsidRPr="00FE7B21">
              <w:rPr>
                <w:sz w:val="22"/>
                <w:szCs w:val="22"/>
              </w:rPr>
              <w:t>20;</w:t>
            </w:r>
            <w:proofErr w:type="gramEnd"/>
          </w:p>
          <w:p w14:paraId="25EC91F1" w14:textId="77777777" w:rsidR="00634658" w:rsidRPr="00FE7B21" w:rsidRDefault="00776EDA" w:rsidP="00634658">
            <w:pPr>
              <w:pStyle w:val="Tabletext"/>
              <w:spacing w:before="0" w:after="0"/>
              <w:ind w:left="283" w:hanging="283"/>
              <w:rPr>
                <w:sz w:val="22"/>
                <w:szCs w:val="22"/>
              </w:rPr>
            </w:pPr>
            <w:r w:rsidRPr="00FE7B21">
              <w:rPr>
                <w:sz w:val="22"/>
                <w:szCs w:val="22"/>
              </w:rPr>
              <w:t>-</w:t>
            </w:r>
            <w:r w:rsidRPr="00FE7B21">
              <w:rPr>
                <w:sz w:val="22"/>
                <w:szCs w:val="22"/>
              </w:rPr>
              <w:tab/>
              <w:t xml:space="preserve">The Director of the Telecommunication Development </w:t>
            </w:r>
            <w:proofErr w:type="gramStart"/>
            <w:r w:rsidRPr="00FE7B21">
              <w:rPr>
                <w:sz w:val="22"/>
                <w:szCs w:val="22"/>
              </w:rPr>
              <w:t>Bureau;</w:t>
            </w:r>
            <w:proofErr w:type="gramEnd"/>
          </w:p>
          <w:p w14:paraId="2003EEFF" w14:textId="7FA7A104" w:rsidR="00F46912" w:rsidRPr="00FE7B21" w:rsidRDefault="00634658" w:rsidP="00634658">
            <w:pPr>
              <w:pStyle w:val="Tabletext"/>
              <w:spacing w:before="0" w:after="0"/>
              <w:ind w:left="283" w:hanging="283"/>
              <w:rPr>
                <w:sz w:val="22"/>
                <w:szCs w:val="22"/>
              </w:rPr>
            </w:pPr>
            <w:r w:rsidRPr="00FE7B21">
              <w:rPr>
                <w:sz w:val="22"/>
                <w:szCs w:val="22"/>
              </w:rPr>
              <w:t>-</w:t>
            </w:r>
            <w:r w:rsidR="00776EDA" w:rsidRPr="00FE7B21">
              <w:rPr>
                <w:sz w:val="22"/>
                <w:szCs w:val="22"/>
              </w:rPr>
              <w:tab/>
              <w:t>The Director of the Radiocommunication Bureau</w:t>
            </w:r>
          </w:p>
        </w:tc>
      </w:tr>
      <w:tr w:rsidR="00F46912" w:rsidRPr="00FE7B21" w14:paraId="56892459" w14:textId="77777777" w:rsidTr="00634658">
        <w:trPr>
          <w:cantSplit/>
          <w:trHeight w:val="221"/>
        </w:trPr>
        <w:tc>
          <w:tcPr>
            <w:tcW w:w="1134" w:type="dxa"/>
          </w:tcPr>
          <w:p w14:paraId="279C4443" w14:textId="77777777" w:rsidR="00F46912" w:rsidRPr="00FE7B21" w:rsidRDefault="00F46912" w:rsidP="00F020AB">
            <w:pPr>
              <w:pStyle w:val="Tabletext"/>
              <w:ind w:left="-110"/>
              <w:rPr>
                <w:sz w:val="22"/>
                <w:szCs w:val="22"/>
              </w:rPr>
            </w:pPr>
            <w:r w:rsidRPr="00FE7B21">
              <w:rPr>
                <w:b/>
                <w:sz w:val="22"/>
                <w:szCs w:val="22"/>
              </w:rPr>
              <w:t>Tel:</w:t>
            </w:r>
          </w:p>
        </w:tc>
        <w:tc>
          <w:tcPr>
            <w:tcW w:w="3544" w:type="dxa"/>
            <w:gridSpan w:val="2"/>
          </w:tcPr>
          <w:p w14:paraId="30F3739D" w14:textId="2D2C48BE" w:rsidR="00F46912" w:rsidRPr="00FE7B21" w:rsidRDefault="00F46912" w:rsidP="00F020AB">
            <w:pPr>
              <w:pStyle w:val="Tabletext"/>
              <w:rPr>
                <w:b/>
                <w:sz w:val="22"/>
                <w:szCs w:val="22"/>
              </w:rPr>
            </w:pPr>
            <w:r w:rsidRPr="00FE7B21">
              <w:rPr>
                <w:sz w:val="22"/>
                <w:szCs w:val="22"/>
              </w:rPr>
              <w:t>+41 22 730 6301</w:t>
            </w:r>
          </w:p>
        </w:tc>
        <w:tc>
          <w:tcPr>
            <w:tcW w:w="5245" w:type="dxa"/>
            <w:gridSpan w:val="2"/>
            <w:vMerge/>
          </w:tcPr>
          <w:p w14:paraId="06A72D7F" w14:textId="77777777" w:rsidR="00F46912" w:rsidRPr="00FE7B21" w:rsidRDefault="00F46912" w:rsidP="00F020AB">
            <w:pPr>
              <w:pStyle w:val="Tabletext"/>
              <w:ind w:left="142" w:hanging="391"/>
              <w:rPr>
                <w:sz w:val="22"/>
                <w:szCs w:val="22"/>
              </w:rPr>
            </w:pPr>
          </w:p>
        </w:tc>
      </w:tr>
      <w:tr w:rsidR="00F46912" w:rsidRPr="00FE7B21" w14:paraId="7799F95C" w14:textId="77777777" w:rsidTr="0067278D">
        <w:trPr>
          <w:cantSplit/>
          <w:trHeight w:val="1821"/>
        </w:trPr>
        <w:tc>
          <w:tcPr>
            <w:tcW w:w="1134" w:type="dxa"/>
          </w:tcPr>
          <w:p w14:paraId="726EA0EE" w14:textId="77777777" w:rsidR="00F46912" w:rsidRPr="00FE7B21" w:rsidRDefault="00F46912" w:rsidP="00F020AB">
            <w:pPr>
              <w:pStyle w:val="Tabletext"/>
              <w:ind w:left="-110"/>
              <w:rPr>
                <w:b/>
                <w:sz w:val="22"/>
                <w:szCs w:val="22"/>
              </w:rPr>
            </w:pPr>
            <w:r w:rsidRPr="00FE7B21">
              <w:rPr>
                <w:b/>
                <w:sz w:val="22"/>
                <w:szCs w:val="22"/>
              </w:rPr>
              <w:t>Fax:</w:t>
            </w:r>
          </w:p>
          <w:p w14:paraId="6644418C" w14:textId="1920CE1D" w:rsidR="00776EDA" w:rsidRPr="00FE7B21" w:rsidRDefault="00776EDA" w:rsidP="00F020AB">
            <w:pPr>
              <w:pStyle w:val="Tabletext"/>
              <w:ind w:left="-110"/>
              <w:rPr>
                <w:sz w:val="22"/>
                <w:szCs w:val="22"/>
              </w:rPr>
            </w:pPr>
            <w:r w:rsidRPr="00FE7B21">
              <w:rPr>
                <w:b/>
                <w:sz w:val="22"/>
                <w:szCs w:val="22"/>
              </w:rPr>
              <w:t>E-mail:</w:t>
            </w:r>
          </w:p>
        </w:tc>
        <w:tc>
          <w:tcPr>
            <w:tcW w:w="3544" w:type="dxa"/>
            <w:gridSpan w:val="2"/>
          </w:tcPr>
          <w:p w14:paraId="2819499B" w14:textId="77777777" w:rsidR="00F46912" w:rsidRPr="00FE7B21" w:rsidRDefault="00F46912" w:rsidP="00F020AB">
            <w:pPr>
              <w:pStyle w:val="Tabletext"/>
              <w:rPr>
                <w:sz w:val="22"/>
                <w:szCs w:val="22"/>
              </w:rPr>
            </w:pPr>
            <w:r w:rsidRPr="00FE7B21">
              <w:rPr>
                <w:sz w:val="22"/>
                <w:szCs w:val="22"/>
              </w:rPr>
              <w:t>+41 22 730 5853</w:t>
            </w:r>
          </w:p>
          <w:p w14:paraId="6393822E" w14:textId="72FD33CA" w:rsidR="00776EDA" w:rsidRPr="00FE7B21" w:rsidRDefault="002537FE" w:rsidP="00F020AB">
            <w:pPr>
              <w:pStyle w:val="Tabletext"/>
              <w:rPr>
                <w:b/>
                <w:sz w:val="22"/>
                <w:szCs w:val="22"/>
              </w:rPr>
            </w:pPr>
            <w:hyperlink r:id="rId9" w:history="1">
              <w:r w:rsidR="00776EDA" w:rsidRPr="00FE7B21">
                <w:rPr>
                  <w:rStyle w:val="Hyperlink"/>
                  <w:sz w:val="22"/>
                  <w:szCs w:val="22"/>
                </w:rPr>
                <w:t>tsbsg20@itu.int</w:t>
              </w:r>
            </w:hyperlink>
          </w:p>
        </w:tc>
        <w:tc>
          <w:tcPr>
            <w:tcW w:w="5245" w:type="dxa"/>
            <w:gridSpan w:val="2"/>
            <w:vMerge/>
          </w:tcPr>
          <w:p w14:paraId="2CF61540" w14:textId="77777777" w:rsidR="00F46912" w:rsidRPr="00FE7B21" w:rsidRDefault="00F46912" w:rsidP="00F020AB">
            <w:pPr>
              <w:pStyle w:val="Tabletext"/>
              <w:ind w:left="142" w:hanging="391"/>
              <w:rPr>
                <w:sz w:val="22"/>
                <w:szCs w:val="22"/>
              </w:rPr>
            </w:pPr>
          </w:p>
        </w:tc>
      </w:tr>
      <w:tr w:rsidR="00FA46A0" w:rsidRPr="00FE7B21" w14:paraId="5077CF3E" w14:textId="77777777" w:rsidTr="00634658">
        <w:trPr>
          <w:cantSplit/>
          <w:trHeight w:val="1129"/>
        </w:trPr>
        <w:tc>
          <w:tcPr>
            <w:tcW w:w="1134" w:type="dxa"/>
          </w:tcPr>
          <w:p w14:paraId="5072539B" w14:textId="77777777" w:rsidR="00FA46A0" w:rsidRPr="00FE7B21" w:rsidRDefault="00B61012" w:rsidP="00DB29C3">
            <w:pPr>
              <w:pStyle w:val="Tabletext"/>
              <w:spacing w:before="0"/>
              <w:ind w:left="-108"/>
              <w:rPr>
                <w:rFonts w:cs="Calibri"/>
                <w:sz w:val="22"/>
                <w:szCs w:val="22"/>
              </w:rPr>
            </w:pPr>
            <w:r w:rsidRPr="00FE7B21">
              <w:rPr>
                <w:rFonts w:cs="Calibri"/>
                <w:b/>
                <w:sz w:val="22"/>
                <w:szCs w:val="22"/>
              </w:rPr>
              <w:t>Subject:</w:t>
            </w:r>
          </w:p>
        </w:tc>
        <w:tc>
          <w:tcPr>
            <w:tcW w:w="8789" w:type="dxa"/>
            <w:gridSpan w:val="4"/>
          </w:tcPr>
          <w:p w14:paraId="4CFE3D05" w14:textId="78EF24F3" w:rsidR="00FA46A0" w:rsidRPr="00662091" w:rsidRDefault="00864CFB" w:rsidP="007C4274">
            <w:pPr>
              <w:pStyle w:val="Tabletext"/>
              <w:spacing w:before="0" w:after="0"/>
              <w:rPr>
                <w:rFonts w:cs="Calibri"/>
                <w:b/>
                <w:bCs/>
                <w:sz w:val="22"/>
                <w:szCs w:val="22"/>
              </w:rPr>
            </w:pPr>
            <w:r w:rsidRPr="00864CFB">
              <w:rPr>
                <w:rFonts w:cs="Calibri"/>
                <w:b/>
                <w:sz w:val="22"/>
                <w:szCs w:val="22"/>
              </w:rPr>
              <w:t>Member State consultation on Determined draft new Recommendations ITU-T Y.4506 (ex</w:t>
            </w:r>
            <w:r w:rsidR="00DB29C3">
              <w:rPr>
                <w:rFonts w:cs="Calibri"/>
                <w:b/>
                <w:sz w:val="22"/>
                <w:szCs w:val="22"/>
              </w:rPr>
              <w:t> </w:t>
            </w:r>
            <w:r w:rsidRPr="00864CFB">
              <w:rPr>
                <w:rFonts w:cs="Calibri"/>
                <w:b/>
                <w:sz w:val="22"/>
                <w:szCs w:val="22"/>
              </w:rPr>
              <w:t xml:space="preserve">Y.DRI-arch),  Y.4229 (ex </w:t>
            </w:r>
            <w:proofErr w:type="spellStart"/>
            <w:r w:rsidRPr="00864CFB">
              <w:rPr>
                <w:rFonts w:cs="Calibri"/>
                <w:b/>
                <w:sz w:val="22"/>
                <w:szCs w:val="22"/>
              </w:rPr>
              <w:t>Y.IoT</w:t>
            </w:r>
            <w:proofErr w:type="spellEnd"/>
            <w:r w:rsidRPr="00864CFB">
              <w:rPr>
                <w:rFonts w:cs="Calibri"/>
                <w:b/>
                <w:sz w:val="22"/>
                <w:szCs w:val="22"/>
              </w:rPr>
              <w:t xml:space="preserve">-SFFS), Y.4230 (ex Y.EV-charging), Y.4231 (ex </w:t>
            </w:r>
            <w:proofErr w:type="spellStart"/>
            <w:r w:rsidRPr="00864CFB">
              <w:rPr>
                <w:rFonts w:cs="Calibri"/>
                <w:b/>
                <w:sz w:val="22"/>
                <w:szCs w:val="22"/>
              </w:rPr>
              <w:t>Y.IoT-Vreqs</w:t>
            </w:r>
            <w:proofErr w:type="spellEnd"/>
            <w:r w:rsidRPr="00864CFB">
              <w:rPr>
                <w:rFonts w:cs="Calibri"/>
                <w:b/>
                <w:sz w:val="22"/>
                <w:szCs w:val="22"/>
              </w:rPr>
              <w:t xml:space="preserve">), Y.4232 (ex </w:t>
            </w:r>
            <w:proofErr w:type="spellStart"/>
            <w:r w:rsidRPr="00864CFB">
              <w:rPr>
                <w:rFonts w:cs="Calibri"/>
                <w:b/>
                <w:sz w:val="22"/>
                <w:szCs w:val="22"/>
              </w:rPr>
              <w:t>Y.IoT</w:t>
            </w:r>
            <w:proofErr w:type="spellEnd"/>
            <w:r w:rsidRPr="00864CFB">
              <w:rPr>
                <w:rFonts w:cs="Calibri"/>
                <w:b/>
                <w:sz w:val="22"/>
                <w:szCs w:val="22"/>
              </w:rPr>
              <w:t xml:space="preserve">-RTPS), Y.4233 (ex Y.FSPH), Y.4234 (ex </w:t>
            </w:r>
            <w:proofErr w:type="spellStart"/>
            <w:r w:rsidRPr="00864CFB">
              <w:rPr>
                <w:rFonts w:cs="Calibri"/>
                <w:b/>
                <w:sz w:val="22"/>
                <w:szCs w:val="22"/>
              </w:rPr>
              <w:t>Y.RemoteEd</w:t>
            </w:r>
            <w:proofErr w:type="spellEnd"/>
            <w:r w:rsidRPr="00864CFB">
              <w:rPr>
                <w:rFonts w:cs="Calibri"/>
                <w:b/>
                <w:sz w:val="22"/>
                <w:szCs w:val="22"/>
              </w:rPr>
              <w:t xml:space="preserve">), Y.4222 (ex </w:t>
            </w:r>
            <w:proofErr w:type="spellStart"/>
            <w:r w:rsidRPr="00864CFB">
              <w:rPr>
                <w:rFonts w:cs="Calibri"/>
                <w:b/>
                <w:sz w:val="22"/>
                <w:szCs w:val="22"/>
              </w:rPr>
              <w:t>Y.smart</w:t>
            </w:r>
            <w:proofErr w:type="spellEnd"/>
            <w:r w:rsidRPr="00864CFB">
              <w:rPr>
                <w:rFonts w:cs="Calibri"/>
                <w:b/>
                <w:sz w:val="22"/>
                <w:szCs w:val="22"/>
              </w:rPr>
              <w:t>-evacuation), Y.4507 (ex Y.arc-</w:t>
            </w:r>
            <w:proofErr w:type="spellStart"/>
            <w:r w:rsidRPr="00864CFB">
              <w:rPr>
                <w:rFonts w:cs="Calibri"/>
                <w:b/>
                <w:sz w:val="22"/>
                <w:szCs w:val="22"/>
              </w:rPr>
              <w:t>psfws</w:t>
            </w:r>
            <w:proofErr w:type="spellEnd"/>
            <w:r w:rsidRPr="00864CFB">
              <w:rPr>
                <w:rFonts w:cs="Calibri"/>
                <w:b/>
                <w:sz w:val="22"/>
                <w:szCs w:val="22"/>
              </w:rPr>
              <w:t>), Y.4508 (ex Y.DPM-</w:t>
            </w:r>
            <w:proofErr w:type="spellStart"/>
            <w:r w:rsidRPr="00864CFB">
              <w:rPr>
                <w:rFonts w:cs="Calibri"/>
                <w:b/>
                <w:sz w:val="22"/>
                <w:szCs w:val="22"/>
              </w:rPr>
              <w:t>alm</w:t>
            </w:r>
            <w:proofErr w:type="spellEnd"/>
            <w:r w:rsidRPr="00864CFB">
              <w:rPr>
                <w:rFonts w:cs="Calibri"/>
                <w:b/>
                <w:sz w:val="22"/>
                <w:szCs w:val="22"/>
              </w:rPr>
              <w:t>-</w:t>
            </w:r>
            <w:proofErr w:type="spellStart"/>
            <w:r w:rsidRPr="00864CFB">
              <w:rPr>
                <w:rFonts w:cs="Calibri"/>
                <w:b/>
                <w:sz w:val="22"/>
                <w:szCs w:val="22"/>
              </w:rPr>
              <w:t>fra</w:t>
            </w:r>
            <w:proofErr w:type="spellEnd"/>
            <w:r w:rsidRPr="00864CFB">
              <w:rPr>
                <w:rFonts w:cs="Calibri"/>
                <w:b/>
                <w:sz w:val="22"/>
                <w:szCs w:val="22"/>
              </w:rPr>
              <w:t xml:space="preserve">), Y.4706 (ex </w:t>
            </w:r>
            <w:proofErr w:type="spellStart"/>
            <w:r w:rsidRPr="00864CFB">
              <w:rPr>
                <w:rFonts w:cs="Calibri"/>
                <w:b/>
                <w:sz w:val="22"/>
                <w:szCs w:val="22"/>
              </w:rPr>
              <w:t>Y.dem</w:t>
            </w:r>
            <w:proofErr w:type="spellEnd"/>
            <w:r w:rsidRPr="00864CFB">
              <w:rPr>
                <w:rFonts w:cs="Calibri"/>
                <w:b/>
                <w:sz w:val="22"/>
                <w:szCs w:val="22"/>
              </w:rPr>
              <w:t>-IoT) and Y.4499 (ex</w:t>
            </w:r>
            <w:r w:rsidR="00DB29C3">
              <w:rPr>
                <w:rFonts w:cs="Calibri"/>
                <w:b/>
                <w:sz w:val="22"/>
                <w:szCs w:val="22"/>
              </w:rPr>
              <w:t> </w:t>
            </w:r>
            <w:r w:rsidRPr="00864CFB">
              <w:rPr>
                <w:rFonts w:cs="Calibri"/>
                <w:b/>
                <w:sz w:val="22"/>
                <w:szCs w:val="22"/>
              </w:rPr>
              <w:t>Y.UIM-cs-framework) proposed for approval at the meeting of ITU-T Study Group 20 (Geneva, 15-24 January 20</w:t>
            </w:r>
            <w:r>
              <w:rPr>
                <w:rFonts w:cs="Calibri"/>
                <w:b/>
                <w:sz w:val="22"/>
                <w:szCs w:val="22"/>
              </w:rPr>
              <w:t>25</w:t>
            </w:r>
            <w:r w:rsidRPr="00864CFB">
              <w:rPr>
                <w:rFonts w:cs="Calibri"/>
                <w:b/>
                <w:sz w:val="22"/>
                <w:szCs w:val="22"/>
              </w:rPr>
              <w:t>)</w:t>
            </w:r>
          </w:p>
        </w:tc>
      </w:tr>
    </w:tbl>
    <w:p w14:paraId="10B264CC" w14:textId="77777777" w:rsidR="00B60460" w:rsidRPr="00FE7B21" w:rsidRDefault="00B60460" w:rsidP="00DB29C3">
      <w:pPr>
        <w:rPr>
          <w:rFonts w:cs="Calibri"/>
          <w:sz w:val="22"/>
          <w:szCs w:val="22"/>
        </w:rPr>
      </w:pPr>
      <w:r w:rsidRPr="00FE7B21">
        <w:rPr>
          <w:rFonts w:cs="Calibri"/>
          <w:sz w:val="22"/>
          <w:szCs w:val="22"/>
        </w:rPr>
        <w:t>Dear Sir/Madam,</w:t>
      </w:r>
    </w:p>
    <w:p w14:paraId="26D19A56" w14:textId="17673545" w:rsidR="00B60460" w:rsidRPr="00662091" w:rsidRDefault="00B60460" w:rsidP="00B60460">
      <w:pPr>
        <w:rPr>
          <w:rFonts w:cs="Calibri"/>
          <w:sz w:val="22"/>
          <w:szCs w:val="22"/>
        </w:rPr>
      </w:pPr>
      <w:r w:rsidRPr="00FE7B21">
        <w:rPr>
          <w:rFonts w:cs="Calibri"/>
          <w:sz w:val="22"/>
          <w:szCs w:val="22"/>
        </w:rPr>
        <w:t>1</w:t>
      </w:r>
      <w:r w:rsidRPr="00FE7B21">
        <w:rPr>
          <w:rFonts w:cs="Calibri"/>
          <w:sz w:val="22"/>
          <w:szCs w:val="22"/>
        </w:rPr>
        <w:tab/>
        <w:t>ITU-T Study Group 20 (SG20: Internet of things (IoT) and smart cities and communities (SC&amp;C)) intends to apply the Traditional Approval Procedure as described in Section 9 of WTSA Resolution 1 (Rev.</w:t>
      </w:r>
      <w:r w:rsidR="00776EDA" w:rsidRPr="00FE7B21">
        <w:rPr>
          <w:rFonts w:cs="Calibri"/>
          <w:sz w:val="22"/>
          <w:szCs w:val="22"/>
        </w:rPr>
        <w:t> </w:t>
      </w:r>
      <w:r w:rsidR="00D836C0" w:rsidRPr="00FE7B21">
        <w:rPr>
          <w:rFonts w:cs="Calibri"/>
          <w:sz w:val="22"/>
          <w:szCs w:val="22"/>
        </w:rPr>
        <w:t>Geneva</w:t>
      </w:r>
      <w:r w:rsidRPr="00FE7B21">
        <w:rPr>
          <w:rFonts w:cs="Calibri"/>
          <w:sz w:val="22"/>
          <w:szCs w:val="22"/>
        </w:rPr>
        <w:t>, 20</w:t>
      </w:r>
      <w:r w:rsidR="00D836C0" w:rsidRPr="00FE7B21">
        <w:rPr>
          <w:rFonts w:cs="Calibri"/>
          <w:sz w:val="22"/>
          <w:szCs w:val="22"/>
        </w:rPr>
        <w:t>22</w:t>
      </w:r>
      <w:r w:rsidRPr="00FE7B21">
        <w:rPr>
          <w:rFonts w:cs="Calibri"/>
          <w:sz w:val="22"/>
          <w:szCs w:val="22"/>
        </w:rPr>
        <w:t xml:space="preserve">) for the approval of the above-mentioned draft Recommendations at its next meeting </w:t>
      </w:r>
      <w:r w:rsidR="002722B2" w:rsidRPr="00FE7B21">
        <w:rPr>
          <w:rFonts w:cs="Calibri"/>
          <w:sz w:val="22"/>
          <w:szCs w:val="22"/>
        </w:rPr>
        <w:t xml:space="preserve">in </w:t>
      </w:r>
      <w:r w:rsidR="003301F6" w:rsidRPr="00FE7B21">
        <w:rPr>
          <w:rFonts w:cs="Calibri"/>
          <w:sz w:val="22"/>
          <w:szCs w:val="22"/>
        </w:rPr>
        <w:t>Geneva, Switzerland</w:t>
      </w:r>
      <w:r w:rsidR="002722B2" w:rsidRPr="00FE7B21">
        <w:rPr>
          <w:rFonts w:cs="Calibri"/>
          <w:sz w:val="22"/>
          <w:szCs w:val="22"/>
        </w:rPr>
        <w:t xml:space="preserve">, </w:t>
      </w:r>
      <w:r w:rsidR="00C40781" w:rsidRPr="00FE7B21">
        <w:rPr>
          <w:rFonts w:cs="Calibri"/>
          <w:sz w:val="22"/>
          <w:szCs w:val="22"/>
        </w:rPr>
        <w:t>from</w:t>
      </w:r>
      <w:r w:rsidRPr="00FE7B21">
        <w:rPr>
          <w:rFonts w:cs="Calibri"/>
          <w:sz w:val="22"/>
          <w:szCs w:val="22"/>
        </w:rPr>
        <w:t xml:space="preserve"> </w:t>
      </w:r>
      <w:r w:rsidR="00820981" w:rsidRPr="00FE7B21">
        <w:rPr>
          <w:rFonts w:cs="Calibri"/>
          <w:sz w:val="22"/>
          <w:szCs w:val="22"/>
        </w:rPr>
        <w:t>1</w:t>
      </w:r>
      <w:r w:rsidR="00C84C83" w:rsidRPr="00FE7B21">
        <w:rPr>
          <w:rFonts w:cs="Calibri"/>
          <w:sz w:val="22"/>
          <w:szCs w:val="22"/>
        </w:rPr>
        <w:t>5</w:t>
      </w:r>
      <w:r w:rsidR="002722B2" w:rsidRPr="00FE7B21">
        <w:rPr>
          <w:rFonts w:cs="Calibri"/>
          <w:sz w:val="22"/>
          <w:szCs w:val="22"/>
        </w:rPr>
        <w:t xml:space="preserve"> to </w:t>
      </w:r>
      <w:r w:rsidR="00C84C83" w:rsidRPr="00FE7B21">
        <w:rPr>
          <w:rFonts w:cs="Calibri"/>
          <w:sz w:val="22"/>
          <w:szCs w:val="22"/>
        </w:rPr>
        <w:t>24</w:t>
      </w:r>
      <w:r w:rsidR="00820981" w:rsidRPr="00FE7B21">
        <w:rPr>
          <w:rFonts w:cs="Calibri"/>
          <w:sz w:val="22"/>
          <w:szCs w:val="22"/>
        </w:rPr>
        <w:t xml:space="preserve"> </w:t>
      </w:r>
      <w:r w:rsidR="003301F6" w:rsidRPr="00FE7B21">
        <w:rPr>
          <w:rFonts w:cs="Calibri"/>
          <w:sz w:val="22"/>
          <w:szCs w:val="22"/>
        </w:rPr>
        <w:t>J</w:t>
      </w:r>
      <w:r w:rsidR="00C84C83" w:rsidRPr="00FE7B21">
        <w:rPr>
          <w:rFonts w:cs="Calibri"/>
          <w:sz w:val="22"/>
          <w:szCs w:val="22"/>
        </w:rPr>
        <w:t>anuary</w:t>
      </w:r>
      <w:r w:rsidR="003301F6" w:rsidRPr="00FE7B21">
        <w:rPr>
          <w:rFonts w:cs="Calibri"/>
          <w:sz w:val="22"/>
          <w:szCs w:val="22"/>
        </w:rPr>
        <w:t xml:space="preserve"> 202</w:t>
      </w:r>
      <w:r w:rsidR="00C84C83" w:rsidRPr="00FE7B21">
        <w:rPr>
          <w:rFonts w:cs="Calibri"/>
          <w:sz w:val="22"/>
          <w:szCs w:val="22"/>
        </w:rPr>
        <w:t>5</w:t>
      </w:r>
      <w:r w:rsidR="003301F6" w:rsidRPr="00FE7B21">
        <w:rPr>
          <w:rFonts w:cs="Calibri"/>
          <w:sz w:val="22"/>
          <w:szCs w:val="22"/>
        </w:rPr>
        <w:t xml:space="preserve">. </w:t>
      </w:r>
      <w:r w:rsidRPr="00FE7B21">
        <w:rPr>
          <w:rFonts w:cs="Calibri"/>
          <w:sz w:val="22"/>
          <w:szCs w:val="22"/>
        </w:rPr>
        <w:t>The agenda and all relevant information concerning the ITU</w:t>
      </w:r>
      <w:r w:rsidR="00776EDA" w:rsidRPr="00FE7B21">
        <w:rPr>
          <w:rFonts w:cs="Calibri"/>
          <w:sz w:val="22"/>
          <w:szCs w:val="22"/>
        </w:rPr>
        <w:noBreakHyphen/>
      </w:r>
      <w:r w:rsidRPr="00FE7B21">
        <w:rPr>
          <w:rFonts w:cs="Calibri"/>
          <w:sz w:val="22"/>
          <w:szCs w:val="22"/>
        </w:rPr>
        <w:t>T</w:t>
      </w:r>
      <w:r w:rsidR="00776EDA" w:rsidRPr="00FE7B21">
        <w:rPr>
          <w:rFonts w:cs="Calibri"/>
          <w:sz w:val="22"/>
          <w:szCs w:val="22"/>
        </w:rPr>
        <w:t> </w:t>
      </w:r>
      <w:r w:rsidRPr="00662091">
        <w:rPr>
          <w:rFonts w:cs="Calibri"/>
          <w:sz w:val="22"/>
          <w:szCs w:val="22"/>
        </w:rPr>
        <w:t xml:space="preserve">Study Group 20 meeting will be available in </w:t>
      </w:r>
      <w:hyperlink r:id="rId10" w:history="1">
        <w:r w:rsidRPr="00662091">
          <w:rPr>
            <w:rStyle w:val="Hyperlink"/>
            <w:rFonts w:cs="Calibri"/>
            <w:sz w:val="22"/>
            <w:szCs w:val="22"/>
          </w:rPr>
          <w:t>Collective l</w:t>
        </w:r>
        <w:r w:rsidRPr="00662091">
          <w:rPr>
            <w:rStyle w:val="Hyperlink"/>
            <w:rFonts w:cs="Calibri"/>
            <w:sz w:val="22"/>
            <w:szCs w:val="22"/>
          </w:rPr>
          <w:t>e</w:t>
        </w:r>
        <w:r w:rsidRPr="00662091">
          <w:rPr>
            <w:rStyle w:val="Hyperlink"/>
            <w:rFonts w:cs="Calibri"/>
            <w:sz w:val="22"/>
            <w:szCs w:val="22"/>
          </w:rPr>
          <w:t>tt</w:t>
        </w:r>
        <w:r w:rsidRPr="00662091">
          <w:rPr>
            <w:rStyle w:val="Hyperlink"/>
            <w:rFonts w:cs="Calibri"/>
            <w:sz w:val="22"/>
            <w:szCs w:val="22"/>
          </w:rPr>
          <w:t>e</w:t>
        </w:r>
        <w:r w:rsidRPr="00662091">
          <w:rPr>
            <w:rStyle w:val="Hyperlink"/>
            <w:rFonts w:cs="Calibri"/>
            <w:sz w:val="22"/>
            <w:szCs w:val="22"/>
          </w:rPr>
          <w:t xml:space="preserve">r </w:t>
        </w:r>
        <w:r w:rsidR="00C84C83" w:rsidRPr="00662091">
          <w:rPr>
            <w:rStyle w:val="Hyperlink"/>
            <w:rFonts w:cs="Calibri"/>
            <w:sz w:val="22"/>
            <w:szCs w:val="22"/>
          </w:rPr>
          <w:t>5</w:t>
        </w:r>
        <w:r w:rsidRPr="00662091">
          <w:rPr>
            <w:rStyle w:val="Hyperlink"/>
            <w:rFonts w:cs="Calibri"/>
            <w:sz w:val="22"/>
            <w:szCs w:val="22"/>
          </w:rPr>
          <w:t>/</w:t>
        </w:r>
        <w:r w:rsidRPr="00662091">
          <w:rPr>
            <w:rStyle w:val="Hyperlink"/>
            <w:rFonts w:cs="Calibri"/>
            <w:sz w:val="22"/>
            <w:szCs w:val="22"/>
          </w:rPr>
          <w:t>2</w:t>
        </w:r>
        <w:r w:rsidRPr="00662091">
          <w:rPr>
            <w:rStyle w:val="Hyperlink"/>
            <w:rFonts w:cs="Calibri"/>
            <w:sz w:val="22"/>
            <w:szCs w:val="22"/>
          </w:rPr>
          <w:t>0</w:t>
        </w:r>
      </w:hyperlink>
      <w:r w:rsidRPr="00662091">
        <w:rPr>
          <w:rFonts w:cs="Calibri"/>
          <w:sz w:val="22"/>
          <w:szCs w:val="22"/>
        </w:rPr>
        <w:t>.</w:t>
      </w:r>
    </w:p>
    <w:p w14:paraId="521A9FDF" w14:textId="0E490948" w:rsidR="00B60460" w:rsidRPr="00662091" w:rsidRDefault="00B60460" w:rsidP="00B60460">
      <w:pPr>
        <w:rPr>
          <w:rFonts w:cs="Calibri"/>
          <w:sz w:val="22"/>
          <w:szCs w:val="22"/>
        </w:rPr>
      </w:pPr>
      <w:r w:rsidRPr="00662091">
        <w:rPr>
          <w:rFonts w:cs="Calibri"/>
          <w:sz w:val="22"/>
          <w:szCs w:val="22"/>
        </w:rPr>
        <w:t>2</w:t>
      </w:r>
      <w:r w:rsidRPr="00662091">
        <w:rPr>
          <w:rFonts w:cs="Calibri"/>
          <w:sz w:val="22"/>
          <w:szCs w:val="22"/>
        </w:rPr>
        <w:tab/>
        <w:t xml:space="preserve">The titles, summaries and locations of the draft new Recommendations </w:t>
      </w:r>
      <w:r w:rsidR="00820981" w:rsidRPr="00662091">
        <w:rPr>
          <w:rFonts w:cs="Calibri"/>
          <w:sz w:val="22"/>
          <w:szCs w:val="22"/>
        </w:rPr>
        <w:t xml:space="preserve">ITU-T </w:t>
      </w:r>
      <w:r w:rsidR="00DA28EB" w:rsidRPr="00DB29C3">
        <w:rPr>
          <w:sz w:val="22"/>
          <w:szCs w:val="22"/>
        </w:rPr>
        <w:t xml:space="preserve">Y.4506 (ex Y.DRI-arch), Y.4229 (ex </w:t>
      </w:r>
      <w:proofErr w:type="spellStart"/>
      <w:r w:rsidR="00DA28EB" w:rsidRPr="00DB29C3">
        <w:rPr>
          <w:sz w:val="22"/>
          <w:szCs w:val="22"/>
          <w:lang w:eastAsia="zh-CN"/>
        </w:rPr>
        <w:t>Y.IoT</w:t>
      </w:r>
      <w:proofErr w:type="spellEnd"/>
      <w:r w:rsidR="00DA28EB" w:rsidRPr="00DB29C3">
        <w:rPr>
          <w:sz w:val="22"/>
          <w:szCs w:val="22"/>
          <w:lang w:eastAsia="zh-CN"/>
        </w:rPr>
        <w:t xml:space="preserve">-SFFS), </w:t>
      </w:r>
      <w:r w:rsidR="00DA28EB" w:rsidRPr="00662091">
        <w:rPr>
          <w:sz w:val="22"/>
          <w:szCs w:val="22"/>
          <w:lang w:eastAsia="zh-CN"/>
        </w:rPr>
        <w:t xml:space="preserve">Y.4230 (ex Y.EV-charging), Y.4231 (ex </w:t>
      </w:r>
      <w:proofErr w:type="spellStart"/>
      <w:r w:rsidR="00DA28EB" w:rsidRPr="00662091">
        <w:rPr>
          <w:sz w:val="22"/>
          <w:szCs w:val="22"/>
          <w:lang w:eastAsia="zh-CN"/>
        </w:rPr>
        <w:t>Y.IoT-Vreqs</w:t>
      </w:r>
      <w:proofErr w:type="spellEnd"/>
      <w:r w:rsidR="00DA28EB" w:rsidRPr="00662091">
        <w:rPr>
          <w:sz w:val="22"/>
          <w:szCs w:val="22"/>
          <w:lang w:eastAsia="zh-CN"/>
        </w:rPr>
        <w:t xml:space="preserve">), Y.4232 (ex </w:t>
      </w:r>
      <w:proofErr w:type="spellStart"/>
      <w:r w:rsidR="00DA28EB" w:rsidRPr="00662091">
        <w:rPr>
          <w:sz w:val="22"/>
          <w:szCs w:val="22"/>
          <w:lang w:eastAsia="zh-CN"/>
        </w:rPr>
        <w:t>Y.IoT</w:t>
      </w:r>
      <w:proofErr w:type="spellEnd"/>
      <w:r w:rsidR="00DA28EB" w:rsidRPr="00662091">
        <w:rPr>
          <w:sz w:val="22"/>
          <w:szCs w:val="22"/>
          <w:lang w:eastAsia="zh-CN"/>
        </w:rPr>
        <w:t xml:space="preserve">-RTPS), Y.4233 (ex Y.FSPH), Y.4234 (ex </w:t>
      </w:r>
      <w:proofErr w:type="spellStart"/>
      <w:r w:rsidR="00DA28EB" w:rsidRPr="00662091">
        <w:rPr>
          <w:sz w:val="22"/>
          <w:szCs w:val="22"/>
          <w:lang w:eastAsia="zh-CN"/>
        </w:rPr>
        <w:t>Y.RemoteEd</w:t>
      </w:r>
      <w:proofErr w:type="spellEnd"/>
      <w:r w:rsidR="00DA28EB" w:rsidRPr="00662091">
        <w:rPr>
          <w:sz w:val="22"/>
          <w:szCs w:val="22"/>
          <w:lang w:eastAsia="zh-CN"/>
        </w:rPr>
        <w:t xml:space="preserve">), Y.4222 (ex </w:t>
      </w:r>
      <w:proofErr w:type="spellStart"/>
      <w:r w:rsidR="00DA28EB" w:rsidRPr="00662091">
        <w:rPr>
          <w:sz w:val="22"/>
          <w:szCs w:val="22"/>
          <w:lang w:eastAsia="zh-CN"/>
        </w:rPr>
        <w:t>Y.smart</w:t>
      </w:r>
      <w:proofErr w:type="spellEnd"/>
      <w:r w:rsidR="00DA28EB" w:rsidRPr="00662091">
        <w:rPr>
          <w:sz w:val="22"/>
          <w:szCs w:val="22"/>
          <w:lang w:eastAsia="zh-CN"/>
        </w:rPr>
        <w:t>-evacuation), Y.4507 (ex Y.arc-</w:t>
      </w:r>
      <w:proofErr w:type="spellStart"/>
      <w:r w:rsidR="00DA28EB" w:rsidRPr="00662091">
        <w:rPr>
          <w:sz w:val="22"/>
          <w:szCs w:val="22"/>
          <w:lang w:eastAsia="zh-CN"/>
        </w:rPr>
        <w:t>psfws</w:t>
      </w:r>
      <w:proofErr w:type="spellEnd"/>
      <w:r w:rsidR="00DA28EB" w:rsidRPr="00662091">
        <w:rPr>
          <w:sz w:val="22"/>
          <w:szCs w:val="22"/>
          <w:lang w:eastAsia="zh-CN"/>
        </w:rPr>
        <w:t>), Y.4508 (ex Y.DPM-</w:t>
      </w:r>
      <w:proofErr w:type="spellStart"/>
      <w:r w:rsidR="00DA28EB" w:rsidRPr="00662091">
        <w:rPr>
          <w:sz w:val="22"/>
          <w:szCs w:val="22"/>
          <w:lang w:eastAsia="zh-CN"/>
        </w:rPr>
        <w:t>alm</w:t>
      </w:r>
      <w:proofErr w:type="spellEnd"/>
      <w:r w:rsidR="00DA28EB" w:rsidRPr="00662091">
        <w:rPr>
          <w:sz w:val="22"/>
          <w:szCs w:val="22"/>
          <w:lang w:eastAsia="zh-CN"/>
        </w:rPr>
        <w:t>-</w:t>
      </w:r>
      <w:proofErr w:type="spellStart"/>
      <w:r w:rsidR="00DA28EB" w:rsidRPr="00662091">
        <w:rPr>
          <w:sz w:val="22"/>
          <w:szCs w:val="22"/>
          <w:lang w:eastAsia="zh-CN"/>
        </w:rPr>
        <w:t>fra</w:t>
      </w:r>
      <w:proofErr w:type="spellEnd"/>
      <w:r w:rsidR="00DA28EB" w:rsidRPr="00662091">
        <w:rPr>
          <w:sz w:val="22"/>
          <w:szCs w:val="22"/>
          <w:lang w:eastAsia="zh-CN"/>
        </w:rPr>
        <w:t xml:space="preserve">), Y.4706 (ex </w:t>
      </w:r>
      <w:proofErr w:type="spellStart"/>
      <w:r w:rsidR="00DA28EB" w:rsidRPr="00662091">
        <w:rPr>
          <w:sz w:val="22"/>
          <w:szCs w:val="22"/>
          <w:lang w:eastAsia="zh-CN"/>
        </w:rPr>
        <w:t>Y.dem</w:t>
      </w:r>
      <w:proofErr w:type="spellEnd"/>
      <w:r w:rsidR="00DA28EB" w:rsidRPr="00662091">
        <w:rPr>
          <w:sz w:val="22"/>
          <w:szCs w:val="22"/>
          <w:lang w:eastAsia="zh-CN"/>
        </w:rPr>
        <w:t>-IoT) and Y.4499 (ex Y.UIM-cs-framework)</w:t>
      </w:r>
      <w:r w:rsidRPr="00662091">
        <w:rPr>
          <w:rFonts w:cs="Calibri"/>
          <w:sz w:val="22"/>
          <w:szCs w:val="22"/>
        </w:rPr>
        <w:t>, proposed for approval can be found in Annex 1.</w:t>
      </w:r>
    </w:p>
    <w:p w14:paraId="6274048D" w14:textId="6F9E918F" w:rsidR="00B60460" w:rsidRPr="00FE7B21" w:rsidRDefault="00B60460" w:rsidP="00B60460">
      <w:pPr>
        <w:rPr>
          <w:rFonts w:cs="Calibri"/>
          <w:sz w:val="22"/>
          <w:szCs w:val="22"/>
        </w:rPr>
      </w:pPr>
      <w:r w:rsidRPr="00662091">
        <w:rPr>
          <w:rFonts w:cs="Calibri"/>
          <w:sz w:val="22"/>
          <w:szCs w:val="22"/>
        </w:rPr>
        <w:t>3</w:t>
      </w:r>
      <w:r w:rsidRPr="00662091">
        <w:rPr>
          <w:rFonts w:cs="Calibri"/>
          <w:sz w:val="22"/>
          <w:szCs w:val="22"/>
        </w:rPr>
        <w:tab/>
      </w:r>
      <w:proofErr w:type="gramStart"/>
      <w:r w:rsidRPr="00662091">
        <w:rPr>
          <w:rFonts w:cs="Calibri"/>
          <w:sz w:val="22"/>
          <w:szCs w:val="22"/>
        </w:rPr>
        <w:t>This Circular initiates</w:t>
      </w:r>
      <w:proofErr w:type="gramEnd"/>
      <w:r w:rsidRPr="00662091">
        <w:rPr>
          <w:rFonts w:cs="Calibri"/>
          <w:sz w:val="22"/>
          <w:szCs w:val="22"/>
        </w:rPr>
        <w:t xml:space="preserve"> the formal consultation with ITU Member States on whether these texts may be considered for approval at the upcoming meeting, in accordance with clause</w:t>
      </w:r>
      <w:r w:rsidRPr="00FE7B21">
        <w:rPr>
          <w:rFonts w:cs="Calibri"/>
          <w:sz w:val="22"/>
          <w:szCs w:val="22"/>
        </w:rPr>
        <w:t xml:space="preserve"> 9.4 of Resolution 1. Member</w:t>
      </w:r>
      <w:r w:rsidR="00776EDA" w:rsidRPr="00FE7B21">
        <w:rPr>
          <w:rFonts w:cs="Calibri"/>
          <w:sz w:val="22"/>
          <w:szCs w:val="22"/>
        </w:rPr>
        <w:t> </w:t>
      </w:r>
      <w:r w:rsidRPr="00FE7B21">
        <w:rPr>
          <w:rFonts w:cs="Calibri"/>
          <w:sz w:val="22"/>
          <w:szCs w:val="22"/>
        </w:rPr>
        <w:t xml:space="preserve">States are kindly requested to complete and return the form in Annex 2 by 2359 hours UTC on </w:t>
      </w:r>
      <w:r w:rsidR="001E066F" w:rsidRPr="00FE7B21">
        <w:rPr>
          <w:rFonts w:cs="Calibri"/>
          <w:b/>
          <w:bCs/>
          <w:sz w:val="22"/>
          <w:szCs w:val="22"/>
        </w:rPr>
        <w:t>3</w:t>
      </w:r>
      <w:r w:rsidR="00DB29C3">
        <w:rPr>
          <w:rFonts w:cs="Calibri"/>
          <w:b/>
          <w:bCs/>
          <w:sz w:val="22"/>
          <w:szCs w:val="22"/>
        </w:rPr>
        <w:t> </w:t>
      </w:r>
      <w:r w:rsidR="001E066F" w:rsidRPr="00FE7B21">
        <w:rPr>
          <w:rFonts w:cs="Calibri"/>
          <w:b/>
          <w:bCs/>
          <w:sz w:val="22"/>
          <w:szCs w:val="22"/>
        </w:rPr>
        <w:t>January 2025</w:t>
      </w:r>
      <w:r w:rsidRPr="00FE7B21">
        <w:rPr>
          <w:rFonts w:cs="Calibri"/>
          <w:sz w:val="22"/>
          <w:szCs w:val="22"/>
        </w:rPr>
        <w:t>.</w:t>
      </w:r>
    </w:p>
    <w:p w14:paraId="17DF8D8F" w14:textId="572FEA06" w:rsidR="00B60460" w:rsidRPr="00FE7B21" w:rsidRDefault="00B60460" w:rsidP="00B60460">
      <w:pPr>
        <w:rPr>
          <w:rFonts w:cs="Calibri"/>
          <w:sz w:val="22"/>
          <w:szCs w:val="22"/>
        </w:rPr>
      </w:pPr>
      <w:r w:rsidRPr="00FE7B21">
        <w:rPr>
          <w:rFonts w:cs="Calibri"/>
          <w:sz w:val="22"/>
          <w:szCs w:val="22"/>
        </w:rPr>
        <w:t>4</w:t>
      </w:r>
      <w:r w:rsidRPr="00FE7B21">
        <w:rPr>
          <w:rFonts w:cs="Calibri"/>
          <w:sz w:val="22"/>
          <w:szCs w:val="22"/>
        </w:rPr>
        <w:tab/>
        <w:t xml:space="preserve">If 70% or more of the replies from Member States support consideration for approval, one Plenary session will be devoted to </w:t>
      </w:r>
      <w:proofErr w:type="gramStart"/>
      <w:r w:rsidRPr="00FE7B21">
        <w:rPr>
          <w:rFonts w:cs="Calibri"/>
          <w:sz w:val="22"/>
          <w:szCs w:val="22"/>
        </w:rPr>
        <w:t>apply</w:t>
      </w:r>
      <w:proofErr w:type="gramEnd"/>
      <w:r w:rsidRPr="00FE7B21">
        <w:rPr>
          <w:rFonts w:cs="Calibr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764675D9" w14:textId="2A5F0B1A" w:rsidR="00B60460" w:rsidRPr="00FE7B21" w:rsidRDefault="00B60460" w:rsidP="00B60460">
      <w:pPr>
        <w:spacing w:before="100"/>
        <w:rPr>
          <w:rFonts w:cs="Calibri"/>
          <w:sz w:val="22"/>
          <w:szCs w:val="22"/>
        </w:rPr>
      </w:pPr>
      <w:r w:rsidRPr="00FE7B21">
        <w:rPr>
          <w:rFonts w:cs="Calibri"/>
          <w:sz w:val="22"/>
          <w:szCs w:val="22"/>
        </w:rPr>
        <w:t xml:space="preserve">TSB NOTE 1– As of the date of this Circular, no IPR statements had been received by TSB regarding any of these draft texts. For up-to-date information, members are invited to consult the IPR database at </w:t>
      </w:r>
      <w:hyperlink r:id="rId11" w:history="1">
        <w:r w:rsidRPr="00FE7B21">
          <w:rPr>
            <w:rStyle w:val="Hyperlink"/>
            <w:rFonts w:cs="Calibri"/>
            <w:sz w:val="22"/>
            <w:szCs w:val="22"/>
          </w:rPr>
          <w:t>www.itu.int/</w:t>
        </w:r>
        <w:r w:rsidRPr="00FE7B21">
          <w:rPr>
            <w:rStyle w:val="Hyperlink"/>
            <w:rFonts w:cs="Calibri"/>
            <w:sz w:val="22"/>
            <w:szCs w:val="22"/>
          </w:rPr>
          <w:t>i</w:t>
        </w:r>
        <w:r w:rsidRPr="00FE7B21">
          <w:rPr>
            <w:rStyle w:val="Hyperlink"/>
            <w:rFonts w:cs="Calibri"/>
            <w:sz w:val="22"/>
            <w:szCs w:val="22"/>
          </w:rPr>
          <w:t>pr/</w:t>
        </w:r>
      </w:hyperlink>
      <w:r w:rsidRPr="00FE7B21">
        <w:rPr>
          <w:rFonts w:cs="Calibri"/>
          <w:sz w:val="22"/>
          <w:szCs w:val="22"/>
        </w:rPr>
        <w:t>.</w:t>
      </w:r>
    </w:p>
    <w:p w14:paraId="3C1D2EDD" w14:textId="628FDEFD" w:rsidR="00B60460" w:rsidRPr="00FE7B21" w:rsidRDefault="00B60460" w:rsidP="00776EDA">
      <w:pPr>
        <w:pStyle w:val="Tabletext"/>
        <w:spacing w:before="120"/>
        <w:rPr>
          <w:rFonts w:cs="Calibri"/>
          <w:sz w:val="22"/>
          <w:szCs w:val="22"/>
        </w:rPr>
      </w:pPr>
      <w:r w:rsidRPr="00FE7B21">
        <w:rPr>
          <w:rFonts w:cs="Calibri"/>
          <w:sz w:val="22"/>
          <w:szCs w:val="22"/>
        </w:rPr>
        <w:t>Yours faithfully</w:t>
      </w:r>
    </w:p>
    <w:p w14:paraId="7723D1F0" w14:textId="446A8B04" w:rsidR="00B60460" w:rsidRPr="00FE7B21" w:rsidRDefault="002537FE" w:rsidP="00DB29C3">
      <w:pPr>
        <w:pStyle w:val="Tabletext"/>
        <w:tabs>
          <w:tab w:val="clear" w:pos="1418"/>
          <w:tab w:val="clear" w:pos="1588"/>
          <w:tab w:val="clear" w:pos="1701"/>
          <w:tab w:val="clear" w:pos="1985"/>
          <w:tab w:val="clear" w:pos="2552"/>
          <w:tab w:val="clear" w:pos="2835"/>
          <w:tab w:val="clear" w:pos="3119"/>
          <w:tab w:val="clear" w:pos="3402"/>
          <w:tab w:val="clear" w:pos="3686"/>
          <w:tab w:val="clear" w:pos="3969"/>
          <w:tab w:val="center" w:pos="4864"/>
        </w:tabs>
        <w:spacing w:before="720" w:after="0"/>
        <w:rPr>
          <w:rFonts w:cs="Calibri"/>
          <w:sz w:val="22"/>
          <w:szCs w:val="22"/>
        </w:rPr>
      </w:pPr>
      <w:r>
        <w:rPr>
          <w:rFonts w:cs="Calibri"/>
          <w:noProof/>
          <w:sz w:val="22"/>
          <w:szCs w:val="22"/>
        </w:rPr>
        <w:drawing>
          <wp:anchor distT="0" distB="0" distL="114300" distR="114300" simplePos="0" relativeHeight="251658240" behindDoc="1" locked="0" layoutInCell="1" allowOverlap="1" wp14:anchorId="6BC796EB" wp14:editId="22788208">
            <wp:simplePos x="0" y="0"/>
            <wp:positionH relativeFrom="column">
              <wp:posOffset>-31115</wp:posOffset>
            </wp:positionH>
            <wp:positionV relativeFrom="paragraph">
              <wp:posOffset>42545</wp:posOffset>
            </wp:positionV>
            <wp:extent cx="744116" cy="314325"/>
            <wp:effectExtent l="0" t="0" r="0" b="0"/>
            <wp:wrapNone/>
            <wp:docPr id="1213242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2519" name="Picture 1213242519"/>
                    <pic:cNvPicPr/>
                  </pic:nvPicPr>
                  <pic:blipFill>
                    <a:blip r:embed="rId12">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820981" w:rsidRPr="00FE7B21">
        <w:rPr>
          <w:rFonts w:cs="Calibri"/>
          <w:noProof/>
          <w:sz w:val="22"/>
          <w:szCs w:val="22"/>
        </w:rPr>
        <w:t>Seizo Onoe</w:t>
      </w:r>
      <w:r w:rsidR="00B60460" w:rsidRPr="00FE7B21">
        <w:rPr>
          <w:rFonts w:cs="Calibri"/>
          <w:sz w:val="22"/>
          <w:szCs w:val="22"/>
        </w:rPr>
        <w:br/>
        <w:t>Director of the Telecommunication</w:t>
      </w:r>
      <w:r w:rsidR="00B60460" w:rsidRPr="00FE7B21">
        <w:rPr>
          <w:rFonts w:cs="Calibri"/>
          <w:sz w:val="22"/>
          <w:szCs w:val="22"/>
        </w:rPr>
        <w:br/>
        <w:t>Standardization Bureau</w:t>
      </w:r>
    </w:p>
    <w:p w14:paraId="31653AC6" w14:textId="6F2DE15C" w:rsidR="002D69A3" w:rsidRPr="00FE7B21" w:rsidRDefault="00B60460" w:rsidP="009375C5">
      <w:pPr>
        <w:spacing w:before="160"/>
        <w:rPr>
          <w:rFonts w:cs="Calibri"/>
          <w:bCs/>
          <w:sz w:val="22"/>
          <w:szCs w:val="22"/>
        </w:rPr>
      </w:pPr>
      <w:r w:rsidRPr="00FE7B21">
        <w:rPr>
          <w:rFonts w:cs="Calibri"/>
          <w:b/>
          <w:sz w:val="22"/>
          <w:szCs w:val="22"/>
        </w:rPr>
        <w:t xml:space="preserve">Annexes: </w:t>
      </w:r>
      <w:r w:rsidRPr="00FE7B21">
        <w:rPr>
          <w:rFonts w:cs="Calibri"/>
          <w:bCs/>
          <w:sz w:val="22"/>
          <w:szCs w:val="22"/>
        </w:rPr>
        <w:t>2</w:t>
      </w:r>
    </w:p>
    <w:p w14:paraId="28506383" w14:textId="02B49C94" w:rsidR="00B60460" w:rsidRPr="00FE7B21" w:rsidRDefault="00B60460" w:rsidP="00B60460">
      <w:pPr>
        <w:keepNext/>
        <w:keepLines/>
        <w:spacing w:before="240" w:after="280"/>
        <w:jc w:val="center"/>
        <w:rPr>
          <w:rFonts w:eastAsia="Times New Roman"/>
          <w:b/>
          <w:sz w:val="28"/>
        </w:rPr>
      </w:pPr>
      <w:r w:rsidRPr="00FE7B21">
        <w:rPr>
          <w:rFonts w:eastAsia="Times New Roman"/>
          <w:b/>
          <w:sz w:val="28"/>
        </w:rPr>
        <w:lastRenderedPageBreak/>
        <w:t>Annex 1</w:t>
      </w:r>
    </w:p>
    <w:p w14:paraId="5484B8DB" w14:textId="77777777" w:rsidR="00DA28EB" w:rsidRPr="00FE7B21" w:rsidRDefault="00B60460" w:rsidP="00DA28EB">
      <w:pPr>
        <w:keepNext/>
        <w:keepLines/>
        <w:spacing w:before="240" w:after="280"/>
        <w:jc w:val="center"/>
        <w:rPr>
          <w:rFonts w:eastAsia="Times New Roman"/>
          <w:b/>
          <w:sz w:val="28"/>
        </w:rPr>
      </w:pPr>
      <w:r w:rsidRPr="00FE7B21">
        <w:rPr>
          <w:rFonts w:eastAsia="Times New Roman"/>
          <w:b/>
          <w:sz w:val="28"/>
        </w:rPr>
        <w:t xml:space="preserve">Summary and location of Determined draft new Recommendations </w:t>
      </w:r>
      <w:r w:rsidR="00E609F7" w:rsidRPr="00FE7B21">
        <w:rPr>
          <w:rFonts w:eastAsia="Times New Roman"/>
          <w:b/>
          <w:sz w:val="28"/>
        </w:rPr>
        <w:t xml:space="preserve">ITU-T </w:t>
      </w:r>
      <w:r w:rsidR="00DA28EB" w:rsidRPr="00FE7B21">
        <w:rPr>
          <w:rFonts w:eastAsia="Times New Roman"/>
          <w:b/>
          <w:sz w:val="28"/>
        </w:rPr>
        <w:t xml:space="preserve">Y.4506 (ex Y.DRI-arch), Y.4229 (ex </w:t>
      </w:r>
      <w:proofErr w:type="spellStart"/>
      <w:r w:rsidR="00DA28EB" w:rsidRPr="00FE7B21">
        <w:rPr>
          <w:rFonts w:eastAsia="Times New Roman"/>
          <w:b/>
          <w:sz w:val="28"/>
        </w:rPr>
        <w:t>Y.IoT</w:t>
      </w:r>
      <w:proofErr w:type="spellEnd"/>
      <w:r w:rsidR="00DA28EB" w:rsidRPr="00FE7B21">
        <w:rPr>
          <w:rFonts w:eastAsia="Times New Roman"/>
          <w:b/>
          <w:sz w:val="28"/>
        </w:rPr>
        <w:t xml:space="preserve">-SFFS), Y.4230 (ex Y.EV-charging), Y.4231 (ex </w:t>
      </w:r>
      <w:proofErr w:type="spellStart"/>
      <w:r w:rsidR="00DA28EB" w:rsidRPr="00FE7B21">
        <w:rPr>
          <w:rFonts w:eastAsia="Times New Roman"/>
          <w:b/>
          <w:sz w:val="28"/>
        </w:rPr>
        <w:t>Y.IoT-Vreqs</w:t>
      </w:r>
      <w:proofErr w:type="spellEnd"/>
      <w:r w:rsidR="00DA28EB" w:rsidRPr="00FE7B21">
        <w:rPr>
          <w:rFonts w:eastAsia="Times New Roman"/>
          <w:b/>
          <w:sz w:val="28"/>
        </w:rPr>
        <w:t xml:space="preserve">), Y.4232 (ex </w:t>
      </w:r>
      <w:proofErr w:type="spellStart"/>
      <w:r w:rsidR="00DA28EB" w:rsidRPr="00FE7B21">
        <w:rPr>
          <w:rFonts w:eastAsia="Times New Roman"/>
          <w:b/>
          <w:sz w:val="28"/>
        </w:rPr>
        <w:t>Y.IoT</w:t>
      </w:r>
      <w:proofErr w:type="spellEnd"/>
      <w:r w:rsidR="00DA28EB" w:rsidRPr="00FE7B21">
        <w:rPr>
          <w:rFonts w:eastAsia="Times New Roman"/>
          <w:b/>
          <w:sz w:val="28"/>
        </w:rPr>
        <w:t xml:space="preserve">-RTPS), Y.4233 (ex Y.FSPH), Y.4234 (ex </w:t>
      </w:r>
      <w:proofErr w:type="spellStart"/>
      <w:r w:rsidR="00DA28EB" w:rsidRPr="00FE7B21">
        <w:rPr>
          <w:rFonts w:eastAsia="Times New Roman"/>
          <w:b/>
          <w:sz w:val="28"/>
        </w:rPr>
        <w:t>Y.RemoteEd</w:t>
      </w:r>
      <w:proofErr w:type="spellEnd"/>
      <w:r w:rsidR="00DA28EB" w:rsidRPr="00FE7B21">
        <w:rPr>
          <w:rFonts w:eastAsia="Times New Roman"/>
          <w:b/>
          <w:sz w:val="28"/>
        </w:rPr>
        <w:t xml:space="preserve">), Y.4222 (ex </w:t>
      </w:r>
      <w:proofErr w:type="spellStart"/>
      <w:r w:rsidR="00DA28EB" w:rsidRPr="00FE7B21">
        <w:rPr>
          <w:rFonts w:eastAsia="Times New Roman"/>
          <w:b/>
          <w:sz w:val="28"/>
        </w:rPr>
        <w:t>Y.smart</w:t>
      </w:r>
      <w:proofErr w:type="spellEnd"/>
      <w:r w:rsidR="00DA28EB" w:rsidRPr="00FE7B21">
        <w:rPr>
          <w:rFonts w:eastAsia="Times New Roman"/>
          <w:b/>
          <w:sz w:val="28"/>
        </w:rPr>
        <w:t>-evacuation), Y.4507 (ex Y.arc-</w:t>
      </w:r>
      <w:proofErr w:type="spellStart"/>
      <w:r w:rsidR="00DA28EB" w:rsidRPr="00FE7B21">
        <w:rPr>
          <w:rFonts w:eastAsia="Times New Roman"/>
          <w:b/>
          <w:sz w:val="28"/>
        </w:rPr>
        <w:t>psfws</w:t>
      </w:r>
      <w:proofErr w:type="spellEnd"/>
      <w:r w:rsidR="00DA28EB" w:rsidRPr="00FE7B21">
        <w:rPr>
          <w:rFonts w:eastAsia="Times New Roman"/>
          <w:b/>
          <w:sz w:val="28"/>
        </w:rPr>
        <w:t>), Y.4508 (ex Y.DPM-</w:t>
      </w:r>
      <w:proofErr w:type="spellStart"/>
      <w:r w:rsidR="00DA28EB" w:rsidRPr="00FE7B21">
        <w:rPr>
          <w:rFonts w:eastAsia="Times New Roman"/>
          <w:b/>
          <w:sz w:val="28"/>
        </w:rPr>
        <w:t>alm</w:t>
      </w:r>
      <w:proofErr w:type="spellEnd"/>
      <w:r w:rsidR="00DA28EB" w:rsidRPr="00FE7B21">
        <w:rPr>
          <w:rFonts w:eastAsia="Times New Roman"/>
          <w:b/>
          <w:sz w:val="28"/>
        </w:rPr>
        <w:t>-</w:t>
      </w:r>
      <w:proofErr w:type="spellStart"/>
      <w:r w:rsidR="00DA28EB" w:rsidRPr="00FE7B21">
        <w:rPr>
          <w:rFonts w:eastAsia="Times New Roman"/>
          <w:b/>
          <w:sz w:val="28"/>
        </w:rPr>
        <w:t>fra</w:t>
      </w:r>
      <w:proofErr w:type="spellEnd"/>
      <w:r w:rsidR="00DA28EB" w:rsidRPr="00FE7B21">
        <w:rPr>
          <w:rFonts w:eastAsia="Times New Roman"/>
          <w:b/>
          <w:sz w:val="28"/>
        </w:rPr>
        <w:t xml:space="preserve">), Y.4706 (ex </w:t>
      </w:r>
      <w:proofErr w:type="spellStart"/>
      <w:r w:rsidR="00DA28EB" w:rsidRPr="00FE7B21">
        <w:rPr>
          <w:rFonts w:eastAsia="Times New Roman"/>
          <w:b/>
          <w:sz w:val="28"/>
        </w:rPr>
        <w:t>Y.dem</w:t>
      </w:r>
      <w:proofErr w:type="spellEnd"/>
      <w:r w:rsidR="00DA28EB" w:rsidRPr="00FE7B21">
        <w:rPr>
          <w:rFonts w:eastAsia="Times New Roman"/>
          <w:b/>
          <w:sz w:val="28"/>
        </w:rPr>
        <w:t xml:space="preserve">-IoT) and Y.4499 (ex Y.UIM-cs-framework) </w:t>
      </w:r>
    </w:p>
    <w:p w14:paraId="24B71F44" w14:textId="56E4A342" w:rsidR="00B60460" w:rsidRPr="00DB29C3" w:rsidRDefault="00B60460" w:rsidP="00662091">
      <w:pPr>
        <w:keepNext/>
        <w:keepLines/>
        <w:spacing w:before="240" w:after="280"/>
        <w:rPr>
          <w:rFonts w:eastAsia="Times New Roman" w:cs="Calibri"/>
          <w:b/>
          <w:sz w:val="28"/>
        </w:rPr>
      </w:pPr>
      <w:r w:rsidRPr="00DB29C3">
        <w:rPr>
          <w:rFonts w:eastAsia="Times New Roman" w:cs="Calibri"/>
          <w:b/>
          <w:sz w:val="28"/>
        </w:rPr>
        <w:t>1</w:t>
      </w:r>
      <w:r w:rsidRPr="00DB29C3">
        <w:rPr>
          <w:rFonts w:eastAsia="Times New Roman" w:cs="Calibri"/>
          <w:b/>
          <w:sz w:val="28"/>
        </w:rPr>
        <w:tab/>
        <w:t xml:space="preserve">Draft new Recommendation ITU-T </w:t>
      </w:r>
      <w:r w:rsidR="00004654" w:rsidRPr="00DB29C3">
        <w:rPr>
          <w:rFonts w:eastAsia="Times New Roman" w:cs="Calibri"/>
          <w:b/>
          <w:sz w:val="28"/>
        </w:rPr>
        <w:t>Y.4506 (ex Y.DRI-arch)</w:t>
      </w:r>
      <w:r w:rsidR="00572180" w:rsidRPr="00DB29C3">
        <w:rPr>
          <w:rFonts w:eastAsia="Times New Roman" w:cs="Calibri"/>
          <w:b/>
          <w:sz w:val="28"/>
        </w:rPr>
        <w:t xml:space="preserve">: </w:t>
      </w:r>
      <w:r w:rsidRPr="00DB29C3">
        <w:rPr>
          <w:rFonts w:eastAsia="Times New Roman" w:cs="Calibri"/>
          <w:b/>
          <w:sz w:val="28"/>
        </w:rPr>
        <w:t>[</w:t>
      </w:r>
      <w:hyperlink r:id="rId13" w:history="1">
        <w:r w:rsidR="00E609F7" w:rsidRPr="00DB29C3">
          <w:rPr>
            <w:rStyle w:val="Hyperlink"/>
            <w:rFonts w:eastAsia="Times New Roman" w:cs="Calibri"/>
            <w:b/>
            <w:sz w:val="28"/>
          </w:rPr>
          <w:t>R</w:t>
        </w:r>
        <w:r w:rsidR="00004654" w:rsidRPr="00DB29C3">
          <w:rPr>
            <w:rStyle w:val="Hyperlink"/>
            <w:rFonts w:eastAsia="Times New Roman" w:cs="Calibri"/>
            <w:b/>
            <w:sz w:val="28"/>
          </w:rPr>
          <w:t>21</w:t>
        </w:r>
      </w:hyperlink>
      <w:r w:rsidRPr="00DB29C3">
        <w:rPr>
          <w:rFonts w:eastAsia="Times New Roman" w:cs="Calibri"/>
          <w:b/>
          <w:sz w:val="28"/>
        </w:rPr>
        <w:t>]</w:t>
      </w:r>
    </w:p>
    <w:p w14:paraId="515B5B8D" w14:textId="77777777" w:rsidR="00004654" w:rsidRPr="00FE7B21" w:rsidRDefault="00004654" w:rsidP="00E17C88">
      <w:pPr>
        <w:ind w:left="1134" w:hanging="1134"/>
        <w:outlineLvl w:val="1"/>
        <w:rPr>
          <w:rFonts w:eastAsia="Times New Roman" w:cs="Calibri"/>
          <w:b/>
          <w:szCs w:val="24"/>
          <w:lang w:val="en-US"/>
        </w:rPr>
      </w:pPr>
      <w:r w:rsidRPr="00FE7B21">
        <w:rPr>
          <w:rFonts w:eastAsia="Times New Roman" w:cs="Calibri"/>
          <w:b/>
          <w:szCs w:val="24"/>
          <w:lang w:val="en-US"/>
        </w:rPr>
        <w:t>Reference architecture for the interworking of autonomous urban delivery robots</w:t>
      </w:r>
    </w:p>
    <w:p w14:paraId="00C6EBCA" w14:textId="3C02C564" w:rsidR="00B60460" w:rsidRPr="00962C21" w:rsidRDefault="00B60460" w:rsidP="00E17C88">
      <w:pPr>
        <w:ind w:left="1134" w:hanging="1134"/>
        <w:outlineLvl w:val="1"/>
        <w:rPr>
          <w:rFonts w:eastAsia="Times New Roman" w:cs="Calibri"/>
          <w:b/>
          <w:szCs w:val="24"/>
        </w:rPr>
      </w:pPr>
      <w:r w:rsidRPr="00FE7B21">
        <w:rPr>
          <w:rFonts w:eastAsia="Times New Roman" w:cs="Calibri"/>
          <w:b/>
          <w:szCs w:val="24"/>
        </w:rPr>
        <w:t>Summary</w:t>
      </w:r>
    </w:p>
    <w:p w14:paraId="3BA11487" w14:textId="77777777" w:rsidR="00004654" w:rsidRPr="00962C21" w:rsidRDefault="00004654" w:rsidP="00004654">
      <w:pPr>
        <w:tabs>
          <w:tab w:val="clear" w:pos="1191"/>
          <w:tab w:val="left" w:pos="0"/>
        </w:tabs>
        <w:outlineLvl w:val="0"/>
        <w:rPr>
          <w:rFonts w:eastAsia="Malgun Gothic" w:cs="Calibri"/>
          <w:iCs/>
          <w:lang w:eastAsia="ko-KR"/>
        </w:rPr>
      </w:pPr>
      <w:r w:rsidRPr="00962C21">
        <w:rPr>
          <w:rFonts w:eastAsia="Malgun Gothic" w:cs="Calibri"/>
          <w:iCs/>
          <w:lang w:eastAsia="ko-KR"/>
        </w:rPr>
        <w:t>This Recommendation defines the reference architecture for autonomous delivery robots based on Recommendation ITU-T Y.4607 that interwork with delivery robot service provider, user devices, and urban infrastructure to facilitate the delivery of goods without human intervention.</w:t>
      </w:r>
    </w:p>
    <w:p w14:paraId="3DCB5757" w14:textId="649C8E4A" w:rsidR="00B60460" w:rsidRPr="00DB29C3" w:rsidRDefault="00B60460" w:rsidP="00E17C88">
      <w:pPr>
        <w:spacing w:before="280"/>
        <w:ind w:left="1134" w:hanging="1134"/>
        <w:outlineLvl w:val="0"/>
        <w:rPr>
          <w:rFonts w:eastAsia="Times New Roman" w:cs="Calibri"/>
          <w:b/>
          <w:sz w:val="28"/>
          <w:lang w:val="fr-CH"/>
        </w:rPr>
      </w:pPr>
      <w:r w:rsidRPr="00DB29C3">
        <w:rPr>
          <w:rFonts w:eastAsia="Times New Roman" w:cs="Calibri"/>
          <w:b/>
          <w:sz w:val="28"/>
          <w:lang w:val="fr-CH"/>
        </w:rPr>
        <w:t>2</w:t>
      </w:r>
      <w:r w:rsidRPr="00DB29C3">
        <w:rPr>
          <w:rFonts w:eastAsia="Times New Roman" w:cs="Calibri"/>
          <w:b/>
          <w:sz w:val="28"/>
          <w:lang w:val="fr-CH"/>
        </w:rPr>
        <w:tab/>
        <w:t xml:space="preserve">Draft new </w:t>
      </w:r>
      <w:proofErr w:type="spellStart"/>
      <w:r w:rsidRPr="00DB29C3">
        <w:rPr>
          <w:rFonts w:eastAsia="Times New Roman" w:cs="Calibri"/>
          <w:b/>
          <w:sz w:val="28"/>
          <w:lang w:val="fr-CH"/>
        </w:rPr>
        <w:t>Recommendation</w:t>
      </w:r>
      <w:proofErr w:type="spellEnd"/>
      <w:r w:rsidRPr="00DB29C3">
        <w:rPr>
          <w:rFonts w:eastAsia="Times New Roman" w:cs="Calibri"/>
          <w:b/>
          <w:sz w:val="28"/>
          <w:lang w:val="fr-CH"/>
        </w:rPr>
        <w:t xml:space="preserve"> ITU-T </w:t>
      </w:r>
      <w:r w:rsidR="007A0BCB" w:rsidRPr="00DB29C3">
        <w:rPr>
          <w:rFonts w:eastAsia="Times New Roman" w:cs="Calibri"/>
          <w:b/>
          <w:sz w:val="28"/>
          <w:lang w:val="fr-CH"/>
        </w:rPr>
        <w:t xml:space="preserve">Y.4229 (ex </w:t>
      </w:r>
      <w:proofErr w:type="spellStart"/>
      <w:proofErr w:type="gramStart"/>
      <w:r w:rsidR="007A0BCB" w:rsidRPr="00DB29C3">
        <w:rPr>
          <w:rFonts w:eastAsia="Times New Roman" w:cs="Calibri"/>
          <w:b/>
          <w:sz w:val="28"/>
          <w:lang w:val="fr-CH"/>
        </w:rPr>
        <w:t>Y.IoT</w:t>
      </w:r>
      <w:proofErr w:type="spellEnd"/>
      <w:proofErr w:type="gramEnd"/>
      <w:r w:rsidR="007A0BCB" w:rsidRPr="00DB29C3">
        <w:rPr>
          <w:rFonts w:eastAsia="Times New Roman" w:cs="Calibri"/>
          <w:b/>
          <w:sz w:val="28"/>
          <w:lang w:val="fr-CH"/>
        </w:rPr>
        <w:t>-SFFS)</w:t>
      </w:r>
      <w:r w:rsidR="0054116D" w:rsidRPr="00DB29C3">
        <w:rPr>
          <w:rFonts w:eastAsia="Times New Roman" w:cs="Calibri"/>
          <w:b/>
          <w:sz w:val="28"/>
          <w:lang w:val="fr-CH"/>
        </w:rPr>
        <w:t>:</w:t>
      </w:r>
      <w:r w:rsidR="00572180" w:rsidRPr="00DB29C3">
        <w:rPr>
          <w:rFonts w:eastAsia="Times New Roman" w:cs="Calibri"/>
          <w:b/>
          <w:sz w:val="28"/>
          <w:lang w:val="fr-CH"/>
        </w:rPr>
        <w:t xml:space="preserve"> </w:t>
      </w:r>
      <w:r w:rsidRPr="00DB29C3">
        <w:rPr>
          <w:rFonts w:eastAsia="Times New Roman" w:cs="Calibri"/>
          <w:b/>
          <w:sz w:val="28"/>
          <w:lang w:val="fr-CH"/>
        </w:rPr>
        <w:t>[</w:t>
      </w:r>
      <w:hyperlink r:id="rId14" w:history="1">
        <w:r w:rsidR="007A0BCB" w:rsidRPr="00DB29C3">
          <w:rPr>
            <w:rStyle w:val="Hyperlink"/>
            <w:rFonts w:eastAsia="Times New Roman" w:cs="Calibri"/>
            <w:b/>
            <w:sz w:val="28"/>
            <w:lang w:val="fr-CH"/>
          </w:rPr>
          <w:t>R22</w:t>
        </w:r>
      </w:hyperlink>
      <w:r w:rsidRPr="00DB29C3">
        <w:rPr>
          <w:rFonts w:eastAsia="Times New Roman" w:cs="Calibri"/>
          <w:b/>
          <w:sz w:val="28"/>
          <w:lang w:val="fr-CH"/>
        </w:rPr>
        <w:t>]</w:t>
      </w:r>
    </w:p>
    <w:p w14:paraId="5F4E3CC8" w14:textId="77777777" w:rsidR="007A0BCB" w:rsidRPr="00962C21" w:rsidRDefault="007A0BCB" w:rsidP="007A0BCB">
      <w:pPr>
        <w:tabs>
          <w:tab w:val="clear" w:pos="1191"/>
        </w:tabs>
        <w:outlineLvl w:val="1"/>
        <w:rPr>
          <w:rFonts w:eastAsia="Times New Roman" w:cs="Calibri"/>
          <w:b/>
          <w:szCs w:val="24"/>
        </w:rPr>
      </w:pPr>
      <w:r w:rsidRPr="00962C21">
        <w:rPr>
          <w:rFonts w:eastAsia="Times New Roman" w:cs="Calibri"/>
          <w:b/>
          <w:szCs w:val="24"/>
        </w:rPr>
        <w:t>Requirements and reference functional model for an Internet of things-based smart forest firefighting system</w:t>
      </w:r>
    </w:p>
    <w:p w14:paraId="568FDECD" w14:textId="1F6E2355" w:rsidR="00B60460" w:rsidRPr="00962C21" w:rsidRDefault="00B60460" w:rsidP="00E17C88">
      <w:pPr>
        <w:ind w:left="1134" w:hanging="1134"/>
        <w:outlineLvl w:val="1"/>
        <w:rPr>
          <w:rFonts w:eastAsia="Times New Roman" w:cs="Calibri"/>
          <w:b/>
          <w:szCs w:val="24"/>
        </w:rPr>
      </w:pPr>
      <w:r w:rsidRPr="00962C21">
        <w:rPr>
          <w:rFonts w:eastAsia="Times New Roman" w:cs="Calibri"/>
          <w:b/>
          <w:szCs w:val="24"/>
        </w:rPr>
        <w:t>Summary</w:t>
      </w:r>
    </w:p>
    <w:p w14:paraId="6E2192B3" w14:textId="77777777" w:rsidR="007A0BCB" w:rsidRPr="00962C21" w:rsidRDefault="007A0BCB" w:rsidP="007A0BCB">
      <w:pPr>
        <w:jc w:val="both"/>
        <w:rPr>
          <w:rFonts w:cs="Calibri"/>
          <w:szCs w:val="24"/>
          <w:lang w:eastAsia="zh-CN"/>
        </w:rPr>
      </w:pPr>
      <w:bookmarkStart w:id="0" w:name="_Hlk53129002"/>
      <w:r w:rsidRPr="00962C21">
        <w:rPr>
          <w:rFonts w:cs="Calibri"/>
          <w:szCs w:val="24"/>
          <w:lang w:eastAsia="zh-CN"/>
        </w:rPr>
        <w:t>Recommendation Y.4229 introduces a smart forest firefighting system based on the Internet of things (IoT), for which it specifies a reference functional model and requirements. Recommendation Y.4229 is intended to guide the design, development and implementation of the IoT-based smart forest firefighting system.</w:t>
      </w:r>
    </w:p>
    <w:p w14:paraId="1905DA89" w14:textId="77777777" w:rsidR="007A0BCB" w:rsidRPr="00962C21" w:rsidRDefault="007A0BCB" w:rsidP="007A0BCB">
      <w:pPr>
        <w:jc w:val="both"/>
        <w:rPr>
          <w:rFonts w:cs="Calibri"/>
          <w:szCs w:val="24"/>
          <w:lang w:eastAsia="zh-CN"/>
        </w:rPr>
      </w:pPr>
      <w:r w:rsidRPr="00962C21">
        <w:rPr>
          <w:rFonts w:cs="Calibri"/>
          <w:szCs w:val="24"/>
          <w:lang w:eastAsia="zh-CN"/>
        </w:rPr>
        <w:t>The frequent occurrence of forest fires has become a world-class problem. Although many countries have invested a lot of money in numerous countermeasures, several challenges remain to be overcome. These challenges include the vastness of forest areas that cannot be fully monitored, and the incomplete network coverage of forests preventing efficient information transmission. Additionally, the performance of typical IoT devices often fails to meet the actual requirements of forest applications. There is also a lack of early warning systems for impending forest fires, which delays fire-extinguishing and rescue operations when fires occur, as well as a lack of adequate assessment and inspection of post-fire capabilities.</w:t>
      </w:r>
    </w:p>
    <w:p w14:paraId="29FCEF48" w14:textId="109D76D7" w:rsidR="007A0BCB" w:rsidRPr="00962C21" w:rsidRDefault="007A0BCB" w:rsidP="007A0BCB">
      <w:pPr>
        <w:jc w:val="both"/>
        <w:rPr>
          <w:rFonts w:cs="Calibri"/>
          <w:szCs w:val="24"/>
          <w:lang w:eastAsia="zh-CN"/>
        </w:rPr>
      </w:pPr>
      <w:r w:rsidRPr="00962C21">
        <w:rPr>
          <w:rFonts w:cs="Calibri"/>
          <w:szCs w:val="24"/>
          <w:lang w:eastAsia="zh-CN"/>
        </w:rPr>
        <w:t>With the development of IoT and artificial intelligence, forest-firefighting systems have become smarter. Smart forest firefighting systems are deployed in forest areas to enable real-time monitoring and early warning before forest fires occur. They can predict, locate, evaluate and extinguish fire when an outbreak occurs, and provide inspection and damage assessment after a fire.</w:t>
      </w:r>
    </w:p>
    <w:bookmarkEnd w:id="0"/>
    <w:p w14:paraId="1FEF0E59" w14:textId="28FB3832" w:rsidR="009D7100" w:rsidRPr="00DB29C3" w:rsidRDefault="009D7100" w:rsidP="00E17C88">
      <w:pPr>
        <w:spacing w:before="280"/>
        <w:ind w:left="1134" w:hanging="1134"/>
        <w:outlineLvl w:val="0"/>
        <w:rPr>
          <w:rFonts w:eastAsia="Times New Roman" w:cs="Calibri"/>
          <w:b/>
          <w:sz w:val="28"/>
        </w:rPr>
      </w:pPr>
      <w:r w:rsidRPr="00DB29C3">
        <w:rPr>
          <w:rFonts w:eastAsia="Times New Roman" w:cs="Calibri"/>
          <w:b/>
          <w:sz w:val="28"/>
        </w:rPr>
        <w:t>3</w:t>
      </w:r>
      <w:r w:rsidRPr="00DB29C3">
        <w:rPr>
          <w:rFonts w:eastAsia="Times New Roman" w:cs="Calibri"/>
          <w:b/>
          <w:sz w:val="28"/>
        </w:rPr>
        <w:tab/>
        <w:t xml:space="preserve">Draft new Recommendation ITU-T </w:t>
      </w:r>
      <w:r w:rsidR="00481662" w:rsidRPr="00962C21">
        <w:rPr>
          <w:rFonts w:eastAsia="Times New Roman" w:cs="Calibri"/>
          <w:b/>
          <w:sz w:val="28"/>
        </w:rPr>
        <w:t xml:space="preserve">Y.4230 (ex </w:t>
      </w:r>
      <w:proofErr w:type="gramStart"/>
      <w:r w:rsidR="00481662" w:rsidRPr="00962C21">
        <w:rPr>
          <w:rFonts w:eastAsia="Times New Roman" w:cs="Calibri"/>
          <w:b/>
          <w:sz w:val="28"/>
        </w:rPr>
        <w:t>Y.EV</w:t>
      </w:r>
      <w:proofErr w:type="gramEnd"/>
      <w:r w:rsidR="00481662" w:rsidRPr="00962C21">
        <w:rPr>
          <w:rFonts w:eastAsia="Times New Roman" w:cs="Calibri"/>
          <w:b/>
          <w:sz w:val="28"/>
        </w:rPr>
        <w:t>-charging)</w:t>
      </w:r>
      <w:r w:rsidR="0054116D" w:rsidRPr="00DB29C3">
        <w:rPr>
          <w:rFonts w:eastAsia="Times New Roman" w:cs="Calibri"/>
          <w:b/>
          <w:sz w:val="28"/>
        </w:rPr>
        <w:t>:</w:t>
      </w:r>
      <w:r w:rsidRPr="00DB29C3">
        <w:rPr>
          <w:rFonts w:eastAsia="Times New Roman" w:cs="Calibri"/>
          <w:b/>
          <w:sz w:val="28"/>
        </w:rPr>
        <w:t xml:space="preserve"> [</w:t>
      </w:r>
      <w:hyperlink r:id="rId15" w:history="1">
        <w:r w:rsidR="00481662" w:rsidRPr="00DB29C3">
          <w:rPr>
            <w:rStyle w:val="Hyperlink"/>
            <w:rFonts w:eastAsia="Times New Roman" w:cs="Calibri"/>
            <w:b/>
            <w:sz w:val="28"/>
          </w:rPr>
          <w:t>R23</w:t>
        </w:r>
      </w:hyperlink>
      <w:r w:rsidRPr="00DB29C3">
        <w:rPr>
          <w:rFonts w:eastAsia="Times New Roman" w:cs="Calibri"/>
          <w:b/>
          <w:sz w:val="28"/>
        </w:rPr>
        <w:t>]</w:t>
      </w:r>
    </w:p>
    <w:p w14:paraId="62BCE464" w14:textId="77777777" w:rsidR="00481662" w:rsidRPr="00481662" w:rsidRDefault="00481662" w:rsidP="00481662">
      <w:pPr>
        <w:ind w:left="1134" w:hanging="1134"/>
        <w:outlineLvl w:val="1"/>
        <w:rPr>
          <w:rFonts w:eastAsia="Times New Roman" w:cs="Calibri"/>
          <w:b/>
          <w:bCs/>
        </w:rPr>
      </w:pPr>
      <w:r w:rsidRPr="00481662">
        <w:rPr>
          <w:rFonts w:eastAsia="Times New Roman" w:cs="Calibri"/>
          <w:b/>
          <w:bCs/>
        </w:rPr>
        <w:t>Requirements and capability framework for a public smart charging service for electric vehicles</w:t>
      </w:r>
    </w:p>
    <w:p w14:paraId="545DCA18" w14:textId="1A0DB737" w:rsidR="009D7100" w:rsidRPr="00962C21" w:rsidRDefault="009D7100" w:rsidP="00E17C88">
      <w:pPr>
        <w:ind w:left="1134" w:hanging="1134"/>
        <w:outlineLvl w:val="1"/>
        <w:rPr>
          <w:rFonts w:eastAsia="Times New Roman" w:cs="Calibri"/>
          <w:b/>
        </w:rPr>
      </w:pPr>
      <w:r w:rsidRPr="00962C21">
        <w:rPr>
          <w:rFonts w:eastAsia="Times New Roman" w:cs="Calibri"/>
          <w:b/>
        </w:rPr>
        <w:t>Summary</w:t>
      </w:r>
    </w:p>
    <w:p w14:paraId="0BCE862A" w14:textId="77777777" w:rsidR="00481662" w:rsidRPr="00481662" w:rsidRDefault="00481662" w:rsidP="00481662">
      <w:pPr>
        <w:jc w:val="both"/>
        <w:rPr>
          <w:rFonts w:cs="Calibri"/>
          <w:noProof/>
        </w:rPr>
      </w:pPr>
      <w:r w:rsidRPr="00481662">
        <w:rPr>
          <w:rFonts w:cs="Calibri"/>
          <w:noProof/>
        </w:rPr>
        <w:t xml:space="preserve">With the rapid increase in public usage of electric vehicles (EVs) in the city, more and more EV users require public charging services. Therefore, a public smart charging service for EVs is a future development direction and it is an important part of a smart city. Compared with a traditional charging service, a public smart charging service has the advantage of a highly networked and digitized system, as well as being flexible and convenient with intelligent management of electric </w:t>
      </w:r>
      <w:r w:rsidRPr="00481662">
        <w:rPr>
          <w:rFonts w:cs="Calibri"/>
          <w:noProof/>
        </w:rPr>
        <w:lastRenderedPageBreak/>
        <w:t xml:space="preserve">power. The public smart charging service will be implemented on smart city infrastructure and will be indispensable for smart cities in the future. </w:t>
      </w:r>
    </w:p>
    <w:p w14:paraId="0CFD9E6D" w14:textId="77777777" w:rsidR="00481662" w:rsidRPr="00481662" w:rsidRDefault="00481662" w:rsidP="00481662">
      <w:pPr>
        <w:jc w:val="both"/>
        <w:rPr>
          <w:rFonts w:cs="Calibri"/>
          <w:noProof/>
        </w:rPr>
      </w:pPr>
      <w:r w:rsidRPr="00481662">
        <w:rPr>
          <w:rFonts w:cs="Calibri"/>
          <w:noProof/>
        </w:rPr>
        <w:t xml:space="preserve">This Recommendation specifies the requirements and capability framework for a public smart charging service for EVs, to optimize the EV charging service process and improve the EV charging service experience of EV users. </w:t>
      </w:r>
    </w:p>
    <w:p w14:paraId="173A1315" w14:textId="3B9D6E0A" w:rsidR="009D7100" w:rsidRPr="00962C21" w:rsidRDefault="009D7100" w:rsidP="00E17C88">
      <w:pPr>
        <w:jc w:val="both"/>
        <w:rPr>
          <w:rFonts w:eastAsia="Times New Roman" w:cs="Calibri"/>
          <w:b/>
          <w:sz w:val="28"/>
          <w:lang w:val="fr-CH"/>
        </w:rPr>
      </w:pPr>
      <w:r w:rsidRPr="00962C21">
        <w:rPr>
          <w:rFonts w:eastAsia="Times New Roman" w:cs="Calibri"/>
          <w:b/>
          <w:sz w:val="28"/>
          <w:lang w:val="fr-CH"/>
        </w:rPr>
        <w:t>4</w:t>
      </w:r>
      <w:r w:rsidRPr="00962C21">
        <w:rPr>
          <w:rFonts w:eastAsia="Times New Roman" w:cs="Calibri"/>
          <w:b/>
          <w:sz w:val="28"/>
          <w:lang w:val="fr-CH"/>
        </w:rPr>
        <w:tab/>
        <w:t xml:space="preserve">Draft new </w:t>
      </w:r>
      <w:proofErr w:type="spellStart"/>
      <w:r w:rsidRPr="00962C21">
        <w:rPr>
          <w:rFonts w:eastAsia="Times New Roman" w:cs="Calibri"/>
          <w:b/>
          <w:sz w:val="28"/>
          <w:lang w:val="fr-CH"/>
        </w:rPr>
        <w:t>Recommendation</w:t>
      </w:r>
      <w:proofErr w:type="spellEnd"/>
      <w:r w:rsidRPr="00962C21">
        <w:rPr>
          <w:rFonts w:eastAsia="Times New Roman" w:cs="Calibri"/>
          <w:b/>
          <w:sz w:val="28"/>
          <w:lang w:val="fr-CH"/>
        </w:rPr>
        <w:t xml:space="preserve"> ITU-T </w:t>
      </w:r>
      <w:r w:rsidR="007C69E5" w:rsidRPr="00DB29C3">
        <w:rPr>
          <w:rFonts w:cs="Calibri"/>
          <w:b/>
          <w:bCs/>
          <w:sz w:val="28"/>
          <w:szCs w:val="28"/>
          <w:lang w:val="fr-CH" w:eastAsia="zh-CN"/>
        </w:rPr>
        <w:t xml:space="preserve">Y.4231 (ex </w:t>
      </w:r>
      <w:proofErr w:type="spellStart"/>
      <w:proofErr w:type="gramStart"/>
      <w:r w:rsidR="007C69E5" w:rsidRPr="00DB29C3">
        <w:rPr>
          <w:rFonts w:cs="Calibri"/>
          <w:b/>
          <w:bCs/>
          <w:sz w:val="28"/>
          <w:szCs w:val="28"/>
          <w:lang w:val="fr-CH" w:eastAsia="zh-CN"/>
        </w:rPr>
        <w:t>Y.IoT</w:t>
      </w:r>
      <w:proofErr w:type="gramEnd"/>
      <w:r w:rsidR="007C69E5" w:rsidRPr="00DB29C3">
        <w:rPr>
          <w:rFonts w:cs="Calibri"/>
          <w:b/>
          <w:bCs/>
          <w:sz w:val="28"/>
          <w:szCs w:val="28"/>
          <w:lang w:val="fr-CH" w:eastAsia="zh-CN"/>
        </w:rPr>
        <w:t>-Vreqs</w:t>
      </w:r>
      <w:proofErr w:type="spellEnd"/>
      <w:r w:rsidR="007C69E5" w:rsidRPr="00DB29C3">
        <w:rPr>
          <w:rFonts w:cs="Calibri"/>
          <w:b/>
          <w:bCs/>
          <w:sz w:val="28"/>
          <w:szCs w:val="28"/>
          <w:lang w:val="fr-CH" w:eastAsia="zh-CN"/>
        </w:rPr>
        <w:t>)</w:t>
      </w:r>
      <w:r w:rsidR="0054116D" w:rsidRPr="00962C21">
        <w:rPr>
          <w:rFonts w:eastAsia="Times New Roman" w:cs="Calibri"/>
          <w:b/>
          <w:sz w:val="28"/>
          <w:lang w:val="fr-CH"/>
        </w:rPr>
        <w:t>:</w:t>
      </w:r>
      <w:r w:rsidR="00A256EF" w:rsidRPr="00962C21">
        <w:rPr>
          <w:rFonts w:eastAsia="Times New Roman" w:cs="Calibri"/>
          <w:b/>
          <w:sz w:val="28"/>
          <w:lang w:val="fr-CH"/>
        </w:rPr>
        <w:t xml:space="preserve"> </w:t>
      </w:r>
      <w:r w:rsidRPr="00962C21">
        <w:rPr>
          <w:rFonts w:eastAsia="Times New Roman" w:cs="Calibri"/>
          <w:b/>
          <w:sz w:val="28"/>
          <w:lang w:val="fr-CH"/>
        </w:rPr>
        <w:t>[</w:t>
      </w:r>
      <w:hyperlink r:id="rId16" w:history="1">
        <w:r w:rsidR="007C69E5" w:rsidRPr="004638E2">
          <w:rPr>
            <w:rStyle w:val="Hyperlink"/>
            <w:rFonts w:eastAsia="Times New Roman" w:cs="Calibri"/>
            <w:b/>
            <w:sz w:val="28"/>
            <w:lang w:val="fr-CH"/>
          </w:rPr>
          <w:t>R24</w:t>
        </w:r>
      </w:hyperlink>
      <w:r w:rsidRPr="00962C21">
        <w:rPr>
          <w:rFonts w:eastAsia="Times New Roman" w:cs="Calibri"/>
          <w:b/>
          <w:sz w:val="28"/>
          <w:lang w:val="fr-CH"/>
        </w:rPr>
        <w:t>]</w:t>
      </w:r>
    </w:p>
    <w:p w14:paraId="33E390AF" w14:textId="77777777" w:rsidR="007C69E5" w:rsidRPr="007C69E5" w:rsidRDefault="007C69E5" w:rsidP="007C69E5">
      <w:pPr>
        <w:ind w:left="1134" w:hanging="1134"/>
        <w:outlineLvl w:val="1"/>
        <w:rPr>
          <w:rFonts w:eastAsia="Times New Roman" w:cs="Calibri"/>
          <w:b/>
          <w:bCs/>
        </w:rPr>
      </w:pPr>
      <w:r w:rsidRPr="007C69E5">
        <w:rPr>
          <w:rFonts w:eastAsia="Times New Roman" w:cs="Calibri"/>
          <w:b/>
          <w:bCs/>
        </w:rPr>
        <w:t>Requirements and capability framework of the Internet of things for vision</w:t>
      </w:r>
    </w:p>
    <w:p w14:paraId="1629A0A5" w14:textId="1A1B7799" w:rsidR="009D7100" w:rsidRPr="00962C21" w:rsidRDefault="009D7100" w:rsidP="00E17C88">
      <w:pPr>
        <w:ind w:left="1134" w:hanging="1134"/>
        <w:outlineLvl w:val="1"/>
        <w:rPr>
          <w:rFonts w:eastAsia="Times New Roman" w:cs="Calibri"/>
          <w:b/>
        </w:rPr>
      </w:pPr>
      <w:r w:rsidRPr="00962C21">
        <w:rPr>
          <w:rFonts w:eastAsia="Times New Roman" w:cs="Calibri"/>
          <w:b/>
        </w:rPr>
        <w:t>Summary</w:t>
      </w:r>
    </w:p>
    <w:p w14:paraId="20C29BB0" w14:textId="77777777" w:rsidR="007C69E5" w:rsidRPr="007C69E5" w:rsidRDefault="007C69E5" w:rsidP="00C309F6">
      <w:pPr>
        <w:outlineLvl w:val="0"/>
        <w:rPr>
          <w:rFonts w:eastAsia="SimSun" w:cs="Calibri"/>
          <w:lang w:eastAsia="zh-CN"/>
        </w:rPr>
      </w:pPr>
      <w:r w:rsidRPr="007C69E5">
        <w:rPr>
          <w:rFonts w:eastAsia="SimSun" w:cs="Calibri"/>
          <w:lang w:eastAsia="zh-CN"/>
        </w:rPr>
        <w:t>This Recommendation provides requirements and capability framework of the Internet of things (IoT) for vision, a typical IoT for vision application workflow as well as some relevant IoT for vision use cases.</w:t>
      </w:r>
    </w:p>
    <w:p w14:paraId="64DB7C1D" w14:textId="77777777" w:rsidR="007C69E5" w:rsidRPr="007C69E5" w:rsidRDefault="007C69E5" w:rsidP="00C309F6">
      <w:pPr>
        <w:outlineLvl w:val="0"/>
        <w:rPr>
          <w:rFonts w:eastAsia="SimSun" w:cs="Calibri"/>
          <w:lang w:eastAsia="zh-CN"/>
        </w:rPr>
      </w:pPr>
      <w:r w:rsidRPr="007C69E5">
        <w:rPr>
          <w:rFonts w:eastAsia="SimSun" w:cs="Calibri"/>
          <w:lang w:eastAsia="zh-CN"/>
        </w:rPr>
        <w:t xml:space="preserve">With the popularization and development of smart cities and numerous IoT based verticals, the connotation of the Internet of things (IoT) is expanding and is no longer limited to simple sensor data collection and discrimination. </w:t>
      </w:r>
    </w:p>
    <w:p w14:paraId="533541D2" w14:textId="77777777" w:rsidR="007C69E5" w:rsidRPr="007C69E5" w:rsidRDefault="007C69E5" w:rsidP="00C309F6">
      <w:pPr>
        <w:outlineLvl w:val="0"/>
        <w:rPr>
          <w:rFonts w:eastAsia="SimSun" w:cs="Calibri"/>
          <w:lang w:eastAsia="zh-CN"/>
        </w:rPr>
      </w:pPr>
      <w:r w:rsidRPr="007C69E5">
        <w:rPr>
          <w:rFonts w:eastAsia="SimSun" w:cs="Calibri"/>
          <w:lang w:eastAsia="zh-CN"/>
        </w:rPr>
        <w:t xml:space="preserve">The IoT for vision is one of the main development directions of the IoT which uses digital cameras and other types of sensors to perceive objects of interest (including human beings, vehicles, animals, etc.) for diverse applications based on appropriate analysis.  </w:t>
      </w:r>
    </w:p>
    <w:p w14:paraId="6FF1E678" w14:textId="4EBAE10F" w:rsidR="009D7100" w:rsidRPr="00962C21" w:rsidRDefault="009D7100" w:rsidP="00E17C88">
      <w:pPr>
        <w:spacing w:before="280"/>
        <w:ind w:left="1134" w:hanging="1134"/>
        <w:outlineLvl w:val="0"/>
        <w:rPr>
          <w:rFonts w:eastAsia="Times New Roman" w:cs="Calibri"/>
          <w:b/>
          <w:sz w:val="28"/>
          <w:lang w:val="fr-CH"/>
        </w:rPr>
      </w:pPr>
      <w:r w:rsidRPr="00962C21">
        <w:rPr>
          <w:rFonts w:eastAsia="Times New Roman" w:cs="Calibri"/>
          <w:b/>
          <w:sz w:val="28"/>
          <w:lang w:val="fr-CH"/>
        </w:rPr>
        <w:t>5</w:t>
      </w:r>
      <w:r w:rsidRPr="00962C21">
        <w:rPr>
          <w:rFonts w:eastAsia="Times New Roman" w:cs="Calibri"/>
          <w:b/>
          <w:sz w:val="28"/>
          <w:lang w:val="fr-CH"/>
        </w:rPr>
        <w:tab/>
        <w:t xml:space="preserve">Draft new </w:t>
      </w:r>
      <w:proofErr w:type="spellStart"/>
      <w:r w:rsidRPr="00962C21">
        <w:rPr>
          <w:rFonts w:eastAsia="Times New Roman" w:cs="Calibri"/>
          <w:b/>
          <w:sz w:val="28"/>
          <w:lang w:val="fr-CH"/>
        </w:rPr>
        <w:t>Recommendation</w:t>
      </w:r>
      <w:proofErr w:type="spellEnd"/>
      <w:r w:rsidRPr="00962C21">
        <w:rPr>
          <w:rFonts w:eastAsia="Times New Roman" w:cs="Calibri"/>
          <w:b/>
          <w:sz w:val="28"/>
          <w:lang w:val="fr-CH"/>
        </w:rPr>
        <w:t xml:space="preserve"> ITU-T </w:t>
      </w:r>
      <w:r w:rsidR="00C309F6" w:rsidRPr="00962C21">
        <w:rPr>
          <w:rFonts w:eastAsia="Times New Roman" w:cs="Calibri"/>
          <w:b/>
          <w:sz w:val="28"/>
          <w:lang w:val="fr-CH"/>
        </w:rPr>
        <w:t xml:space="preserve">Y.4232 (ex </w:t>
      </w:r>
      <w:proofErr w:type="spellStart"/>
      <w:proofErr w:type="gramStart"/>
      <w:r w:rsidR="00C309F6" w:rsidRPr="00962C21">
        <w:rPr>
          <w:rFonts w:eastAsia="Times New Roman" w:cs="Calibri"/>
          <w:b/>
          <w:sz w:val="28"/>
          <w:lang w:val="fr-CH"/>
        </w:rPr>
        <w:t>Y.IoT</w:t>
      </w:r>
      <w:proofErr w:type="spellEnd"/>
      <w:proofErr w:type="gramEnd"/>
      <w:r w:rsidR="00C309F6" w:rsidRPr="00962C21">
        <w:rPr>
          <w:rFonts w:eastAsia="Times New Roman" w:cs="Calibri"/>
          <w:b/>
          <w:sz w:val="28"/>
          <w:lang w:val="fr-CH"/>
        </w:rPr>
        <w:t>-RTPS)</w:t>
      </w:r>
      <w:r w:rsidR="0054116D" w:rsidRPr="00962C21">
        <w:rPr>
          <w:rFonts w:eastAsia="Times New Roman" w:cs="Calibri"/>
          <w:b/>
          <w:sz w:val="28"/>
          <w:lang w:val="fr-CH"/>
        </w:rPr>
        <w:t>:</w:t>
      </w:r>
      <w:r w:rsidR="0024614D" w:rsidRPr="00962C21">
        <w:rPr>
          <w:rFonts w:eastAsia="Times New Roman" w:cs="Calibri"/>
          <w:b/>
          <w:sz w:val="28"/>
          <w:lang w:val="fr-CH"/>
        </w:rPr>
        <w:t xml:space="preserve"> </w:t>
      </w:r>
      <w:r w:rsidRPr="00962C21">
        <w:rPr>
          <w:rFonts w:eastAsia="Times New Roman" w:cs="Calibri"/>
          <w:b/>
          <w:sz w:val="28"/>
          <w:lang w:val="fr-CH"/>
        </w:rPr>
        <w:t>[</w:t>
      </w:r>
      <w:hyperlink r:id="rId17" w:history="1">
        <w:r w:rsidR="00C309F6" w:rsidRPr="004638E2">
          <w:rPr>
            <w:rStyle w:val="Hyperlink"/>
            <w:rFonts w:eastAsia="Times New Roman" w:cs="Calibri"/>
            <w:b/>
            <w:sz w:val="28"/>
            <w:lang w:val="fr-CH"/>
          </w:rPr>
          <w:t>R25</w:t>
        </w:r>
      </w:hyperlink>
      <w:r w:rsidRPr="00962C21">
        <w:rPr>
          <w:rFonts w:eastAsia="Times New Roman" w:cs="Calibri"/>
          <w:b/>
          <w:sz w:val="28"/>
          <w:lang w:val="fr-CH"/>
        </w:rPr>
        <w:t>]</w:t>
      </w:r>
    </w:p>
    <w:p w14:paraId="50CA47CB" w14:textId="43D0F2FF" w:rsidR="00DF272D" w:rsidRPr="00962C21" w:rsidRDefault="00C309F6" w:rsidP="00C309F6">
      <w:pPr>
        <w:tabs>
          <w:tab w:val="clear" w:pos="1191"/>
          <w:tab w:val="left" w:pos="0"/>
        </w:tabs>
        <w:outlineLvl w:val="1"/>
        <w:rPr>
          <w:rFonts w:eastAsia="Times New Roman" w:cs="Calibri"/>
          <w:b/>
          <w:bCs/>
          <w:lang w:val="en-US"/>
        </w:rPr>
      </w:pPr>
      <w:r w:rsidRPr="00962C21">
        <w:rPr>
          <w:rFonts w:eastAsia="Times New Roman" w:cs="Calibri"/>
          <w:b/>
          <w:bCs/>
        </w:rPr>
        <w:t>Requirements, capabilities and use cases of Internet of things infrastructures in roadside traffic perception system</w:t>
      </w:r>
    </w:p>
    <w:p w14:paraId="247E4807" w14:textId="1AF1FED7" w:rsidR="009D7100" w:rsidRPr="00962C21" w:rsidRDefault="009D7100" w:rsidP="00E17C88">
      <w:pPr>
        <w:ind w:left="1134" w:hanging="1134"/>
        <w:outlineLvl w:val="1"/>
        <w:rPr>
          <w:rFonts w:eastAsia="Times New Roman" w:cs="Calibri"/>
          <w:b/>
        </w:rPr>
      </w:pPr>
      <w:r w:rsidRPr="00962C21">
        <w:rPr>
          <w:rFonts w:eastAsia="Times New Roman" w:cs="Calibri"/>
          <w:b/>
        </w:rPr>
        <w:t>Summary</w:t>
      </w:r>
    </w:p>
    <w:p w14:paraId="3B1FFB2A" w14:textId="77777777" w:rsidR="00C309F6" w:rsidRPr="00962C21" w:rsidRDefault="00C309F6" w:rsidP="00C309F6">
      <w:pPr>
        <w:tabs>
          <w:tab w:val="clear" w:pos="1191"/>
          <w:tab w:val="left" w:pos="0"/>
        </w:tabs>
        <w:outlineLvl w:val="0"/>
        <w:rPr>
          <w:rFonts w:eastAsia="SimSun" w:cs="Calibri"/>
          <w:iCs/>
          <w:lang w:eastAsia="ko-KR"/>
        </w:rPr>
      </w:pPr>
      <w:r w:rsidRPr="00962C21">
        <w:rPr>
          <w:rFonts w:eastAsia="SimSun" w:cs="Calibri"/>
          <w:iCs/>
          <w:lang w:eastAsia="ko-KR"/>
        </w:rPr>
        <w:t xml:space="preserve">The roadside traffic perception system (RTPS), is a system composed of Internet of things (IoT) infrastructures, including sensing devices, cloud facilities, intelligent traffic lights and smart traffic signs. By utilizing IoT technologies, the roadside traffic perception system can enhance traffic safety and efficiency with the capabilities of its components.  </w:t>
      </w:r>
    </w:p>
    <w:p w14:paraId="32E8BA6F" w14:textId="77777777" w:rsidR="00C309F6" w:rsidRPr="00962C21" w:rsidRDefault="00C309F6" w:rsidP="00C309F6">
      <w:pPr>
        <w:tabs>
          <w:tab w:val="clear" w:pos="1191"/>
          <w:tab w:val="left" w:pos="0"/>
        </w:tabs>
        <w:outlineLvl w:val="0"/>
        <w:rPr>
          <w:rFonts w:eastAsia="SimSun" w:cs="Calibri"/>
          <w:iCs/>
          <w:lang w:eastAsia="ko-KR"/>
        </w:rPr>
      </w:pPr>
      <w:r w:rsidRPr="00962C21">
        <w:rPr>
          <w:rFonts w:eastAsia="SimSun" w:cs="Calibri"/>
          <w:iCs/>
          <w:lang w:eastAsia="ko-KR"/>
        </w:rPr>
        <w:t xml:space="preserve">To enhance traffic safety and efficiency, IoT infrastructures in RTPS need to collaborate with each other using IoT technologies. Recommendation ITU-T Y.4232 therefore presents common and specific requirements and capabilities for IoT infrastructures. Use cases of RTPS are also given in the appendix. </w:t>
      </w:r>
    </w:p>
    <w:p w14:paraId="2FF7A9EA" w14:textId="2D4EF6C8" w:rsidR="009D7100" w:rsidRPr="00DB29C3" w:rsidRDefault="009D7100" w:rsidP="00C309F6">
      <w:pPr>
        <w:spacing w:before="280"/>
        <w:ind w:left="1134" w:hanging="1134"/>
        <w:outlineLvl w:val="0"/>
        <w:rPr>
          <w:rFonts w:eastAsia="Times New Roman" w:cs="Calibri"/>
          <w:b/>
          <w:sz w:val="28"/>
          <w:lang w:val="fr-CH"/>
        </w:rPr>
      </w:pPr>
      <w:r w:rsidRPr="00DB29C3">
        <w:rPr>
          <w:rFonts w:eastAsia="Times New Roman" w:cs="Calibri"/>
          <w:b/>
          <w:sz w:val="28"/>
          <w:lang w:val="fr-CH"/>
        </w:rPr>
        <w:t>6</w:t>
      </w:r>
      <w:r w:rsidRPr="00DB29C3">
        <w:rPr>
          <w:rFonts w:eastAsia="Times New Roman" w:cs="Calibri"/>
          <w:b/>
          <w:sz w:val="28"/>
          <w:lang w:val="fr-CH"/>
        </w:rPr>
        <w:tab/>
        <w:t xml:space="preserve">Draft new </w:t>
      </w:r>
      <w:proofErr w:type="spellStart"/>
      <w:r w:rsidRPr="00DB29C3">
        <w:rPr>
          <w:rFonts w:eastAsia="Times New Roman" w:cs="Calibri"/>
          <w:b/>
          <w:sz w:val="28"/>
          <w:lang w:val="fr-CH"/>
        </w:rPr>
        <w:t>Recommendation</w:t>
      </w:r>
      <w:proofErr w:type="spellEnd"/>
      <w:r w:rsidRPr="00DB29C3">
        <w:rPr>
          <w:rFonts w:eastAsia="Times New Roman" w:cs="Calibri"/>
          <w:b/>
          <w:sz w:val="28"/>
          <w:lang w:val="fr-CH"/>
        </w:rPr>
        <w:t xml:space="preserve"> ITU-T </w:t>
      </w:r>
      <w:r w:rsidR="00C309F6" w:rsidRPr="00DB29C3">
        <w:rPr>
          <w:rFonts w:eastAsia="Times New Roman" w:cs="Calibri"/>
          <w:b/>
          <w:sz w:val="28"/>
          <w:lang w:val="fr-CH"/>
        </w:rPr>
        <w:t xml:space="preserve">Y.4233 (ex </w:t>
      </w:r>
      <w:proofErr w:type="gramStart"/>
      <w:r w:rsidR="00C309F6" w:rsidRPr="00DB29C3">
        <w:rPr>
          <w:rFonts w:eastAsia="Times New Roman" w:cs="Calibri"/>
          <w:b/>
          <w:sz w:val="28"/>
          <w:lang w:val="fr-CH"/>
        </w:rPr>
        <w:t>Y.FSPH</w:t>
      </w:r>
      <w:proofErr w:type="gramEnd"/>
      <w:r w:rsidR="00C309F6" w:rsidRPr="00DB29C3">
        <w:rPr>
          <w:rFonts w:eastAsia="Times New Roman" w:cs="Calibri"/>
          <w:b/>
          <w:sz w:val="28"/>
          <w:lang w:val="fr-CH"/>
        </w:rPr>
        <w:t>)</w:t>
      </w:r>
      <w:r w:rsidR="0054116D" w:rsidRPr="00DB29C3">
        <w:rPr>
          <w:rFonts w:eastAsia="Times New Roman" w:cs="Calibri"/>
          <w:b/>
          <w:sz w:val="28"/>
          <w:lang w:val="fr-CH"/>
        </w:rPr>
        <w:t>:</w:t>
      </w:r>
      <w:r w:rsidR="0024614D" w:rsidRPr="00DB29C3">
        <w:rPr>
          <w:rFonts w:eastAsia="Times New Roman" w:cs="Calibri"/>
          <w:b/>
          <w:sz w:val="28"/>
          <w:lang w:val="fr-CH"/>
        </w:rPr>
        <w:t xml:space="preserve"> </w:t>
      </w:r>
      <w:r w:rsidRPr="00DB29C3">
        <w:rPr>
          <w:rFonts w:eastAsia="Times New Roman" w:cs="Calibri"/>
          <w:b/>
          <w:sz w:val="28"/>
          <w:lang w:val="fr-CH"/>
        </w:rPr>
        <w:t>[</w:t>
      </w:r>
      <w:hyperlink r:id="rId18" w:history="1">
        <w:r w:rsidR="00C309F6" w:rsidRPr="00DB29C3">
          <w:rPr>
            <w:rStyle w:val="Hyperlink"/>
            <w:rFonts w:eastAsia="Times New Roman" w:cs="Calibri"/>
            <w:b/>
            <w:sz w:val="28"/>
            <w:lang w:val="fr-CH"/>
          </w:rPr>
          <w:t>R26</w:t>
        </w:r>
      </w:hyperlink>
      <w:r w:rsidRPr="00DB29C3">
        <w:rPr>
          <w:rFonts w:eastAsia="Times New Roman" w:cs="Calibri"/>
          <w:b/>
          <w:sz w:val="28"/>
          <w:lang w:val="fr-CH"/>
        </w:rPr>
        <w:t>]</w:t>
      </w:r>
    </w:p>
    <w:p w14:paraId="6F7BE442" w14:textId="77777777" w:rsidR="00C309F6" w:rsidRPr="00962C21" w:rsidRDefault="00C309F6" w:rsidP="00E17C88">
      <w:pPr>
        <w:ind w:left="1134" w:hanging="1134"/>
        <w:outlineLvl w:val="1"/>
        <w:rPr>
          <w:rFonts w:eastAsia="Times New Roman" w:cs="Calibri"/>
          <w:b/>
          <w:bCs/>
        </w:rPr>
      </w:pPr>
      <w:r w:rsidRPr="00962C21">
        <w:rPr>
          <w:rFonts w:eastAsia="Times New Roman" w:cs="Calibri"/>
          <w:b/>
          <w:bCs/>
        </w:rPr>
        <w:t>Framework for smart public health emergency management in smart and sustainable cities</w:t>
      </w:r>
    </w:p>
    <w:p w14:paraId="2BCA2036" w14:textId="19731867" w:rsidR="009D7100" w:rsidRPr="00962C21" w:rsidRDefault="009D7100" w:rsidP="00E17C88">
      <w:pPr>
        <w:ind w:left="1134" w:hanging="1134"/>
        <w:outlineLvl w:val="1"/>
        <w:rPr>
          <w:rFonts w:eastAsia="Times New Roman" w:cs="Calibri"/>
          <w:b/>
        </w:rPr>
      </w:pPr>
      <w:r w:rsidRPr="00962C21">
        <w:rPr>
          <w:rFonts w:eastAsia="Times New Roman" w:cs="Calibri"/>
          <w:b/>
        </w:rPr>
        <w:t>Summary</w:t>
      </w:r>
    </w:p>
    <w:p w14:paraId="6B76999D" w14:textId="77777777" w:rsidR="00C309F6" w:rsidRPr="00962C21" w:rsidRDefault="00C309F6" w:rsidP="00C309F6">
      <w:pPr>
        <w:jc w:val="both"/>
        <w:rPr>
          <w:rFonts w:cs="Calibri"/>
          <w:lang w:eastAsia="zh-CN"/>
        </w:rPr>
      </w:pPr>
      <w:r w:rsidRPr="00962C21">
        <w:rPr>
          <w:rFonts w:cs="Calibri"/>
          <w:lang w:eastAsia="zh-CN"/>
        </w:rPr>
        <w:t>This Recommendation specifies the framework of smart public health management in smart and sustainable cities (SSCs).</w:t>
      </w:r>
    </w:p>
    <w:p w14:paraId="3FF00C47" w14:textId="77777777" w:rsidR="00C309F6" w:rsidRPr="00962C21" w:rsidRDefault="00C309F6" w:rsidP="00C309F6">
      <w:pPr>
        <w:jc w:val="both"/>
        <w:rPr>
          <w:rFonts w:cs="Calibri"/>
          <w:lang w:eastAsia="zh-CN"/>
        </w:rPr>
      </w:pPr>
      <w:r w:rsidRPr="00962C21">
        <w:rPr>
          <w:rFonts w:cs="Calibri"/>
          <w:lang w:eastAsia="zh-CN"/>
        </w:rPr>
        <w:t xml:space="preserve">SSCs are capable of fostering data-driven smart applications to manage limited resources and implement them to thwart the advent of future pandemics of a similar magnitude to the COVID-19 pandemic. Linking SSCs with public health frameworks to manage future pandemics and epidemics and to the attainment of the SDGs (SDG 3: Global Health, SDG 1: Poverty Eradication and SDG 11: Make cities inclusive, safe, resilient, and sustainable), and to the Sendai Framework for Disaster Risk Reduction is a challenge and serves a dual purpose. With the utilization of appropriate emergency communication and public health frameworks, it will become easier to develop models to predict the spread of diseases, ascertain the source of illnesses, coordinate lockdowns, detect and report </w:t>
      </w:r>
      <w:r w:rsidRPr="00962C21">
        <w:rPr>
          <w:rFonts w:cs="Calibri"/>
          <w:lang w:eastAsia="zh-CN"/>
        </w:rPr>
        <w:lastRenderedPageBreak/>
        <w:t>symptoms, identify viral strains and provide remote assistance as required with limited human interaction, through an infrastructure based on the Internet of Things.</w:t>
      </w:r>
    </w:p>
    <w:p w14:paraId="7713DD86" w14:textId="77777777" w:rsidR="00C309F6" w:rsidRPr="00962C21" w:rsidRDefault="00C309F6" w:rsidP="00C309F6">
      <w:pPr>
        <w:jc w:val="both"/>
        <w:rPr>
          <w:rFonts w:cs="Calibri"/>
          <w:lang w:eastAsia="zh-CN"/>
        </w:rPr>
      </w:pPr>
      <w:r w:rsidRPr="00962C21">
        <w:rPr>
          <w:rFonts w:cs="Calibri"/>
          <w:lang w:eastAsia="zh-CN"/>
        </w:rPr>
        <w:t>This Recommendation is based on the U4SSC report entitled “Smart public health emergency management and ICT implementations” (see [b-U4SSC-2] in the bibliography) and its structure is as follows: it starts with an analysis of the public health context and of corresponding frameworks and returns a generic public health framework, which specifies a pandemic's lifecycle. This generic framework is then interconnected with the SSC and with city resilience. Further, it depicts with unified modelling language (UML) diagrams how this framework can be executed within the SSC environment and highlights the SSC components that play role in this execution.</w:t>
      </w:r>
    </w:p>
    <w:p w14:paraId="6458F808" w14:textId="7BD7D391" w:rsidR="00E17C88" w:rsidRPr="00962C21" w:rsidRDefault="00E17C88" w:rsidP="00E17C88">
      <w:pPr>
        <w:spacing w:before="280"/>
        <w:ind w:left="1134" w:hanging="1134"/>
        <w:outlineLvl w:val="0"/>
        <w:rPr>
          <w:rFonts w:eastAsia="Times New Roman" w:cs="Calibri"/>
          <w:b/>
          <w:sz w:val="28"/>
        </w:rPr>
      </w:pPr>
      <w:r w:rsidRPr="00962C21">
        <w:rPr>
          <w:rFonts w:eastAsia="Times New Roman" w:cs="Calibri"/>
          <w:b/>
          <w:sz w:val="28"/>
        </w:rPr>
        <w:t>7</w:t>
      </w:r>
      <w:r w:rsidRPr="00962C21">
        <w:rPr>
          <w:rFonts w:eastAsia="Times New Roman" w:cs="Calibri"/>
          <w:b/>
          <w:sz w:val="28"/>
        </w:rPr>
        <w:tab/>
        <w:t xml:space="preserve">Draft new Recommendation ITU-T </w:t>
      </w:r>
      <w:r w:rsidR="00C309F6" w:rsidRPr="00962C21">
        <w:rPr>
          <w:rFonts w:cs="Calibri"/>
          <w:b/>
          <w:sz w:val="28"/>
          <w:lang w:eastAsia="zh-CN"/>
        </w:rPr>
        <w:t xml:space="preserve">Y.4234 (ex </w:t>
      </w:r>
      <w:proofErr w:type="spellStart"/>
      <w:proofErr w:type="gramStart"/>
      <w:r w:rsidR="00C309F6" w:rsidRPr="00962C21">
        <w:rPr>
          <w:rFonts w:cs="Calibri"/>
          <w:b/>
          <w:sz w:val="28"/>
          <w:lang w:eastAsia="zh-CN"/>
        </w:rPr>
        <w:t>Y.RemoteEd</w:t>
      </w:r>
      <w:proofErr w:type="spellEnd"/>
      <w:proofErr w:type="gramEnd"/>
      <w:r w:rsidR="00C309F6" w:rsidRPr="00962C21">
        <w:rPr>
          <w:rFonts w:cs="Calibri"/>
          <w:b/>
          <w:sz w:val="28"/>
          <w:lang w:eastAsia="zh-CN"/>
        </w:rPr>
        <w:t>)</w:t>
      </w:r>
      <w:r w:rsidRPr="00962C21">
        <w:rPr>
          <w:rFonts w:cs="Calibri"/>
          <w:b/>
          <w:sz w:val="28"/>
          <w:lang w:eastAsia="zh-CN"/>
        </w:rPr>
        <w:t>: [</w:t>
      </w:r>
      <w:hyperlink r:id="rId19" w:history="1">
        <w:r w:rsidR="00C309F6" w:rsidRPr="004638E2">
          <w:rPr>
            <w:rStyle w:val="Hyperlink"/>
            <w:rFonts w:cs="Calibri"/>
            <w:b/>
            <w:sz w:val="28"/>
            <w:lang w:eastAsia="zh-CN"/>
          </w:rPr>
          <w:t>R27</w:t>
        </w:r>
      </w:hyperlink>
      <w:r w:rsidRPr="00962C21">
        <w:rPr>
          <w:rFonts w:cs="Calibri"/>
          <w:b/>
          <w:sz w:val="28"/>
          <w:lang w:eastAsia="zh-CN"/>
        </w:rPr>
        <w:t>]</w:t>
      </w:r>
    </w:p>
    <w:p w14:paraId="22D7123B" w14:textId="77777777" w:rsidR="00C309F6" w:rsidRPr="00C309F6" w:rsidRDefault="00C309F6" w:rsidP="00C309F6">
      <w:pPr>
        <w:ind w:left="1134" w:hanging="1134"/>
        <w:outlineLvl w:val="1"/>
        <w:rPr>
          <w:rFonts w:eastAsia="Times New Roman" w:cs="Calibri"/>
          <w:b/>
          <w:bCs/>
        </w:rPr>
      </w:pPr>
      <w:r w:rsidRPr="00C309F6">
        <w:rPr>
          <w:rFonts w:eastAsia="Times New Roman" w:cs="Calibri"/>
          <w:b/>
          <w:bCs/>
        </w:rPr>
        <w:t>Requirements, capabilities and deployment models for e-learning in remote classrooms</w:t>
      </w:r>
    </w:p>
    <w:p w14:paraId="08AD8627" w14:textId="77777777" w:rsidR="00E17C88" w:rsidRPr="00962C21" w:rsidRDefault="00E17C88" w:rsidP="00E17C88">
      <w:pPr>
        <w:ind w:left="1134" w:hanging="1134"/>
        <w:outlineLvl w:val="1"/>
        <w:rPr>
          <w:rFonts w:eastAsia="Times New Roman" w:cs="Calibri"/>
          <w:b/>
        </w:rPr>
      </w:pPr>
      <w:r w:rsidRPr="00962C21">
        <w:rPr>
          <w:rFonts w:eastAsia="Times New Roman" w:cs="Calibri"/>
          <w:b/>
        </w:rPr>
        <w:t>Summary</w:t>
      </w:r>
    </w:p>
    <w:p w14:paraId="3345A1AF" w14:textId="77777777" w:rsidR="00C309F6" w:rsidRPr="00C309F6" w:rsidRDefault="00C309F6" w:rsidP="00C309F6">
      <w:pPr>
        <w:outlineLvl w:val="0"/>
        <w:rPr>
          <w:rFonts w:cs="Calibri"/>
          <w:lang w:val="en-US" w:eastAsia="zh-CN"/>
        </w:rPr>
      </w:pPr>
      <w:r w:rsidRPr="00C309F6">
        <w:rPr>
          <w:rFonts w:cs="Calibri"/>
          <w:lang w:val="en-US" w:eastAsia="zh-CN"/>
        </w:rPr>
        <w:t>This Recommendation includes a concept of e-learning in remote classrooms, i.e., places where information and communication technology (ICT) infrastructure and e-learning facilities, such as digital connectivity, computers, computer applications, virtual collaboration, online and digital educational catalogues, are made available for learners to educate themselves</w:t>
      </w:r>
      <w:r w:rsidRPr="00C309F6">
        <w:rPr>
          <w:rFonts w:cs="Calibri"/>
          <w:cs/>
          <w:lang w:eastAsia="zh-CN" w:bidi="hi-IN"/>
        </w:rPr>
        <w:t xml:space="preserve">. </w:t>
      </w:r>
    </w:p>
    <w:p w14:paraId="11588E65" w14:textId="77777777" w:rsidR="00C309F6" w:rsidRPr="00C309F6" w:rsidRDefault="00C309F6" w:rsidP="00C309F6">
      <w:pPr>
        <w:outlineLvl w:val="0"/>
        <w:rPr>
          <w:rFonts w:cs="Calibri"/>
          <w:lang w:val="en-US" w:eastAsia="zh-CN"/>
        </w:rPr>
      </w:pPr>
      <w:r w:rsidRPr="00C309F6">
        <w:rPr>
          <w:rFonts w:cs="Calibri"/>
          <w:lang w:val="en-US" w:eastAsia="zh-CN"/>
        </w:rPr>
        <w:t>There is a wide and rising disparity in access to quality education between remote and rural areas of most countries when compared to its urban counterparts</w:t>
      </w:r>
      <w:r w:rsidRPr="00C309F6">
        <w:rPr>
          <w:rFonts w:cs="Calibri"/>
          <w:cs/>
          <w:lang w:eastAsia="zh-CN" w:bidi="hi-IN"/>
        </w:rPr>
        <w:t xml:space="preserve">. </w:t>
      </w:r>
      <w:r w:rsidRPr="00C309F6">
        <w:rPr>
          <w:rFonts w:cs="Calibri"/>
          <w:lang w:val="en-US" w:eastAsia="zh-CN"/>
        </w:rPr>
        <w:t xml:space="preserve">Various international organizations </w:t>
      </w:r>
      <w:r w:rsidRPr="00C309F6">
        <w:rPr>
          <w:rFonts w:cs="Calibri"/>
          <w:cs/>
          <w:lang w:eastAsia="zh-CN" w:bidi="hi-IN"/>
        </w:rPr>
        <w:t>(</w:t>
      </w:r>
      <w:r w:rsidRPr="00C309F6">
        <w:rPr>
          <w:rFonts w:cs="Calibri"/>
          <w:lang w:val="en-US" w:eastAsia="zh-CN"/>
        </w:rPr>
        <w:t>e</w:t>
      </w:r>
      <w:r w:rsidRPr="00C309F6">
        <w:rPr>
          <w:rFonts w:cs="Calibri"/>
          <w:cs/>
          <w:lang w:eastAsia="zh-CN" w:bidi="hi-IN"/>
        </w:rPr>
        <w:t>.</w:t>
      </w:r>
      <w:r w:rsidRPr="00C309F6">
        <w:rPr>
          <w:rFonts w:cs="Calibri"/>
          <w:lang w:val="en-US" w:eastAsia="zh-CN"/>
        </w:rPr>
        <w:t>g</w:t>
      </w:r>
      <w:r w:rsidRPr="00C309F6">
        <w:rPr>
          <w:rFonts w:cs="Calibri"/>
          <w:cs/>
          <w:lang w:eastAsia="zh-CN" w:bidi="hi-IN"/>
        </w:rPr>
        <w:t>.</w:t>
      </w:r>
      <w:r w:rsidRPr="00C309F6">
        <w:rPr>
          <w:rFonts w:cs="Calibri"/>
          <w:lang w:val="en-US" w:eastAsia="zh-CN"/>
        </w:rPr>
        <w:t>,</w:t>
      </w:r>
      <w:r w:rsidRPr="00C309F6">
        <w:rPr>
          <w:rFonts w:cs="Calibri"/>
          <w:cs/>
          <w:lang w:eastAsia="zh-CN" w:bidi="hi-IN"/>
        </w:rPr>
        <w:t xml:space="preserve"> </w:t>
      </w:r>
      <w:r w:rsidRPr="00C309F6">
        <w:rPr>
          <w:rFonts w:cs="Calibri"/>
          <w:lang w:val="en-US" w:eastAsia="zh-CN"/>
        </w:rPr>
        <w:t xml:space="preserve">United Nations (UN), International Telecommunication Union (ITU), </w:t>
      </w:r>
      <w:proofErr w:type="spellStart"/>
      <w:r w:rsidRPr="00C309F6">
        <w:rPr>
          <w:rFonts w:cs="Calibri"/>
          <w:lang w:val="en-US" w:eastAsia="zh-CN"/>
        </w:rPr>
        <w:t>etc</w:t>
      </w:r>
      <w:proofErr w:type="spellEnd"/>
      <w:r w:rsidRPr="00C309F6">
        <w:rPr>
          <w:rFonts w:cs="Calibri"/>
          <w:cs/>
          <w:lang w:eastAsia="zh-CN" w:bidi="hi-IN"/>
        </w:rPr>
        <w:t xml:space="preserve">.) </w:t>
      </w:r>
      <w:r w:rsidRPr="00C309F6">
        <w:rPr>
          <w:rFonts w:cs="Calibri"/>
          <w:lang w:val="en-US" w:eastAsia="zh-CN"/>
        </w:rPr>
        <w:t xml:space="preserve">and national bodies </w:t>
      </w:r>
      <w:r w:rsidRPr="00C309F6">
        <w:rPr>
          <w:rFonts w:cs="Calibri"/>
          <w:cs/>
          <w:lang w:eastAsia="zh-CN" w:bidi="hi-IN"/>
        </w:rPr>
        <w:t>(</w:t>
      </w:r>
      <w:r w:rsidRPr="00C309F6">
        <w:rPr>
          <w:rFonts w:cs="Calibri"/>
          <w:lang w:val="en-US" w:eastAsia="zh-CN"/>
        </w:rPr>
        <w:t>such as ministries</w:t>
      </w:r>
      <w:r w:rsidRPr="00C309F6">
        <w:rPr>
          <w:rFonts w:cs="Calibri"/>
          <w:cs/>
          <w:lang w:eastAsia="zh-CN" w:bidi="hi-IN"/>
        </w:rPr>
        <w:t>)</w:t>
      </w:r>
      <w:r w:rsidRPr="00C309F6">
        <w:rPr>
          <w:rFonts w:cs="Calibri"/>
          <w:lang w:val="en-US" w:eastAsia="zh-CN"/>
        </w:rPr>
        <w:t xml:space="preserve"> worldwide have acknowledged the need for urgent and concerted efforts towards the fulfilment of the promise for universalization of education</w:t>
      </w:r>
      <w:r w:rsidRPr="00C309F6">
        <w:rPr>
          <w:rFonts w:cs="Calibri"/>
          <w:cs/>
          <w:lang w:eastAsia="zh-CN" w:bidi="hi-IN"/>
        </w:rPr>
        <w:t>.</w:t>
      </w:r>
    </w:p>
    <w:p w14:paraId="0D5B67AD" w14:textId="77777777" w:rsidR="00C309F6" w:rsidRPr="00C309F6" w:rsidRDefault="00C309F6" w:rsidP="00C309F6">
      <w:pPr>
        <w:outlineLvl w:val="0"/>
        <w:rPr>
          <w:rFonts w:cs="Calibri"/>
          <w:lang w:val="en-US" w:eastAsia="zh-CN"/>
        </w:rPr>
      </w:pPr>
      <w:r w:rsidRPr="00C309F6">
        <w:rPr>
          <w:rFonts w:cs="Calibri"/>
          <w:lang w:val="en-US" w:eastAsia="zh-CN"/>
        </w:rPr>
        <w:t>It is also very clear that the future of education is digital and immersive, and that delivery of future education will be heavily dependent on access to appropriate (ICT) infrastructure and connectivity</w:t>
      </w:r>
      <w:r w:rsidRPr="00C309F6">
        <w:rPr>
          <w:rFonts w:cs="Calibri"/>
          <w:cs/>
          <w:lang w:eastAsia="zh-CN" w:bidi="hi-IN"/>
        </w:rPr>
        <w:t xml:space="preserve">. </w:t>
      </w:r>
    </w:p>
    <w:p w14:paraId="06A5070E" w14:textId="77777777" w:rsidR="00C309F6" w:rsidRPr="00C309F6" w:rsidRDefault="00C309F6" w:rsidP="00C309F6">
      <w:pPr>
        <w:outlineLvl w:val="0"/>
        <w:rPr>
          <w:rFonts w:cs="Calibri"/>
          <w:cs/>
          <w:lang w:eastAsia="zh-CN" w:bidi="hi-IN"/>
        </w:rPr>
      </w:pPr>
      <w:r w:rsidRPr="00C309F6">
        <w:rPr>
          <w:rFonts w:cs="Calibri"/>
          <w:lang w:val="en-US" w:eastAsia="zh-CN"/>
        </w:rPr>
        <w:t xml:space="preserve">At the same time, there is a dire shortage of trained teaching staff, both in developed and developing countries, and the situation is much worse in the remote and underserved </w:t>
      </w:r>
      <w:proofErr w:type="gramStart"/>
      <w:r w:rsidRPr="00C309F6">
        <w:rPr>
          <w:rFonts w:cs="Calibri"/>
          <w:lang w:val="en-US" w:eastAsia="zh-CN"/>
        </w:rPr>
        <w:t xml:space="preserve">areas </w:t>
      </w:r>
      <w:r w:rsidRPr="00C309F6">
        <w:rPr>
          <w:rFonts w:cs="Calibri"/>
          <w:cs/>
          <w:lang w:eastAsia="zh-CN" w:bidi="hi-IN"/>
        </w:rPr>
        <w:t>.</w:t>
      </w:r>
      <w:proofErr w:type="gramEnd"/>
      <w:r w:rsidRPr="00C309F6">
        <w:rPr>
          <w:rFonts w:cs="Calibri"/>
          <w:cs/>
          <w:lang w:eastAsia="zh-CN" w:bidi="hi-IN"/>
        </w:rPr>
        <w:t xml:space="preserve"> </w:t>
      </w:r>
      <w:r w:rsidRPr="00C309F6">
        <w:rPr>
          <w:rFonts w:cs="Calibri"/>
          <w:lang w:val="en-US" w:eastAsia="zh-CN"/>
        </w:rPr>
        <w:t xml:space="preserve">In most such places, there are very few teachers, only some of which </w:t>
      </w:r>
      <w:proofErr w:type="gramStart"/>
      <w:r w:rsidRPr="00C309F6">
        <w:rPr>
          <w:rFonts w:cs="Calibri"/>
          <w:lang w:val="en-US" w:eastAsia="zh-CN"/>
        </w:rPr>
        <w:t>are capable of attending</w:t>
      </w:r>
      <w:proofErr w:type="gramEnd"/>
      <w:r w:rsidRPr="00C309F6">
        <w:rPr>
          <w:rFonts w:cs="Calibri"/>
          <w:lang w:val="en-US" w:eastAsia="zh-CN"/>
        </w:rPr>
        <w:t xml:space="preserve"> to the demands of fast evolving educational curriculums</w:t>
      </w:r>
      <w:r w:rsidRPr="00C309F6">
        <w:rPr>
          <w:rFonts w:cs="Calibri"/>
          <w:cs/>
          <w:lang w:eastAsia="zh-CN" w:bidi="hi-IN"/>
        </w:rPr>
        <w:t xml:space="preserve">. </w:t>
      </w:r>
      <w:r w:rsidRPr="00C309F6">
        <w:rPr>
          <w:rFonts w:cs="Calibri"/>
          <w:lang w:val="en-US" w:eastAsia="zh-CN"/>
        </w:rPr>
        <w:t>In addition to education and learning, these remote areas are disadvantaged by a lack of access to other facilities, such as health and vocational capability development. New standards are required that bridge the digital divide and mitigate the growing disparity by ensuring that as more and more online services are delivered equitably to the remote and underserved areas</w:t>
      </w:r>
      <w:r w:rsidRPr="00C309F6">
        <w:rPr>
          <w:rFonts w:cs="Calibri"/>
          <w:cs/>
          <w:lang w:eastAsia="zh-CN" w:bidi="hi-IN"/>
        </w:rPr>
        <w:t>.</w:t>
      </w:r>
    </w:p>
    <w:p w14:paraId="040C6833" w14:textId="77777777" w:rsidR="00C309F6" w:rsidRPr="00C309F6" w:rsidRDefault="00C309F6" w:rsidP="00C309F6">
      <w:pPr>
        <w:outlineLvl w:val="0"/>
        <w:rPr>
          <w:rFonts w:cs="Calibri"/>
          <w:cs/>
          <w:lang w:eastAsia="zh-CN"/>
        </w:rPr>
      </w:pPr>
      <w:r w:rsidRPr="00C309F6">
        <w:rPr>
          <w:rFonts w:cs="Calibri"/>
          <w:lang w:val="en-US" w:eastAsia="zh-CN"/>
        </w:rPr>
        <w:t xml:space="preserve">This Recommendation describes the challenges and considerations for providing digital education to remote schools, and develops requirements, capabilities and deployment models to impart high quality e-learning services in remote classrooms in rural and remote areas. </w:t>
      </w:r>
    </w:p>
    <w:p w14:paraId="72D563C2" w14:textId="61B3F785" w:rsidR="00E17C88" w:rsidRPr="00962C21" w:rsidRDefault="00E17C88" w:rsidP="00E17C88">
      <w:pPr>
        <w:spacing w:before="280"/>
        <w:ind w:left="1134" w:hanging="1134"/>
        <w:outlineLvl w:val="0"/>
        <w:rPr>
          <w:rFonts w:eastAsia="Times New Roman" w:cs="Calibri"/>
          <w:b/>
          <w:sz w:val="28"/>
          <w:lang w:val="fr-CH"/>
        </w:rPr>
      </w:pPr>
      <w:r w:rsidRPr="00962C21">
        <w:rPr>
          <w:rFonts w:eastAsia="Times New Roman" w:cs="Calibri"/>
          <w:b/>
          <w:sz w:val="28"/>
          <w:lang w:val="fr-CH"/>
        </w:rPr>
        <w:t>8</w:t>
      </w:r>
      <w:r w:rsidRPr="00962C21">
        <w:rPr>
          <w:rFonts w:eastAsia="Times New Roman" w:cs="Calibri"/>
          <w:b/>
          <w:sz w:val="28"/>
          <w:lang w:val="fr-CH"/>
        </w:rPr>
        <w:tab/>
        <w:t xml:space="preserve">Draft new </w:t>
      </w:r>
      <w:proofErr w:type="spellStart"/>
      <w:r w:rsidRPr="00962C21">
        <w:rPr>
          <w:rFonts w:eastAsia="Times New Roman" w:cs="Calibri"/>
          <w:b/>
          <w:sz w:val="28"/>
          <w:lang w:val="fr-CH"/>
        </w:rPr>
        <w:t>Recommendation</w:t>
      </w:r>
      <w:proofErr w:type="spellEnd"/>
      <w:r w:rsidRPr="00962C21">
        <w:rPr>
          <w:rFonts w:eastAsia="Times New Roman" w:cs="Calibri"/>
          <w:b/>
          <w:sz w:val="28"/>
          <w:lang w:val="fr-CH"/>
        </w:rPr>
        <w:t xml:space="preserve"> ITU-T </w:t>
      </w:r>
      <w:r w:rsidR="00C309F6" w:rsidRPr="00962C21">
        <w:rPr>
          <w:rFonts w:cs="Calibri"/>
          <w:b/>
          <w:sz w:val="28"/>
          <w:szCs w:val="28"/>
          <w:lang w:val="fr-CH"/>
        </w:rPr>
        <w:t xml:space="preserve">Y.4222 (ex </w:t>
      </w:r>
      <w:proofErr w:type="spellStart"/>
      <w:proofErr w:type="gramStart"/>
      <w:r w:rsidR="00C309F6" w:rsidRPr="00962C21">
        <w:rPr>
          <w:rFonts w:cs="Calibri"/>
          <w:b/>
          <w:sz w:val="28"/>
          <w:szCs w:val="28"/>
          <w:lang w:val="fr-CH"/>
        </w:rPr>
        <w:t>Y.smart</w:t>
      </w:r>
      <w:proofErr w:type="gramEnd"/>
      <w:r w:rsidR="00C309F6" w:rsidRPr="00962C21">
        <w:rPr>
          <w:rFonts w:cs="Calibri"/>
          <w:b/>
          <w:sz w:val="28"/>
          <w:szCs w:val="28"/>
          <w:lang w:val="fr-CH"/>
        </w:rPr>
        <w:t>-evacuation</w:t>
      </w:r>
      <w:proofErr w:type="spellEnd"/>
      <w:r w:rsidR="00C309F6" w:rsidRPr="00962C21">
        <w:rPr>
          <w:rFonts w:cs="Calibri"/>
          <w:b/>
          <w:sz w:val="28"/>
          <w:szCs w:val="28"/>
          <w:lang w:val="fr-CH"/>
        </w:rPr>
        <w:t>)</w:t>
      </w:r>
      <w:r w:rsidRPr="00962C21">
        <w:rPr>
          <w:rFonts w:eastAsia="Times New Roman" w:cs="Calibri"/>
          <w:b/>
          <w:sz w:val="28"/>
          <w:lang w:val="fr-CH"/>
        </w:rPr>
        <w:t>: [</w:t>
      </w:r>
      <w:hyperlink r:id="rId20" w:history="1">
        <w:r w:rsidR="00C309F6" w:rsidRPr="004638E2">
          <w:rPr>
            <w:rStyle w:val="Hyperlink"/>
            <w:rFonts w:eastAsia="Times New Roman" w:cs="Calibri"/>
            <w:b/>
            <w:sz w:val="28"/>
            <w:lang w:val="fr-CH"/>
          </w:rPr>
          <w:t>R28</w:t>
        </w:r>
      </w:hyperlink>
      <w:r w:rsidRPr="00962C21">
        <w:rPr>
          <w:rFonts w:eastAsia="Times New Roman" w:cs="Calibri"/>
          <w:b/>
          <w:sz w:val="28"/>
          <w:lang w:val="fr-CH"/>
        </w:rPr>
        <w:t>]</w:t>
      </w:r>
    </w:p>
    <w:p w14:paraId="612F671E" w14:textId="77777777" w:rsidR="00C309F6" w:rsidRPr="00962C21" w:rsidRDefault="00C309F6" w:rsidP="00E17C88">
      <w:pPr>
        <w:ind w:left="1134" w:hanging="1134"/>
        <w:outlineLvl w:val="1"/>
        <w:rPr>
          <w:rFonts w:eastAsia="Times New Roman" w:cs="Calibri"/>
          <w:b/>
          <w:bCs/>
          <w:szCs w:val="24"/>
        </w:rPr>
      </w:pPr>
      <w:r w:rsidRPr="00962C21">
        <w:rPr>
          <w:rFonts w:eastAsia="Times New Roman" w:cs="Calibri"/>
          <w:b/>
          <w:bCs/>
          <w:szCs w:val="24"/>
        </w:rPr>
        <w:t>Framework of smart evacuation in a disaster or emergency in smart cities and communities</w:t>
      </w:r>
    </w:p>
    <w:p w14:paraId="460E3FDF" w14:textId="5CBD31E1" w:rsidR="00E17C88" w:rsidRPr="00962C21" w:rsidRDefault="00E17C88" w:rsidP="00E17C88">
      <w:pPr>
        <w:ind w:left="1134" w:hanging="1134"/>
        <w:outlineLvl w:val="1"/>
        <w:rPr>
          <w:rFonts w:eastAsia="Times New Roman" w:cs="Calibri"/>
          <w:b/>
          <w:szCs w:val="24"/>
        </w:rPr>
      </w:pPr>
      <w:r w:rsidRPr="00962C21">
        <w:rPr>
          <w:rFonts w:eastAsia="Times New Roman" w:cs="Calibri"/>
          <w:b/>
          <w:szCs w:val="24"/>
        </w:rPr>
        <w:t>Summary</w:t>
      </w:r>
    </w:p>
    <w:p w14:paraId="38A54F0E" w14:textId="77777777" w:rsidR="003F1538" w:rsidRPr="00962C21" w:rsidRDefault="003F1538" w:rsidP="003F1538">
      <w:pPr>
        <w:pBdr>
          <w:top w:val="nil"/>
          <w:left w:val="nil"/>
          <w:bottom w:val="nil"/>
          <w:right w:val="nil"/>
          <w:between w:val="nil"/>
          <w:bar w:val="nil"/>
        </w:pBdr>
        <w:rPr>
          <w:rFonts w:cs="Calibri"/>
          <w:color w:val="000000"/>
          <w:u w:color="000000"/>
          <w:bdr w:val="nil"/>
          <w14:textOutline w14:w="12700" w14:cap="flat" w14:cmpd="sng" w14:algn="ctr">
            <w14:noFill/>
            <w14:prstDash w14:val="solid"/>
            <w14:miter w14:lim="400000"/>
          </w14:textOutline>
        </w:rPr>
      </w:pPr>
      <w:r w:rsidRPr="00962C21">
        <w:rPr>
          <w:rFonts w:eastAsia="Times New Roman" w:cs="Calibri"/>
          <w:color w:val="000000"/>
          <w:u w:color="000000"/>
          <w:bdr w:val="nil"/>
          <w:lang w:eastAsia="ko-KR"/>
          <w14:textOutline w14:w="12700" w14:cap="flat" w14:cmpd="sng" w14:algn="ctr">
            <w14:noFill/>
            <w14:prstDash w14:val="solid"/>
            <w14:miter w14:lim="400000"/>
          </w14:textOutline>
        </w:rPr>
        <w:t>Smart</w:t>
      </w:r>
      <w:r w:rsidRPr="00962C21">
        <w:rPr>
          <w:rFonts w:cs="Calibri"/>
        </w:rPr>
        <w:t xml:space="preserve">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w:t>
      </w:r>
    </w:p>
    <w:p w14:paraId="38D68D6D" w14:textId="77777777" w:rsidR="003F1538" w:rsidRPr="00962C21" w:rsidRDefault="003F1538" w:rsidP="003F1538">
      <w:pPr>
        <w:pBdr>
          <w:top w:val="nil"/>
          <w:left w:val="nil"/>
          <w:bottom w:val="nil"/>
          <w:right w:val="nil"/>
          <w:between w:val="nil"/>
          <w:bar w:val="nil"/>
        </w:pBdr>
        <w:rPr>
          <w:rFonts w:cs="Calibri"/>
          <w:color w:val="000000"/>
          <w:u w:color="000000"/>
          <w:bdr w:val="nil"/>
          <w14:textOutline w14:w="12700" w14:cap="flat" w14:cmpd="sng" w14:algn="ctr">
            <w14:noFill/>
            <w14:prstDash w14:val="solid"/>
            <w14:miter w14:lim="400000"/>
          </w14:textOutline>
        </w:rPr>
      </w:pPr>
      <w:r w:rsidRPr="00962C21">
        <w:rPr>
          <w:rFonts w:cs="Calibri"/>
        </w:rPr>
        <w:t xml:space="preserve">This Recommendation describes concepts and features of smart evacuation control in disaster and emergency situations. It identifies high-level requirements and ICT infrastructure for smart evacuation along with use cases in disaster and emergency situations. </w:t>
      </w:r>
    </w:p>
    <w:p w14:paraId="19FC5110" w14:textId="77777777" w:rsidR="003F1538" w:rsidRPr="00962C21" w:rsidRDefault="003F1538" w:rsidP="003F1538">
      <w:pPr>
        <w:pBdr>
          <w:top w:val="nil"/>
          <w:left w:val="nil"/>
          <w:bottom w:val="nil"/>
          <w:right w:val="nil"/>
          <w:between w:val="nil"/>
          <w:bar w:val="nil"/>
        </w:pBdr>
        <w:rPr>
          <w:rFonts w:cs="Calibri"/>
          <w:u w:color="000000"/>
          <w:bdr w:val="nil"/>
          <w14:textOutline w14:w="12700" w14:cap="flat" w14:cmpd="sng" w14:algn="ctr">
            <w14:noFill/>
            <w14:prstDash w14:val="solid"/>
            <w14:miter w14:lim="400000"/>
          </w14:textOutline>
        </w:rPr>
      </w:pPr>
      <w:r w:rsidRPr="00962C21">
        <w:rPr>
          <w:rFonts w:cs="Calibri"/>
        </w:rPr>
        <w:lastRenderedPageBreak/>
        <w:t>The introduction of a smart evacuation service will allow the maintenance of the level of comfort for the population achieved in a smart city even in the event of an emergency. This is fundamental to justify the enormous material costs for the rapid development of smart cities around the world against the background of emergencies that have become more frequent throughout the world.</w:t>
      </w:r>
    </w:p>
    <w:p w14:paraId="0BD13138" w14:textId="2507F1EC" w:rsidR="00C309F6" w:rsidRPr="00962C21" w:rsidRDefault="00C309F6" w:rsidP="00C309F6">
      <w:pPr>
        <w:spacing w:before="280"/>
        <w:ind w:left="1134" w:hanging="1134"/>
        <w:outlineLvl w:val="0"/>
        <w:rPr>
          <w:rFonts w:eastAsia="Times New Roman" w:cs="Calibri"/>
          <w:b/>
          <w:sz w:val="28"/>
          <w:lang w:val="fr-CH"/>
        </w:rPr>
      </w:pPr>
      <w:r w:rsidRPr="00962C21">
        <w:rPr>
          <w:rFonts w:eastAsia="Times New Roman" w:cs="Calibri"/>
          <w:b/>
          <w:sz w:val="28"/>
          <w:lang w:val="fr-CH"/>
        </w:rPr>
        <w:t>9</w:t>
      </w:r>
      <w:r w:rsidRPr="00962C21">
        <w:rPr>
          <w:rFonts w:eastAsia="Times New Roman" w:cs="Calibri"/>
          <w:b/>
          <w:sz w:val="28"/>
          <w:lang w:val="fr-CH"/>
        </w:rPr>
        <w:tab/>
        <w:t xml:space="preserve">Draft new </w:t>
      </w:r>
      <w:proofErr w:type="spellStart"/>
      <w:r w:rsidRPr="00962C21">
        <w:rPr>
          <w:rFonts w:eastAsia="Times New Roman" w:cs="Calibri"/>
          <w:b/>
          <w:sz w:val="28"/>
          <w:lang w:val="fr-CH"/>
        </w:rPr>
        <w:t>Recommendation</w:t>
      </w:r>
      <w:proofErr w:type="spellEnd"/>
      <w:r w:rsidRPr="00962C21">
        <w:rPr>
          <w:rFonts w:eastAsia="Times New Roman" w:cs="Calibri"/>
          <w:b/>
          <w:sz w:val="28"/>
          <w:lang w:val="fr-CH"/>
        </w:rPr>
        <w:t xml:space="preserve"> ITU-T </w:t>
      </w:r>
      <w:r w:rsidR="003F1538" w:rsidRPr="00DB29C3">
        <w:rPr>
          <w:rFonts w:eastAsia="Times New Roman" w:cs="Calibri"/>
          <w:b/>
          <w:sz w:val="28"/>
          <w:lang w:val="fr-CH"/>
        </w:rPr>
        <w:t>Y.4507 (ex Y.arc-</w:t>
      </w:r>
      <w:proofErr w:type="spellStart"/>
      <w:r w:rsidR="003F1538" w:rsidRPr="00DB29C3">
        <w:rPr>
          <w:rFonts w:eastAsia="Times New Roman" w:cs="Calibri"/>
          <w:b/>
          <w:sz w:val="28"/>
          <w:lang w:val="fr-CH"/>
        </w:rPr>
        <w:t>psfws</w:t>
      </w:r>
      <w:proofErr w:type="spellEnd"/>
      <w:proofErr w:type="gramStart"/>
      <w:r w:rsidR="003F1538" w:rsidRPr="00DB29C3">
        <w:rPr>
          <w:rFonts w:eastAsia="Times New Roman" w:cs="Calibri"/>
          <w:b/>
          <w:sz w:val="28"/>
          <w:lang w:val="fr-CH"/>
        </w:rPr>
        <w:t>)</w:t>
      </w:r>
      <w:r w:rsidRPr="00962C21">
        <w:rPr>
          <w:rFonts w:eastAsia="Times New Roman" w:cs="Calibri"/>
          <w:b/>
          <w:sz w:val="28"/>
          <w:lang w:val="fr-CH"/>
        </w:rPr>
        <w:t>:</w:t>
      </w:r>
      <w:proofErr w:type="gramEnd"/>
      <w:r w:rsidRPr="00962C21">
        <w:rPr>
          <w:rFonts w:eastAsia="Times New Roman" w:cs="Calibri"/>
          <w:b/>
          <w:sz w:val="28"/>
          <w:lang w:val="fr-CH"/>
        </w:rPr>
        <w:t xml:space="preserve"> [</w:t>
      </w:r>
      <w:hyperlink r:id="rId21" w:history="1">
        <w:r w:rsidR="003F1538" w:rsidRPr="004638E2">
          <w:rPr>
            <w:rStyle w:val="Hyperlink"/>
            <w:rFonts w:eastAsia="Times New Roman" w:cs="Calibri"/>
            <w:b/>
            <w:sz w:val="28"/>
            <w:lang w:val="fr-CH"/>
          </w:rPr>
          <w:t>R29</w:t>
        </w:r>
      </w:hyperlink>
      <w:r w:rsidRPr="00962C21">
        <w:rPr>
          <w:rFonts w:eastAsia="Times New Roman" w:cs="Calibri"/>
          <w:b/>
          <w:sz w:val="28"/>
          <w:lang w:val="fr-CH"/>
        </w:rPr>
        <w:t>]</w:t>
      </w:r>
    </w:p>
    <w:p w14:paraId="68C08FA5" w14:textId="77777777" w:rsidR="003F1538" w:rsidRPr="003F1538" w:rsidRDefault="003F1538" w:rsidP="003F1538">
      <w:pPr>
        <w:ind w:left="1134" w:hanging="1134"/>
        <w:outlineLvl w:val="1"/>
        <w:rPr>
          <w:rFonts w:eastAsia="Times New Roman" w:cs="Calibri"/>
          <w:b/>
          <w:bCs/>
          <w:szCs w:val="24"/>
        </w:rPr>
      </w:pPr>
      <w:r w:rsidRPr="003F1538">
        <w:rPr>
          <w:rFonts w:eastAsia="Times New Roman" w:cs="Calibri"/>
          <w:b/>
          <w:bCs/>
          <w:szCs w:val="24"/>
        </w:rPr>
        <w:t>A functional architecture of power supply facilities warning system</w:t>
      </w:r>
    </w:p>
    <w:p w14:paraId="5C4CEB35" w14:textId="77777777" w:rsidR="00C309F6" w:rsidRPr="00962C21" w:rsidRDefault="00C309F6" w:rsidP="00C309F6">
      <w:pPr>
        <w:ind w:left="1134" w:hanging="1134"/>
        <w:outlineLvl w:val="1"/>
        <w:rPr>
          <w:rFonts w:eastAsia="Times New Roman" w:cs="Calibri"/>
          <w:b/>
          <w:szCs w:val="24"/>
        </w:rPr>
      </w:pPr>
      <w:r w:rsidRPr="00962C21">
        <w:rPr>
          <w:rFonts w:eastAsia="Times New Roman" w:cs="Calibri"/>
          <w:b/>
          <w:szCs w:val="24"/>
        </w:rPr>
        <w:t>Summary</w:t>
      </w:r>
    </w:p>
    <w:p w14:paraId="434BE735" w14:textId="77777777" w:rsidR="003F1538" w:rsidRPr="00962C21" w:rsidRDefault="003F1538" w:rsidP="003F1538">
      <w:pPr>
        <w:jc w:val="both"/>
        <w:rPr>
          <w:rFonts w:cs="Calibri"/>
          <w:lang w:eastAsia="zh-CN"/>
        </w:rPr>
      </w:pPr>
      <w:r w:rsidRPr="00962C21">
        <w:rPr>
          <w:rFonts w:cs="Calibri"/>
          <w:color w:val="000000"/>
          <w:lang w:eastAsia="zh-CN"/>
        </w:rPr>
        <w:t xml:space="preserve">The early warning system of power supply facilities based on Internet of Things technology can obtain the real-time status parameters of power equipment and realize equipment status prediction and fault early warning through the status assessment and early warning model. It can improve the operation economy of assets and ensure the reliability of power supply. It is necessary to put forward a warning system for power supply facilities. </w:t>
      </w:r>
      <w:r w:rsidRPr="00962C21">
        <w:rPr>
          <w:rFonts w:cs="Calibri"/>
          <w:lang w:eastAsia="zh-CN"/>
        </w:rPr>
        <w:t>This Recommendation provides the functional architecture of a power supply facility warning system, use cases and data flows</w:t>
      </w:r>
      <w:r w:rsidRPr="00962C21">
        <w:rPr>
          <w:rFonts w:cs="Calibri"/>
          <w:bCs/>
          <w:lang w:eastAsia="zh-CN"/>
        </w:rPr>
        <w:t>.</w:t>
      </w:r>
    </w:p>
    <w:p w14:paraId="1559C57D" w14:textId="58EA8C05" w:rsidR="00C309F6" w:rsidRPr="00962C21" w:rsidRDefault="00C309F6" w:rsidP="003F1538">
      <w:pPr>
        <w:spacing w:before="280"/>
        <w:ind w:left="1134" w:hanging="1134"/>
        <w:outlineLvl w:val="0"/>
        <w:rPr>
          <w:rFonts w:eastAsia="Times New Roman" w:cs="Calibri"/>
          <w:b/>
          <w:sz w:val="28"/>
        </w:rPr>
      </w:pPr>
      <w:r w:rsidRPr="00DB29C3">
        <w:rPr>
          <w:rFonts w:eastAsia="Times New Roman" w:cs="Calibri"/>
          <w:b/>
          <w:sz w:val="28"/>
        </w:rPr>
        <w:t>10</w:t>
      </w:r>
      <w:r w:rsidRPr="00DB29C3">
        <w:rPr>
          <w:rFonts w:eastAsia="Times New Roman" w:cs="Calibri"/>
          <w:b/>
          <w:sz w:val="28"/>
        </w:rPr>
        <w:tab/>
        <w:t xml:space="preserve">Draft new Recommendation ITU-T </w:t>
      </w:r>
      <w:r w:rsidR="003F1538" w:rsidRPr="00962C21">
        <w:rPr>
          <w:rFonts w:eastAsia="Times New Roman" w:cs="Calibri"/>
          <w:b/>
          <w:sz w:val="28"/>
        </w:rPr>
        <w:t>Y.4508 (ex Y.DPM-</w:t>
      </w:r>
      <w:proofErr w:type="spellStart"/>
      <w:r w:rsidR="003F1538" w:rsidRPr="00962C21">
        <w:rPr>
          <w:rFonts w:eastAsia="Times New Roman" w:cs="Calibri"/>
          <w:b/>
          <w:sz w:val="28"/>
        </w:rPr>
        <w:t>alm</w:t>
      </w:r>
      <w:proofErr w:type="spellEnd"/>
      <w:r w:rsidR="003F1538" w:rsidRPr="00962C21">
        <w:rPr>
          <w:rFonts w:eastAsia="Times New Roman" w:cs="Calibri"/>
          <w:b/>
          <w:sz w:val="28"/>
        </w:rPr>
        <w:t>-</w:t>
      </w:r>
      <w:proofErr w:type="spellStart"/>
      <w:r w:rsidR="003F1538" w:rsidRPr="00962C21">
        <w:rPr>
          <w:rFonts w:eastAsia="Times New Roman" w:cs="Calibri"/>
          <w:b/>
          <w:sz w:val="28"/>
        </w:rPr>
        <w:t>fra</w:t>
      </w:r>
      <w:proofErr w:type="spellEnd"/>
      <w:r w:rsidR="003F1538" w:rsidRPr="00962C21">
        <w:rPr>
          <w:rFonts w:eastAsia="Times New Roman" w:cs="Calibri"/>
          <w:b/>
          <w:sz w:val="28"/>
        </w:rPr>
        <w:t>)</w:t>
      </w:r>
      <w:r w:rsidRPr="00DB29C3">
        <w:rPr>
          <w:rFonts w:eastAsia="Times New Roman" w:cs="Calibri"/>
          <w:b/>
          <w:sz w:val="28"/>
        </w:rPr>
        <w:t>: [</w:t>
      </w:r>
      <w:hyperlink r:id="rId22" w:history="1">
        <w:r w:rsidR="003F1538" w:rsidRPr="00DB29C3">
          <w:rPr>
            <w:rStyle w:val="Hyperlink"/>
            <w:rFonts w:eastAsia="Times New Roman" w:cs="Calibri"/>
            <w:b/>
            <w:sz w:val="28"/>
          </w:rPr>
          <w:t>R30</w:t>
        </w:r>
      </w:hyperlink>
      <w:r w:rsidRPr="00DB29C3">
        <w:rPr>
          <w:rFonts w:eastAsia="Times New Roman" w:cs="Calibri"/>
          <w:b/>
          <w:sz w:val="28"/>
        </w:rPr>
        <w:t>]</w:t>
      </w:r>
    </w:p>
    <w:p w14:paraId="669BE4FC" w14:textId="77777777" w:rsidR="003F1538" w:rsidRPr="00962C21" w:rsidRDefault="003F1538" w:rsidP="003F1538">
      <w:pPr>
        <w:tabs>
          <w:tab w:val="clear" w:pos="1191"/>
          <w:tab w:val="left" w:pos="0"/>
        </w:tabs>
        <w:outlineLvl w:val="1"/>
        <w:rPr>
          <w:rFonts w:eastAsia="Times New Roman" w:cs="Calibri"/>
          <w:b/>
          <w:bCs/>
          <w:szCs w:val="24"/>
        </w:rPr>
      </w:pPr>
      <w:r w:rsidRPr="00962C21">
        <w:rPr>
          <w:rFonts w:eastAsia="Times New Roman" w:cs="Calibri"/>
          <w:b/>
          <w:bCs/>
          <w:szCs w:val="24"/>
        </w:rPr>
        <w:t>Functional requirements and architecture of blockchain-based activity log management for Internet of things (IoT) data processing and management</w:t>
      </w:r>
    </w:p>
    <w:p w14:paraId="24649E71" w14:textId="2609F229" w:rsidR="00C309F6" w:rsidRPr="00962C21" w:rsidRDefault="00C309F6" w:rsidP="00C309F6">
      <w:pPr>
        <w:ind w:left="1134" w:hanging="1134"/>
        <w:outlineLvl w:val="1"/>
        <w:rPr>
          <w:rFonts w:eastAsia="Times New Roman" w:cs="Calibri"/>
          <w:b/>
          <w:szCs w:val="24"/>
        </w:rPr>
      </w:pPr>
      <w:r w:rsidRPr="00962C21">
        <w:rPr>
          <w:rFonts w:eastAsia="Times New Roman" w:cs="Calibri"/>
          <w:b/>
          <w:szCs w:val="24"/>
        </w:rPr>
        <w:t>Summary</w:t>
      </w:r>
    </w:p>
    <w:p w14:paraId="45B83CB4" w14:textId="77777777" w:rsidR="003F1538" w:rsidRPr="00962C21" w:rsidRDefault="003F1538" w:rsidP="003F1538">
      <w:pPr>
        <w:jc w:val="both"/>
        <w:rPr>
          <w:rFonts w:cs="Calibri"/>
        </w:rPr>
      </w:pPr>
      <w:r w:rsidRPr="00962C21">
        <w:rPr>
          <w:rFonts w:cs="Calibri"/>
        </w:rPr>
        <w:t xml:space="preserve">There are many </w:t>
      </w:r>
      <w:proofErr w:type="gramStart"/>
      <w:r w:rsidRPr="00962C21">
        <w:rPr>
          <w:rFonts w:cs="Calibri"/>
          <w:lang w:eastAsia="zh-CN"/>
        </w:rPr>
        <w:t>Internet</w:t>
      </w:r>
      <w:proofErr w:type="gramEnd"/>
      <w:r w:rsidRPr="00962C21">
        <w:rPr>
          <w:rFonts w:cs="Calibri"/>
          <w:lang w:eastAsia="zh-CN"/>
        </w:rPr>
        <w:t xml:space="preserve"> of things (IoT) </w:t>
      </w:r>
      <w:r w:rsidRPr="00962C21">
        <w:rPr>
          <w:rFonts w:cs="Calibri"/>
        </w:rPr>
        <w:t xml:space="preserve">platforms to process and manage same IoT data in different stages and in different areas. In traditional solutions, each of the </w:t>
      </w:r>
      <w:r w:rsidRPr="00962C21">
        <w:rPr>
          <w:rFonts w:cs="Calibri"/>
          <w:lang w:eastAsia="zh-CN"/>
        </w:rPr>
        <w:t xml:space="preserve">IoT </w:t>
      </w:r>
      <w:r w:rsidRPr="00962C21">
        <w:rPr>
          <w:rFonts w:cs="Calibri"/>
        </w:rPr>
        <w:t xml:space="preserve">platforms usually stores its activity logs for IoT data processing and management (IoT DPM) into its storage separately. Those activity logs are separated and managed by the </w:t>
      </w:r>
      <w:r w:rsidRPr="00962C21">
        <w:rPr>
          <w:rFonts w:cs="Calibri"/>
          <w:lang w:eastAsia="zh-CN"/>
        </w:rPr>
        <w:t xml:space="preserve">IoT </w:t>
      </w:r>
      <w:r w:rsidRPr="00962C21">
        <w:rPr>
          <w:rFonts w:cs="Calibri"/>
        </w:rPr>
        <w:t xml:space="preserve">platforms. Therefore, the </w:t>
      </w:r>
      <w:r w:rsidRPr="00962C21">
        <w:rPr>
          <w:rFonts w:cs="Calibri"/>
          <w:lang w:eastAsia="zh-CN"/>
        </w:rPr>
        <w:t xml:space="preserve">accessibility </w:t>
      </w:r>
      <w:r w:rsidRPr="00962C21">
        <w:rPr>
          <w:rFonts w:cs="Calibri"/>
        </w:rPr>
        <w:t xml:space="preserve">and trustworthiness of those activity logs are not </w:t>
      </w:r>
      <w:proofErr w:type="gramStart"/>
      <w:r w:rsidRPr="00962C21">
        <w:rPr>
          <w:rFonts w:cs="Calibri"/>
        </w:rPr>
        <w:t>guaranteed</w:t>
      </w:r>
      <w:proofErr w:type="gramEnd"/>
      <w:r w:rsidRPr="00962C21">
        <w:rPr>
          <w:rFonts w:cs="Calibri"/>
        </w:rPr>
        <w:t xml:space="preserve"> and it is not easy to trace activit</w:t>
      </w:r>
      <w:r w:rsidRPr="00962C21">
        <w:rPr>
          <w:rFonts w:cs="Calibri"/>
          <w:lang w:eastAsia="zh-CN"/>
        </w:rPr>
        <w:t>ies about</w:t>
      </w:r>
      <w:r w:rsidRPr="00962C21">
        <w:rPr>
          <w:rFonts w:cs="Calibri"/>
        </w:rPr>
        <w:t xml:space="preserve"> IoT DPM in the full lifecycle for activity logs that are stored and managed by different </w:t>
      </w:r>
      <w:r w:rsidRPr="00962C21">
        <w:rPr>
          <w:rFonts w:cs="Calibri"/>
          <w:lang w:eastAsia="zh-CN"/>
        </w:rPr>
        <w:t xml:space="preserve">IoT </w:t>
      </w:r>
      <w:r w:rsidRPr="00962C21">
        <w:rPr>
          <w:rFonts w:cs="Calibri"/>
        </w:rPr>
        <w:t>platforms.</w:t>
      </w:r>
    </w:p>
    <w:p w14:paraId="47FDA4D9" w14:textId="77777777" w:rsidR="003F1538" w:rsidRPr="00962C21" w:rsidRDefault="003F1538" w:rsidP="003F1538">
      <w:pPr>
        <w:jc w:val="both"/>
        <w:rPr>
          <w:rFonts w:cs="Calibri"/>
        </w:rPr>
      </w:pPr>
      <w:proofErr w:type="gramStart"/>
      <w:r w:rsidRPr="00962C21">
        <w:rPr>
          <w:rFonts w:cs="Calibri"/>
        </w:rPr>
        <w:t>In order to</w:t>
      </w:r>
      <w:proofErr w:type="gramEnd"/>
      <w:r w:rsidRPr="00962C21">
        <w:rPr>
          <w:rFonts w:cs="Calibri"/>
        </w:rPr>
        <w:t xml:space="preserve"> trace activit</w:t>
      </w:r>
      <w:r w:rsidRPr="00962C21">
        <w:rPr>
          <w:rFonts w:cs="Calibri"/>
          <w:lang w:eastAsia="zh-CN"/>
        </w:rPr>
        <w:t>ies about</w:t>
      </w:r>
      <w:r w:rsidRPr="00962C21">
        <w:rPr>
          <w:rFonts w:cs="Calibri"/>
        </w:rPr>
        <w:t xml:space="preserve"> IoT DPM, different </w:t>
      </w:r>
      <w:r w:rsidRPr="00962C21">
        <w:rPr>
          <w:rFonts w:cs="Calibri"/>
          <w:lang w:eastAsia="zh-CN"/>
        </w:rPr>
        <w:t xml:space="preserve">IoT </w:t>
      </w:r>
      <w:r w:rsidRPr="00962C21">
        <w:rPr>
          <w:rFonts w:cs="Calibri"/>
        </w:rPr>
        <w:t xml:space="preserve">platforms may use the same activity log storage and related functionalities. </w:t>
      </w:r>
      <w:r w:rsidRPr="00962C21">
        <w:rPr>
          <w:rFonts w:eastAsiaTheme="minorEastAsia" w:cs="Calibri"/>
        </w:rPr>
        <w:t>Activity log management (ALM)</w:t>
      </w:r>
      <w:r w:rsidRPr="00962C21">
        <w:rPr>
          <w:rFonts w:cs="Calibri"/>
        </w:rPr>
        <w:t xml:space="preserve"> enabled by blockchain technologies provides functionalities to </w:t>
      </w:r>
      <w:r w:rsidRPr="00962C21">
        <w:rPr>
          <w:rFonts w:eastAsia="MS Mincho" w:cs="Calibri"/>
        </w:rPr>
        <w:t xml:space="preserve">manage </w:t>
      </w:r>
      <w:r w:rsidRPr="00962C21">
        <w:rPr>
          <w:rFonts w:cs="Calibri"/>
        </w:rPr>
        <w:t xml:space="preserve">activity logs for IoT DPM in </w:t>
      </w:r>
      <w:r w:rsidRPr="00962C21">
        <w:rPr>
          <w:rFonts w:cs="Calibri"/>
          <w:lang w:eastAsia="zh-CN"/>
        </w:rPr>
        <w:t xml:space="preserve">the </w:t>
      </w:r>
      <w:r w:rsidRPr="00962C21">
        <w:rPr>
          <w:rFonts w:cs="Calibri"/>
        </w:rPr>
        <w:t xml:space="preserve">full lifecycle across </w:t>
      </w:r>
      <w:r w:rsidRPr="00962C21">
        <w:rPr>
          <w:rFonts w:cs="Calibri"/>
          <w:lang w:eastAsia="zh-CN"/>
        </w:rPr>
        <w:t xml:space="preserve">IoT </w:t>
      </w:r>
      <w:r w:rsidRPr="00962C21">
        <w:rPr>
          <w:rFonts w:cs="Calibri"/>
        </w:rPr>
        <w:t>platforms.</w:t>
      </w:r>
      <w:r w:rsidRPr="00962C21">
        <w:rPr>
          <w:rFonts w:cs="Calibri"/>
          <w:lang w:eastAsia="zh-CN"/>
        </w:rPr>
        <w:t xml:space="preserve"> Different IoT platforms can individually save activity logs of IoT DPM into trustworthy shared storage via the ALM for IoT DPM. When they read activity logs of IoT DPM via the ALM, they can obtain all the relevant activity logs of IoT DPM in the full lifecycle from the trustworthy shared storage via the ALM for IoT DPM, if authorized. The ALM and the trustworthy shared storage are based on blockchain technologies and can protect the activity logs from tampering. The ALM can facilitate IoT platforms’ storing and tracing of activity logs of IoT DPM in the full lifecycle transparently and trustworthily.</w:t>
      </w:r>
    </w:p>
    <w:p w14:paraId="68AA0267" w14:textId="77777777" w:rsidR="003F1538" w:rsidRPr="00962C21" w:rsidRDefault="003F1538" w:rsidP="003F1538">
      <w:pPr>
        <w:jc w:val="both"/>
        <w:rPr>
          <w:rFonts w:cs="Calibri"/>
          <w:lang w:eastAsia="zh-CN"/>
        </w:rPr>
      </w:pPr>
      <w:r w:rsidRPr="00962C21">
        <w:rPr>
          <w:rFonts w:cs="Calibri"/>
        </w:rPr>
        <w:t xml:space="preserve">This Recommendation </w:t>
      </w:r>
      <w:r w:rsidRPr="00962C21">
        <w:rPr>
          <w:rFonts w:cs="Calibri"/>
          <w:lang w:eastAsia="zh-CN"/>
        </w:rPr>
        <w:t>presents</w:t>
      </w:r>
      <w:r w:rsidRPr="00962C21">
        <w:rPr>
          <w:rFonts w:cs="Calibri"/>
        </w:rPr>
        <w:t xml:space="preserve"> </w:t>
      </w:r>
      <w:r w:rsidRPr="00962C21">
        <w:rPr>
          <w:rFonts w:cs="Calibri"/>
          <w:lang w:eastAsia="zh-CN"/>
        </w:rPr>
        <w:t xml:space="preserve">a </w:t>
      </w:r>
      <w:r w:rsidRPr="00962C21">
        <w:rPr>
          <w:rFonts w:cs="Calibri"/>
        </w:rPr>
        <w:t xml:space="preserve">blockchain-based </w:t>
      </w:r>
      <w:r w:rsidRPr="00962C21">
        <w:rPr>
          <w:rFonts w:cs="Calibri"/>
          <w:lang w:eastAsia="zh-CN"/>
        </w:rPr>
        <w:t>ALM</w:t>
      </w:r>
      <w:r w:rsidRPr="00962C21">
        <w:rPr>
          <w:rFonts w:cs="Calibri"/>
        </w:rPr>
        <w:t xml:space="preserve"> for IoT data processing and management, and specifies its characteristics, functional requirements and architecture.</w:t>
      </w:r>
    </w:p>
    <w:p w14:paraId="40EC4F06" w14:textId="248E40F9" w:rsidR="00C309F6" w:rsidRPr="00962C21" w:rsidRDefault="00C309F6" w:rsidP="00C309F6">
      <w:pPr>
        <w:spacing w:before="280"/>
        <w:ind w:left="1134" w:hanging="1134"/>
        <w:outlineLvl w:val="0"/>
        <w:rPr>
          <w:rFonts w:eastAsia="Times New Roman" w:cs="Calibri"/>
          <w:b/>
          <w:sz w:val="28"/>
          <w:lang w:val="fr-CH"/>
        </w:rPr>
      </w:pPr>
      <w:r w:rsidRPr="00962C21">
        <w:rPr>
          <w:rFonts w:eastAsia="Times New Roman" w:cs="Calibri"/>
          <w:b/>
          <w:sz w:val="28"/>
          <w:lang w:val="fr-CH"/>
        </w:rPr>
        <w:t>11</w:t>
      </w:r>
      <w:r w:rsidRPr="00962C21">
        <w:rPr>
          <w:rFonts w:eastAsia="Times New Roman" w:cs="Calibri"/>
          <w:b/>
          <w:sz w:val="28"/>
          <w:lang w:val="fr-CH"/>
        </w:rPr>
        <w:tab/>
        <w:t xml:space="preserve">Draft new </w:t>
      </w:r>
      <w:proofErr w:type="spellStart"/>
      <w:r w:rsidRPr="00962C21">
        <w:rPr>
          <w:rFonts w:eastAsia="Times New Roman" w:cs="Calibri"/>
          <w:b/>
          <w:sz w:val="28"/>
          <w:lang w:val="fr-CH"/>
        </w:rPr>
        <w:t>Recommendation</w:t>
      </w:r>
      <w:proofErr w:type="spellEnd"/>
      <w:r w:rsidRPr="00962C21">
        <w:rPr>
          <w:rFonts w:eastAsia="Times New Roman" w:cs="Calibri"/>
          <w:b/>
          <w:sz w:val="28"/>
          <w:lang w:val="fr-CH"/>
        </w:rPr>
        <w:t xml:space="preserve"> ITU-T </w:t>
      </w:r>
      <w:r w:rsidR="003F1538" w:rsidRPr="00DB29C3">
        <w:rPr>
          <w:rFonts w:eastAsia="Times New Roman" w:cs="Calibri"/>
          <w:b/>
          <w:sz w:val="28"/>
          <w:lang w:val="fr-CH"/>
        </w:rPr>
        <w:t xml:space="preserve">Y.4706 (ex </w:t>
      </w:r>
      <w:proofErr w:type="spellStart"/>
      <w:r w:rsidR="003F1538" w:rsidRPr="00DB29C3">
        <w:rPr>
          <w:rFonts w:eastAsia="Times New Roman" w:cs="Calibri"/>
          <w:b/>
          <w:sz w:val="28"/>
          <w:lang w:val="fr-CH"/>
        </w:rPr>
        <w:t>Y.dem</w:t>
      </w:r>
      <w:proofErr w:type="spellEnd"/>
      <w:r w:rsidR="003F1538" w:rsidRPr="00DB29C3">
        <w:rPr>
          <w:rFonts w:eastAsia="Times New Roman" w:cs="Calibri"/>
          <w:b/>
          <w:sz w:val="28"/>
          <w:lang w:val="fr-CH"/>
        </w:rPr>
        <w:t>-IoT</w:t>
      </w:r>
      <w:proofErr w:type="gramStart"/>
      <w:r w:rsidR="003F1538" w:rsidRPr="00DB29C3">
        <w:rPr>
          <w:rFonts w:eastAsia="Times New Roman" w:cs="Calibri"/>
          <w:b/>
          <w:sz w:val="28"/>
          <w:lang w:val="fr-CH"/>
        </w:rPr>
        <w:t>)</w:t>
      </w:r>
      <w:r w:rsidRPr="00962C21">
        <w:rPr>
          <w:rFonts w:eastAsia="Times New Roman" w:cs="Calibri"/>
          <w:b/>
          <w:sz w:val="28"/>
          <w:lang w:val="fr-CH"/>
        </w:rPr>
        <w:t>:</w:t>
      </w:r>
      <w:proofErr w:type="gramEnd"/>
      <w:r w:rsidRPr="00962C21">
        <w:rPr>
          <w:rFonts w:eastAsia="Times New Roman" w:cs="Calibri"/>
          <w:b/>
          <w:sz w:val="28"/>
          <w:lang w:val="fr-CH"/>
        </w:rPr>
        <w:t xml:space="preserve"> [</w:t>
      </w:r>
      <w:hyperlink r:id="rId23" w:history="1">
        <w:r w:rsidR="003F1538" w:rsidRPr="004638E2">
          <w:rPr>
            <w:rStyle w:val="Hyperlink"/>
            <w:rFonts w:eastAsia="Times New Roman" w:cs="Calibri"/>
            <w:b/>
            <w:sz w:val="28"/>
            <w:lang w:val="fr-CH"/>
          </w:rPr>
          <w:t>R31</w:t>
        </w:r>
      </w:hyperlink>
      <w:r w:rsidRPr="00962C21">
        <w:rPr>
          <w:rFonts w:eastAsia="Times New Roman" w:cs="Calibri"/>
          <w:b/>
          <w:sz w:val="28"/>
          <w:lang w:val="fr-CH"/>
        </w:rPr>
        <w:t>]</w:t>
      </w:r>
    </w:p>
    <w:p w14:paraId="6819AB67" w14:textId="77777777" w:rsidR="003F1538" w:rsidRPr="003F1538" w:rsidRDefault="003F1538" w:rsidP="003F1538">
      <w:pPr>
        <w:tabs>
          <w:tab w:val="clear" w:pos="1191"/>
          <w:tab w:val="left" w:pos="0"/>
        </w:tabs>
        <w:outlineLvl w:val="1"/>
        <w:rPr>
          <w:rFonts w:eastAsia="Times New Roman" w:cs="Calibri"/>
          <w:b/>
          <w:bCs/>
          <w:szCs w:val="24"/>
        </w:rPr>
      </w:pPr>
      <w:r w:rsidRPr="003F1538">
        <w:rPr>
          <w:rFonts w:eastAsia="Times New Roman" w:cs="Calibri"/>
          <w:b/>
          <w:bCs/>
          <w:szCs w:val="24"/>
        </w:rPr>
        <w:t>Data exchange model for Internet of things (IoT) devices in power transmission and transformation equipment</w:t>
      </w:r>
    </w:p>
    <w:p w14:paraId="5AF63226" w14:textId="77777777" w:rsidR="00C309F6" w:rsidRPr="00962C21" w:rsidRDefault="00C309F6" w:rsidP="00C309F6">
      <w:pPr>
        <w:ind w:left="1134" w:hanging="1134"/>
        <w:outlineLvl w:val="1"/>
        <w:rPr>
          <w:rFonts w:eastAsia="Times New Roman" w:cs="Calibri"/>
          <w:b/>
          <w:szCs w:val="24"/>
        </w:rPr>
      </w:pPr>
      <w:r w:rsidRPr="00962C21">
        <w:rPr>
          <w:rFonts w:eastAsia="Times New Roman" w:cs="Calibri"/>
          <w:b/>
          <w:szCs w:val="24"/>
        </w:rPr>
        <w:t>Summary</w:t>
      </w:r>
    </w:p>
    <w:p w14:paraId="44CB840C" w14:textId="77777777" w:rsidR="003F1538" w:rsidRPr="00962C21" w:rsidRDefault="003F1538" w:rsidP="003F1538">
      <w:pPr>
        <w:tabs>
          <w:tab w:val="clear" w:pos="1191"/>
          <w:tab w:val="left" w:pos="0"/>
        </w:tabs>
        <w:outlineLvl w:val="0"/>
        <w:rPr>
          <w:rFonts w:cs="Calibri"/>
          <w:szCs w:val="24"/>
          <w:lang w:eastAsia="zh-CN"/>
        </w:rPr>
      </w:pPr>
      <w:r w:rsidRPr="00962C21">
        <w:rPr>
          <w:rFonts w:cs="Calibri"/>
          <w:szCs w:val="24"/>
          <w:lang w:eastAsia="zh-CN"/>
        </w:rPr>
        <w:t xml:space="preserve">The Internet of things (IoT) devices in power transmission and transformation equipment can meet the demand for comprehensive and accurate data acquisition for power transmission and transformation equipment. Developing a data exchange model that </w:t>
      </w:r>
      <w:proofErr w:type="gramStart"/>
      <w:r w:rsidRPr="00962C21">
        <w:rPr>
          <w:rFonts w:cs="Calibri"/>
          <w:szCs w:val="24"/>
          <w:lang w:eastAsia="zh-CN"/>
        </w:rPr>
        <w:t>takes into account</w:t>
      </w:r>
      <w:proofErr w:type="gramEnd"/>
      <w:r w:rsidRPr="00962C21">
        <w:rPr>
          <w:rFonts w:cs="Calibri"/>
          <w:szCs w:val="24"/>
          <w:lang w:eastAsia="zh-CN"/>
        </w:rPr>
        <w:t xml:space="preserve"> the </w:t>
      </w:r>
      <w:r w:rsidRPr="00962C21">
        <w:rPr>
          <w:rFonts w:cs="Calibri"/>
          <w:szCs w:val="24"/>
          <w:lang w:eastAsia="zh-CN"/>
        </w:rPr>
        <w:lastRenderedPageBreak/>
        <w:t>utilization of applications, sharing, coordination is essential for the construction of a system for IoT-based power transmission and transformation equipment.</w:t>
      </w:r>
    </w:p>
    <w:p w14:paraId="6BF33B7C" w14:textId="77777777" w:rsidR="003F1538" w:rsidRPr="00962C21" w:rsidRDefault="003F1538" w:rsidP="003F1538">
      <w:pPr>
        <w:tabs>
          <w:tab w:val="clear" w:pos="1191"/>
          <w:tab w:val="left" w:pos="0"/>
        </w:tabs>
        <w:outlineLvl w:val="0"/>
        <w:rPr>
          <w:rFonts w:cs="Calibri"/>
          <w:szCs w:val="24"/>
          <w:lang w:eastAsia="zh-CN"/>
        </w:rPr>
      </w:pPr>
      <w:r w:rsidRPr="00962C21">
        <w:rPr>
          <w:rFonts w:cs="Calibri"/>
          <w:szCs w:val="24"/>
          <w:lang w:eastAsia="zh-CN"/>
        </w:rPr>
        <w:t>This Recommendation provides the requirements and model of IoT data exchange in power transmission and transformation equipment.</w:t>
      </w:r>
    </w:p>
    <w:p w14:paraId="23CA996A" w14:textId="76DC8DE9" w:rsidR="00C309F6" w:rsidRPr="00DB29C3" w:rsidRDefault="00C309F6" w:rsidP="003F1538">
      <w:pPr>
        <w:spacing w:before="280"/>
        <w:ind w:left="1134" w:hanging="1134"/>
        <w:outlineLvl w:val="0"/>
        <w:rPr>
          <w:rFonts w:eastAsia="Times New Roman" w:cs="Calibri"/>
          <w:b/>
          <w:sz w:val="28"/>
        </w:rPr>
      </w:pPr>
      <w:r w:rsidRPr="00DB29C3">
        <w:rPr>
          <w:rFonts w:eastAsia="Times New Roman" w:cs="Calibri"/>
          <w:b/>
          <w:sz w:val="28"/>
        </w:rPr>
        <w:t>12</w:t>
      </w:r>
      <w:r w:rsidRPr="00DB29C3">
        <w:rPr>
          <w:rFonts w:eastAsia="Times New Roman" w:cs="Calibri"/>
          <w:b/>
          <w:sz w:val="28"/>
        </w:rPr>
        <w:tab/>
        <w:t xml:space="preserve">Draft new Recommendation ITU-T </w:t>
      </w:r>
      <w:r w:rsidR="003F1538" w:rsidRPr="00DB29C3">
        <w:rPr>
          <w:rFonts w:cs="Calibri"/>
          <w:b/>
          <w:sz w:val="28"/>
          <w:lang w:eastAsia="zh-CN"/>
        </w:rPr>
        <w:t>Y.4499 (ex Y.UIM-cs-framework)</w:t>
      </w:r>
      <w:r w:rsidRPr="00DB29C3">
        <w:rPr>
          <w:rFonts w:eastAsia="Times New Roman" w:cs="Calibri"/>
          <w:b/>
          <w:sz w:val="28"/>
        </w:rPr>
        <w:t>: [</w:t>
      </w:r>
      <w:hyperlink r:id="rId24" w:history="1">
        <w:r w:rsidR="003F1538" w:rsidRPr="00DB29C3">
          <w:rPr>
            <w:rStyle w:val="Hyperlink"/>
            <w:rFonts w:eastAsia="Times New Roman" w:cs="Calibri"/>
            <w:b/>
            <w:sz w:val="28"/>
          </w:rPr>
          <w:t>R32</w:t>
        </w:r>
      </w:hyperlink>
      <w:r w:rsidRPr="00DB29C3">
        <w:rPr>
          <w:rFonts w:eastAsia="Times New Roman" w:cs="Calibri"/>
          <w:b/>
          <w:sz w:val="28"/>
        </w:rPr>
        <w:t>]</w:t>
      </w:r>
    </w:p>
    <w:p w14:paraId="23D70B32" w14:textId="77777777" w:rsidR="003F1538" w:rsidRPr="00962C21" w:rsidRDefault="003F1538" w:rsidP="00C309F6">
      <w:pPr>
        <w:ind w:left="1134" w:hanging="1134"/>
        <w:outlineLvl w:val="1"/>
        <w:rPr>
          <w:rFonts w:eastAsia="Times New Roman" w:cs="Calibri"/>
          <w:b/>
          <w:bCs/>
          <w:szCs w:val="24"/>
        </w:rPr>
      </w:pPr>
      <w:r w:rsidRPr="00962C21">
        <w:rPr>
          <w:rFonts w:eastAsia="Times New Roman" w:cs="Calibri"/>
          <w:b/>
          <w:bCs/>
          <w:szCs w:val="24"/>
        </w:rPr>
        <w:t>Framework for urban infrastructure monitoring based on crowdsourcing</w:t>
      </w:r>
    </w:p>
    <w:p w14:paraId="09E752A0" w14:textId="2F3BCA92" w:rsidR="00C309F6" w:rsidRPr="00962C21" w:rsidRDefault="00C309F6" w:rsidP="00C309F6">
      <w:pPr>
        <w:ind w:left="1134" w:hanging="1134"/>
        <w:outlineLvl w:val="1"/>
        <w:rPr>
          <w:rFonts w:eastAsia="Times New Roman" w:cs="Calibri"/>
          <w:b/>
          <w:szCs w:val="24"/>
        </w:rPr>
      </w:pPr>
      <w:r w:rsidRPr="00962C21">
        <w:rPr>
          <w:rFonts w:eastAsia="Times New Roman" w:cs="Calibri"/>
          <w:b/>
          <w:szCs w:val="24"/>
        </w:rPr>
        <w:t>Summary</w:t>
      </w:r>
    </w:p>
    <w:p w14:paraId="75828878" w14:textId="77777777" w:rsidR="00B74136" w:rsidRPr="00962C21" w:rsidRDefault="00B74136" w:rsidP="00B74136">
      <w:pPr>
        <w:rPr>
          <w:rFonts w:eastAsia="SimSun" w:cs="Calibri"/>
          <w:lang w:eastAsia="zh-CN"/>
        </w:rPr>
      </w:pPr>
      <w:r w:rsidRPr="00962C21">
        <w:rPr>
          <w:rFonts w:cs="Calibri"/>
          <w:lang w:eastAsia="zh-CN"/>
        </w:rPr>
        <w:t xml:space="preserve">Recommendation ITU-T Y.4499 specifies a framework for </w:t>
      </w:r>
      <w:r w:rsidRPr="00962C21">
        <w:rPr>
          <w:rFonts w:cs="Calibri"/>
        </w:rPr>
        <w:t>urban infrastructure</w:t>
      </w:r>
      <w:r w:rsidRPr="00962C21">
        <w:rPr>
          <w:rFonts w:cs="Calibri"/>
          <w:lang w:eastAsia="zh-CN"/>
        </w:rPr>
        <w:t xml:space="preserve"> monitoring based on crowdsourcing</w:t>
      </w:r>
      <w:r w:rsidRPr="00962C21">
        <w:rPr>
          <w:rFonts w:cs="Calibri"/>
          <w:color w:val="000000" w:themeColor="text1"/>
          <w:lang w:eastAsia="zh-CN"/>
        </w:rPr>
        <w:t>,</w:t>
      </w:r>
      <w:r w:rsidRPr="00962C21">
        <w:rPr>
          <w:rFonts w:cs="Calibri"/>
          <w:lang w:eastAsia="zh-CN"/>
        </w:rPr>
        <w:t xml:space="preserve"> </w:t>
      </w:r>
      <w:r w:rsidRPr="00962C21">
        <w:rPr>
          <w:rFonts w:eastAsia="SimSun" w:cs="Calibri"/>
          <w:lang w:eastAsia="zh-CN"/>
        </w:rPr>
        <w:t>including</w:t>
      </w:r>
      <w:r w:rsidRPr="00962C21">
        <w:rPr>
          <w:rFonts w:cs="Calibri"/>
          <w:lang w:eastAsia="zh-CN"/>
        </w:rPr>
        <w:t xml:space="preserve"> requirements, functional architecture, common procedures, as well as security and privacy considerations.</w:t>
      </w:r>
    </w:p>
    <w:p w14:paraId="2BBA667F" w14:textId="77777777" w:rsidR="00B74136" w:rsidRPr="00962C21" w:rsidRDefault="00B74136" w:rsidP="00B74136">
      <w:pPr>
        <w:rPr>
          <w:rFonts w:cs="Calibri"/>
          <w:lang w:eastAsia="zh-CN"/>
        </w:rPr>
      </w:pPr>
      <w:r w:rsidRPr="00962C21">
        <w:rPr>
          <w:rFonts w:eastAsia="SimSun" w:cs="Calibri"/>
          <w:lang w:eastAsia="zh-CN"/>
        </w:rPr>
        <w:t xml:space="preserve">Urban infrastructure includes the </w:t>
      </w:r>
      <w:r w:rsidRPr="00962C21">
        <w:rPr>
          <w:rFonts w:cs="Calibri"/>
          <w:lang w:eastAsia="zh-CN"/>
        </w:rPr>
        <w:t>p</w:t>
      </w:r>
      <w:r w:rsidRPr="00962C21">
        <w:rPr>
          <w:rFonts w:cs="Calibri"/>
        </w:rPr>
        <w:t>hysical</w:t>
      </w:r>
      <w:r w:rsidRPr="00962C21">
        <w:rPr>
          <w:rFonts w:eastAsia="SimSun" w:cs="Calibri"/>
          <w:color w:val="000000"/>
          <w:lang w:eastAsia="zh-CN"/>
        </w:rPr>
        <w:t xml:space="preserve"> facilities and systems</w:t>
      </w:r>
      <w:r w:rsidRPr="00962C21">
        <w:rPr>
          <w:rFonts w:eastAsia="SimSun" w:cs="Calibri"/>
          <w:lang w:eastAsia="zh-CN"/>
        </w:rPr>
        <w:t xml:space="preserve"> that a city must have for its operation and development. It has the characteristics of large quantity, wide distribution and high management difficulty. </w:t>
      </w:r>
      <w:r w:rsidRPr="00962C21">
        <w:rPr>
          <w:rFonts w:cs="Calibri"/>
        </w:rPr>
        <w:t>Crowd</w:t>
      </w:r>
      <w:r w:rsidRPr="00962C21">
        <w:rPr>
          <w:rFonts w:eastAsia="SimSun" w:cs="Calibri"/>
          <w:color w:val="000000"/>
          <w:lang w:eastAsia="zh-CN"/>
        </w:rPr>
        <w:t xml:space="preserve">sourcing is the practice of engaging a group of people for a common goal. It can </w:t>
      </w:r>
      <w:r w:rsidRPr="00962C21">
        <w:rPr>
          <w:rFonts w:cs="Calibri"/>
        </w:rPr>
        <w:t>provide a scalable and financially viable way to monitor urban infrastructure.</w:t>
      </w:r>
      <w:r w:rsidRPr="00962C21">
        <w:rPr>
          <w:rFonts w:cs="Calibri"/>
          <w:lang w:eastAsia="zh-CN"/>
        </w:rPr>
        <w:t xml:space="preserve"> </w:t>
      </w:r>
    </w:p>
    <w:p w14:paraId="39844EAA" w14:textId="77777777" w:rsidR="00C309F6" w:rsidRPr="00962C21" w:rsidRDefault="00C309F6" w:rsidP="00C309F6">
      <w:pPr>
        <w:keepNext/>
        <w:keepLines/>
        <w:spacing w:after="120"/>
        <w:rPr>
          <w:rFonts w:cs="Calibri"/>
          <w:szCs w:val="24"/>
          <w:lang w:eastAsia="zh-CN"/>
        </w:rPr>
      </w:pPr>
    </w:p>
    <w:p w14:paraId="16366C7A" w14:textId="77777777" w:rsidR="00C309F6" w:rsidRPr="00962C21" w:rsidRDefault="00C309F6" w:rsidP="00C309F6">
      <w:pPr>
        <w:keepNext/>
        <w:keepLines/>
        <w:spacing w:after="120"/>
        <w:rPr>
          <w:rFonts w:cs="Calibri"/>
          <w:szCs w:val="24"/>
          <w:lang w:eastAsia="zh-CN"/>
        </w:rPr>
      </w:pPr>
    </w:p>
    <w:p w14:paraId="6533F563" w14:textId="77777777" w:rsidR="00C309F6" w:rsidRPr="00962C21" w:rsidRDefault="00C309F6" w:rsidP="00C309F6">
      <w:pPr>
        <w:keepNext/>
        <w:keepLines/>
        <w:spacing w:after="120"/>
        <w:rPr>
          <w:rFonts w:cs="Calibri"/>
          <w:szCs w:val="24"/>
          <w:lang w:eastAsia="zh-CN"/>
        </w:rPr>
      </w:pPr>
    </w:p>
    <w:p w14:paraId="3A528BFD" w14:textId="77777777" w:rsidR="00C309F6" w:rsidRPr="00962C21" w:rsidRDefault="00C309F6" w:rsidP="0054019D">
      <w:pPr>
        <w:keepNext/>
        <w:keepLines/>
        <w:spacing w:after="120"/>
        <w:rPr>
          <w:rFonts w:cs="Calibri"/>
          <w:szCs w:val="24"/>
          <w:highlight w:val="yellow"/>
          <w:lang w:eastAsia="zh-CN"/>
        </w:rPr>
      </w:pPr>
    </w:p>
    <w:p w14:paraId="34A8EE5D" w14:textId="47C9E2A7" w:rsidR="00B60460" w:rsidRPr="00DA28EB" w:rsidRDefault="00B60460" w:rsidP="00B60460">
      <w:pPr>
        <w:keepNext/>
        <w:keepLines/>
        <w:spacing w:after="280"/>
        <w:jc w:val="center"/>
        <w:rPr>
          <w:rFonts w:eastAsia="Times New Roman"/>
          <w:b/>
          <w:sz w:val="28"/>
        </w:rPr>
      </w:pPr>
      <w:r w:rsidRPr="00C84C83">
        <w:rPr>
          <w:rFonts w:eastAsia="Times New Roman"/>
          <w:b/>
          <w:sz w:val="28"/>
          <w:highlight w:val="yellow"/>
        </w:rPr>
        <w:br w:type="page"/>
      </w:r>
      <w:r w:rsidRPr="00DA28EB">
        <w:rPr>
          <w:rFonts w:eastAsia="Times New Roman"/>
          <w:b/>
          <w:sz w:val="28"/>
        </w:rPr>
        <w:lastRenderedPageBreak/>
        <w:t>Annex 2</w:t>
      </w:r>
    </w:p>
    <w:p w14:paraId="4FCD2C38" w14:textId="0F7DF5D6" w:rsidR="00B60460" w:rsidRPr="00DA28EB" w:rsidRDefault="00B60460" w:rsidP="00B60460">
      <w:pPr>
        <w:keepNext/>
        <w:keepLines/>
        <w:spacing w:before="240" w:after="280"/>
        <w:jc w:val="center"/>
        <w:rPr>
          <w:rFonts w:eastAsia="Times New Roman"/>
          <w:b/>
          <w:sz w:val="28"/>
        </w:rPr>
      </w:pPr>
      <w:r w:rsidRPr="00DA28EB">
        <w:rPr>
          <w:rFonts w:eastAsia="Times New Roman"/>
          <w:b/>
          <w:sz w:val="28"/>
        </w:rPr>
        <w:t>Subject: Member State response to TSB Circula</w:t>
      </w:r>
      <w:r w:rsidRPr="00001D05">
        <w:rPr>
          <w:rFonts w:eastAsia="Times New Roman"/>
          <w:b/>
          <w:sz w:val="28"/>
        </w:rPr>
        <w:t>r</w:t>
      </w:r>
      <w:r w:rsidR="0054116D" w:rsidRPr="00001D05">
        <w:rPr>
          <w:rFonts w:eastAsia="Times New Roman"/>
          <w:b/>
          <w:sz w:val="28"/>
        </w:rPr>
        <w:t xml:space="preserve"> </w:t>
      </w:r>
      <w:r w:rsidR="00001D05" w:rsidRPr="00001D05">
        <w:rPr>
          <w:rFonts w:eastAsia="Times New Roman"/>
          <w:b/>
          <w:sz w:val="28"/>
        </w:rPr>
        <w:t>236</w:t>
      </w:r>
      <w:r w:rsidRPr="00001D05">
        <w:rPr>
          <w:rFonts w:eastAsia="Times New Roman"/>
          <w:b/>
          <w:sz w:val="28"/>
        </w:rPr>
        <w:t>:</w:t>
      </w:r>
      <w:r w:rsidRPr="00C84C83">
        <w:rPr>
          <w:rFonts w:eastAsia="Times New Roman"/>
          <w:b/>
          <w:sz w:val="28"/>
          <w:highlight w:val="yellow"/>
        </w:rPr>
        <w:br/>
      </w:r>
      <w:r w:rsidRPr="00DA28EB">
        <w:rPr>
          <w:rFonts w:eastAsia="Times New Roman"/>
          <w:b/>
          <w:sz w:val="28"/>
        </w:rPr>
        <w:t xml:space="preserve">Consultation on Determined draft new Recommendations </w:t>
      </w:r>
      <w:r w:rsidR="00256582" w:rsidRPr="00DA28EB">
        <w:rPr>
          <w:rFonts w:eastAsia="Times New Roman"/>
          <w:b/>
          <w:sz w:val="28"/>
        </w:rPr>
        <w:t xml:space="preserve">ITU-T </w:t>
      </w:r>
      <w:r w:rsidR="00DA28EB" w:rsidRPr="00DA28EB">
        <w:rPr>
          <w:rFonts w:eastAsia="Times New Roman"/>
          <w:b/>
          <w:sz w:val="28"/>
        </w:rPr>
        <w:t xml:space="preserve">Y.4506 (ex Y.DRI-arch), Y.4229 (ex </w:t>
      </w:r>
      <w:proofErr w:type="spellStart"/>
      <w:r w:rsidR="00DA28EB" w:rsidRPr="00DA28EB">
        <w:rPr>
          <w:rFonts w:eastAsia="Times New Roman"/>
          <w:b/>
          <w:sz w:val="28"/>
        </w:rPr>
        <w:t>Y.IoT</w:t>
      </w:r>
      <w:proofErr w:type="spellEnd"/>
      <w:r w:rsidR="00DA28EB" w:rsidRPr="00DA28EB">
        <w:rPr>
          <w:rFonts w:eastAsia="Times New Roman"/>
          <w:b/>
          <w:sz w:val="28"/>
        </w:rPr>
        <w:t xml:space="preserve">-SFFS), Y.4230 (ex Y.EV-charging), Y.4231 (ex </w:t>
      </w:r>
      <w:proofErr w:type="spellStart"/>
      <w:r w:rsidR="00DA28EB" w:rsidRPr="00DA28EB">
        <w:rPr>
          <w:rFonts w:eastAsia="Times New Roman"/>
          <w:b/>
          <w:sz w:val="28"/>
        </w:rPr>
        <w:t>Y.IoT-Vreqs</w:t>
      </w:r>
      <w:proofErr w:type="spellEnd"/>
      <w:r w:rsidR="00DA28EB" w:rsidRPr="00DA28EB">
        <w:rPr>
          <w:rFonts w:eastAsia="Times New Roman"/>
          <w:b/>
          <w:sz w:val="28"/>
        </w:rPr>
        <w:t xml:space="preserve">), Y.4232 (ex </w:t>
      </w:r>
      <w:proofErr w:type="spellStart"/>
      <w:r w:rsidR="00DA28EB" w:rsidRPr="00DA28EB">
        <w:rPr>
          <w:rFonts w:eastAsia="Times New Roman"/>
          <w:b/>
          <w:sz w:val="28"/>
        </w:rPr>
        <w:t>Y.IoT</w:t>
      </w:r>
      <w:proofErr w:type="spellEnd"/>
      <w:r w:rsidR="00DA28EB" w:rsidRPr="00DA28EB">
        <w:rPr>
          <w:rFonts w:eastAsia="Times New Roman"/>
          <w:b/>
          <w:sz w:val="28"/>
        </w:rPr>
        <w:t xml:space="preserve">-RTPS), Y.4233 (ex Y.FSPH), Y.4234 (ex </w:t>
      </w:r>
      <w:proofErr w:type="spellStart"/>
      <w:r w:rsidR="00DA28EB" w:rsidRPr="00DA28EB">
        <w:rPr>
          <w:rFonts w:eastAsia="Times New Roman"/>
          <w:b/>
          <w:sz w:val="28"/>
        </w:rPr>
        <w:t>Y.RemoteEd</w:t>
      </w:r>
      <w:proofErr w:type="spellEnd"/>
      <w:r w:rsidR="00DA28EB" w:rsidRPr="00DA28EB">
        <w:rPr>
          <w:rFonts w:eastAsia="Times New Roman"/>
          <w:b/>
          <w:sz w:val="28"/>
        </w:rPr>
        <w:t xml:space="preserve">), Y.4222 (ex </w:t>
      </w:r>
      <w:proofErr w:type="spellStart"/>
      <w:r w:rsidR="00DA28EB" w:rsidRPr="00DA28EB">
        <w:rPr>
          <w:rFonts w:eastAsia="Times New Roman"/>
          <w:b/>
          <w:sz w:val="28"/>
        </w:rPr>
        <w:t>Y.smart</w:t>
      </w:r>
      <w:proofErr w:type="spellEnd"/>
      <w:r w:rsidR="00DA28EB" w:rsidRPr="00DA28EB">
        <w:rPr>
          <w:rFonts w:eastAsia="Times New Roman"/>
          <w:b/>
          <w:sz w:val="28"/>
        </w:rPr>
        <w:t>-evacuation), Y.4507 (ex Y.arc-</w:t>
      </w:r>
      <w:proofErr w:type="spellStart"/>
      <w:r w:rsidR="00DA28EB" w:rsidRPr="00DA28EB">
        <w:rPr>
          <w:rFonts w:eastAsia="Times New Roman"/>
          <w:b/>
          <w:sz w:val="28"/>
        </w:rPr>
        <w:t>psfws</w:t>
      </w:r>
      <w:proofErr w:type="spellEnd"/>
      <w:r w:rsidR="00DA28EB" w:rsidRPr="00DA28EB">
        <w:rPr>
          <w:rFonts w:eastAsia="Times New Roman"/>
          <w:b/>
          <w:sz w:val="28"/>
        </w:rPr>
        <w:t>), Y.4508 (ex Y.DPM-</w:t>
      </w:r>
      <w:proofErr w:type="spellStart"/>
      <w:r w:rsidR="00DA28EB" w:rsidRPr="00DA28EB">
        <w:rPr>
          <w:rFonts w:eastAsia="Times New Roman"/>
          <w:b/>
          <w:sz w:val="28"/>
        </w:rPr>
        <w:t>alm</w:t>
      </w:r>
      <w:proofErr w:type="spellEnd"/>
      <w:r w:rsidR="00DA28EB" w:rsidRPr="00DA28EB">
        <w:rPr>
          <w:rFonts w:eastAsia="Times New Roman"/>
          <w:b/>
          <w:sz w:val="28"/>
        </w:rPr>
        <w:t>-</w:t>
      </w:r>
      <w:proofErr w:type="spellStart"/>
      <w:r w:rsidR="00DA28EB" w:rsidRPr="00DA28EB">
        <w:rPr>
          <w:rFonts w:eastAsia="Times New Roman"/>
          <w:b/>
          <w:sz w:val="28"/>
        </w:rPr>
        <w:t>fra</w:t>
      </w:r>
      <w:proofErr w:type="spellEnd"/>
      <w:r w:rsidR="00DA28EB" w:rsidRPr="00DA28EB">
        <w:rPr>
          <w:rFonts w:eastAsia="Times New Roman"/>
          <w:b/>
          <w:sz w:val="28"/>
        </w:rPr>
        <w:t xml:space="preserve">), Y.4706 (ex </w:t>
      </w:r>
      <w:proofErr w:type="spellStart"/>
      <w:r w:rsidR="00DA28EB" w:rsidRPr="00DA28EB">
        <w:rPr>
          <w:rFonts w:eastAsia="Times New Roman"/>
          <w:b/>
          <w:sz w:val="28"/>
        </w:rPr>
        <w:t>Y.dem</w:t>
      </w:r>
      <w:proofErr w:type="spellEnd"/>
      <w:r w:rsidR="00DA28EB" w:rsidRPr="00DA28EB">
        <w:rPr>
          <w:rFonts w:eastAsia="Times New Roman"/>
          <w:b/>
          <w:sz w:val="28"/>
        </w:rPr>
        <w:t>-IoT) and Y.4499 (ex Y.UIM-cs-framework)</w:t>
      </w:r>
    </w:p>
    <w:tbl>
      <w:tblPr>
        <w:tblW w:w="9957" w:type="dxa"/>
        <w:tblInd w:w="-176" w:type="dxa"/>
        <w:tblLayout w:type="fixed"/>
        <w:tblLook w:val="04A0" w:firstRow="1" w:lastRow="0" w:firstColumn="1" w:lastColumn="0" w:noHBand="0" w:noVBand="1"/>
      </w:tblPr>
      <w:tblGrid>
        <w:gridCol w:w="1005"/>
        <w:gridCol w:w="4558"/>
        <w:gridCol w:w="992"/>
        <w:gridCol w:w="3402"/>
      </w:tblGrid>
      <w:tr w:rsidR="00B60460" w:rsidRPr="00A47840" w14:paraId="6FE50E3D" w14:textId="77777777" w:rsidTr="004A76B1">
        <w:tc>
          <w:tcPr>
            <w:tcW w:w="1005" w:type="dxa"/>
            <w:shd w:val="clear" w:color="auto" w:fill="auto"/>
          </w:tcPr>
          <w:p w14:paraId="0D26304C" w14:textId="77777777" w:rsidR="00B60460" w:rsidRPr="00A47840" w:rsidRDefault="00B60460" w:rsidP="00B60460">
            <w:pPr>
              <w:jc w:val="right"/>
              <w:rPr>
                <w:rFonts w:eastAsia="Times New Roman"/>
                <w:szCs w:val="24"/>
              </w:rPr>
            </w:pPr>
            <w:r w:rsidRPr="00A47840">
              <w:rPr>
                <w:rFonts w:eastAsia="Times New Roman"/>
                <w:b/>
                <w:bCs/>
                <w:szCs w:val="24"/>
              </w:rPr>
              <w:t>To</w:t>
            </w:r>
            <w:r w:rsidRPr="00A47840">
              <w:rPr>
                <w:rFonts w:eastAsia="Times New Roman"/>
                <w:szCs w:val="24"/>
              </w:rPr>
              <w:t>:</w:t>
            </w:r>
          </w:p>
        </w:tc>
        <w:tc>
          <w:tcPr>
            <w:tcW w:w="4558" w:type="dxa"/>
            <w:tcBorders>
              <w:right w:val="single" w:sz="8" w:space="0" w:color="auto"/>
            </w:tcBorders>
            <w:shd w:val="clear" w:color="auto" w:fill="auto"/>
          </w:tcPr>
          <w:p w14:paraId="0D177FD2" w14:textId="77777777" w:rsidR="00B60460" w:rsidRPr="00A47840" w:rsidRDefault="00B60460" w:rsidP="00B60460">
            <w:pPr>
              <w:rPr>
                <w:rFonts w:eastAsia="Times New Roman"/>
                <w:szCs w:val="24"/>
              </w:rPr>
            </w:pPr>
            <w:r w:rsidRPr="00A47840">
              <w:rPr>
                <w:rFonts w:eastAsia="Times New Roman"/>
                <w:szCs w:val="24"/>
              </w:rPr>
              <w:t xml:space="preserve">Director of the </w:t>
            </w:r>
            <w:r w:rsidRPr="00A47840">
              <w:rPr>
                <w:rFonts w:eastAsia="Times New Roman"/>
                <w:szCs w:val="24"/>
              </w:rPr>
              <w:br/>
              <w:t>Telecommunication Standardization Bureau,</w:t>
            </w:r>
          </w:p>
          <w:p w14:paraId="598F5535" w14:textId="77777777" w:rsidR="00B60460" w:rsidRPr="00A47840" w:rsidRDefault="00B60460" w:rsidP="00B60460">
            <w:pPr>
              <w:spacing w:before="0"/>
              <w:rPr>
                <w:rFonts w:eastAsia="Times New Roman"/>
                <w:szCs w:val="24"/>
                <w:lang w:val="fr-CH"/>
              </w:rPr>
            </w:pPr>
            <w:r w:rsidRPr="00A47840">
              <w:rPr>
                <w:rFonts w:eastAsia="Times New Roman"/>
                <w:szCs w:val="24"/>
                <w:lang w:val="fr-CH"/>
              </w:rPr>
              <w:t xml:space="preserve">International </w:t>
            </w:r>
            <w:proofErr w:type="spellStart"/>
            <w:r w:rsidRPr="00A47840">
              <w:rPr>
                <w:rFonts w:eastAsia="Times New Roman"/>
                <w:szCs w:val="24"/>
                <w:lang w:val="fr-CH"/>
              </w:rPr>
              <w:t>Telecommunication</w:t>
            </w:r>
            <w:proofErr w:type="spellEnd"/>
            <w:r w:rsidRPr="00A47840">
              <w:rPr>
                <w:rFonts w:eastAsia="Times New Roman"/>
                <w:szCs w:val="24"/>
                <w:lang w:val="fr-CH"/>
              </w:rPr>
              <w:t xml:space="preserve"> Union</w:t>
            </w:r>
          </w:p>
          <w:p w14:paraId="6AC4BBC0" w14:textId="77777777" w:rsidR="00B60460" w:rsidRPr="00A47840" w:rsidRDefault="00B60460" w:rsidP="00B60460">
            <w:pPr>
              <w:spacing w:before="0"/>
              <w:rPr>
                <w:rFonts w:eastAsia="Times New Roman"/>
                <w:szCs w:val="24"/>
                <w:lang w:val="fr-CH"/>
              </w:rPr>
            </w:pPr>
            <w:r w:rsidRPr="00A47840">
              <w:rPr>
                <w:rFonts w:eastAsia="Times New Roman"/>
                <w:szCs w:val="24"/>
                <w:lang w:val="fr-CH"/>
              </w:rPr>
              <w:t>Place des Nations</w:t>
            </w:r>
          </w:p>
          <w:p w14:paraId="1863AB5D" w14:textId="77777777" w:rsidR="00B60460" w:rsidRPr="00A47840" w:rsidRDefault="00B60460" w:rsidP="00B60460">
            <w:pPr>
              <w:spacing w:before="0"/>
              <w:rPr>
                <w:rFonts w:eastAsia="Times New Roman"/>
                <w:szCs w:val="24"/>
              </w:rPr>
            </w:pPr>
            <w:r w:rsidRPr="00A47840">
              <w:rPr>
                <w:rFonts w:eastAsia="Times New Roman"/>
                <w:szCs w:val="24"/>
              </w:rPr>
              <w:t>CH 1211 Geneva 20, Switzerland</w:t>
            </w:r>
          </w:p>
        </w:tc>
        <w:tc>
          <w:tcPr>
            <w:tcW w:w="992" w:type="dxa"/>
            <w:tcBorders>
              <w:left w:val="single" w:sz="8" w:space="0" w:color="auto"/>
            </w:tcBorders>
            <w:shd w:val="clear" w:color="auto" w:fill="auto"/>
          </w:tcPr>
          <w:p w14:paraId="42B1D6F1" w14:textId="77777777" w:rsidR="00B60460" w:rsidRPr="00A47840" w:rsidRDefault="00B60460" w:rsidP="00B60460">
            <w:pPr>
              <w:jc w:val="right"/>
              <w:rPr>
                <w:rFonts w:eastAsia="Times New Roman"/>
                <w:szCs w:val="24"/>
              </w:rPr>
            </w:pPr>
            <w:r w:rsidRPr="00A47840">
              <w:rPr>
                <w:rFonts w:eastAsia="Times New Roman"/>
                <w:b/>
                <w:bCs/>
                <w:szCs w:val="24"/>
              </w:rPr>
              <w:t>From</w:t>
            </w:r>
            <w:r w:rsidRPr="00A47840">
              <w:rPr>
                <w:rFonts w:eastAsia="Times New Roman"/>
                <w:szCs w:val="24"/>
              </w:rPr>
              <w:t>:</w:t>
            </w:r>
          </w:p>
        </w:tc>
        <w:tc>
          <w:tcPr>
            <w:tcW w:w="3402" w:type="dxa"/>
            <w:shd w:val="clear" w:color="auto" w:fill="auto"/>
          </w:tcPr>
          <w:p w14:paraId="3B8FB251" w14:textId="77777777" w:rsidR="00B60460" w:rsidRPr="00A47840" w:rsidRDefault="00B60460" w:rsidP="00B60460">
            <w:pPr>
              <w:rPr>
                <w:rFonts w:eastAsia="Times New Roman"/>
                <w:szCs w:val="24"/>
              </w:rPr>
            </w:pPr>
            <w:r w:rsidRPr="00A47840">
              <w:rPr>
                <w:rFonts w:eastAsia="Times New Roman"/>
                <w:szCs w:val="24"/>
              </w:rPr>
              <w:t>[Name]</w:t>
            </w:r>
          </w:p>
          <w:p w14:paraId="12B8B44E" w14:textId="77777777" w:rsidR="00B60460" w:rsidRPr="00A47840" w:rsidRDefault="00B60460" w:rsidP="00B60460">
            <w:pPr>
              <w:spacing w:before="0"/>
              <w:rPr>
                <w:rFonts w:eastAsia="Times New Roman"/>
                <w:szCs w:val="24"/>
              </w:rPr>
            </w:pPr>
            <w:r w:rsidRPr="00A47840">
              <w:rPr>
                <w:rFonts w:eastAsia="Times New Roman"/>
                <w:szCs w:val="24"/>
              </w:rPr>
              <w:t>[Official role/title]</w:t>
            </w:r>
          </w:p>
          <w:p w14:paraId="52E9D6DF" w14:textId="77777777" w:rsidR="00B60460" w:rsidRPr="00A47840" w:rsidRDefault="00B60460" w:rsidP="00B60460">
            <w:pPr>
              <w:spacing w:before="0"/>
              <w:rPr>
                <w:rFonts w:eastAsia="Times New Roman"/>
                <w:szCs w:val="24"/>
              </w:rPr>
            </w:pPr>
            <w:r w:rsidRPr="00A47840">
              <w:rPr>
                <w:rFonts w:eastAsia="Times New Roman"/>
                <w:szCs w:val="24"/>
              </w:rPr>
              <w:t>[Address]</w:t>
            </w:r>
          </w:p>
        </w:tc>
      </w:tr>
      <w:tr w:rsidR="00B60460" w:rsidRPr="00A47840" w14:paraId="5BE1C14F" w14:textId="77777777" w:rsidTr="004A76B1">
        <w:tc>
          <w:tcPr>
            <w:tcW w:w="1005" w:type="dxa"/>
            <w:shd w:val="clear" w:color="auto" w:fill="auto"/>
          </w:tcPr>
          <w:p w14:paraId="41602336" w14:textId="77777777" w:rsidR="00B60460" w:rsidRPr="00A47840" w:rsidRDefault="00B60460" w:rsidP="00B60460">
            <w:pPr>
              <w:spacing w:before="0"/>
              <w:jc w:val="right"/>
              <w:rPr>
                <w:rFonts w:eastAsia="Times New Roman"/>
                <w:szCs w:val="24"/>
              </w:rPr>
            </w:pPr>
            <w:r w:rsidRPr="00A47840">
              <w:rPr>
                <w:rFonts w:eastAsia="Times New Roman"/>
                <w:b/>
                <w:bCs/>
                <w:szCs w:val="24"/>
              </w:rPr>
              <w:t>Fax</w:t>
            </w:r>
            <w:r w:rsidRPr="00A47840">
              <w:rPr>
                <w:rFonts w:eastAsia="Times New Roman"/>
                <w:szCs w:val="24"/>
              </w:rPr>
              <w:t>:</w:t>
            </w:r>
          </w:p>
          <w:p w14:paraId="20339B92" w14:textId="77777777" w:rsidR="00B60460" w:rsidRPr="00A47840" w:rsidRDefault="00B60460" w:rsidP="00B60460">
            <w:pPr>
              <w:spacing w:before="0"/>
              <w:jc w:val="right"/>
              <w:rPr>
                <w:rFonts w:eastAsia="Times New Roman"/>
                <w:szCs w:val="24"/>
              </w:rPr>
            </w:pPr>
            <w:r w:rsidRPr="00A47840">
              <w:rPr>
                <w:rFonts w:eastAsia="Times New Roman"/>
                <w:b/>
                <w:bCs/>
                <w:szCs w:val="24"/>
              </w:rPr>
              <w:t>E-mail</w:t>
            </w:r>
            <w:r w:rsidRPr="00A47840">
              <w:rPr>
                <w:rFonts w:eastAsia="Times New Roman"/>
                <w:szCs w:val="24"/>
              </w:rPr>
              <w:t>:</w:t>
            </w:r>
          </w:p>
        </w:tc>
        <w:tc>
          <w:tcPr>
            <w:tcW w:w="4558" w:type="dxa"/>
            <w:tcBorders>
              <w:right w:val="single" w:sz="8" w:space="0" w:color="auto"/>
            </w:tcBorders>
            <w:shd w:val="clear" w:color="auto" w:fill="auto"/>
          </w:tcPr>
          <w:p w14:paraId="76E3F86B" w14:textId="77777777" w:rsidR="00B60460" w:rsidRPr="00A47840" w:rsidRDefault="00B60460" w:rsidP="00B60460">
            <w:pPr>
              <w:spacing w:before="0"/>
              <w:rPr>
                <w:rFonts w:eastAsia="Times New Roman"/>
                <w:szCs w:val="24"/>
              </w:rPr>
            </w:pPr>
            <w:r w:rsidRPr="00A47840">
              <w:rPr>
                <w:rFonts w:eastAsia="Times New Roman"/>
                <w:szCs w:val="24"/>
              </w:rPr>
              <w:t>+41-22-730-5853</w:t>
            </w:r>
          </w:p>
          <w:p w14:paraId="22BE0C8C" w14:textId="68AC810B" w:rsidR="00B60460" w:rsidRPr="00A47840" w:rsidRDefault="002537FE" w:rsidP="00B60460">
            <w:pPr>
              <w:spacing w:before="0"/>
              <w:rPr>
                <w:rFonts w:eastAsia="Times New Roman"/>
                <w:szCs w:val="24"/>
              </w:rPr>
            </w:pPr>
            <w:hyperlink r:id="rId25" w:history="1">
              <w:r w:rsidR="003F1538" w:rsidRPr="00A47840">
                <w:rPr>
                  <w:rStyle w:val="Hyperlink"/>
                  <w:rFonts w:eastAsia="Times New Roman"/>
                  <w:szCs w:val="24"/>
                </w:rPr>
                <w:t>tsbdir@itu.int</w:t>
              </w:r>
            </w:hyperlink>
            <w:r w:rsidR="00B60460" w:rsidRPr="00A47840">
              <w:rPr>
                <w:rFonts w:eastAsia="Times New Roman"/>
                <w:szCs w:val="24"/>
              </w:rPr>
              <w:t xml:space="preserve"> </w:t>
            </w:r>
          </w:p>
        </w:tc>
        <w:tc>
          <w:tcPr>
            <w:tcW w:w="992" w:type="dxa"/>
            <w:tcBorders>
              <w:left w:val="single" w:sz="8" w:space="0" w:color="auto"/>
            </w:tcBorders>
            <w:shd w:val="clear" w:color="auto" w:fill="auto"/>
          </w:tcPr>
          <w:p w14:paraId="6FF40B15" w14:textId="77777777" w:rsidR="00B60460" w:rsidRPr="00A47840" w:rsidRDefault="00B60460" w:rsidP="00B60460">
            <w:pPr>
              <w:spacing w:before="0"/>
              <w:jc w:val="right"/>
              <w:rPr>
                <w:rFonts w:eastAsia="Times New Roman"/>
                <w:szCs w:val="24"/>
              </w:rPr>
            </w:pPr>
            <w:r w:rsidRPr="00A47840">
              <w:rPr>
                <w:rFonts w:eastAsia="Times New Roman"/>
                <w:b/>
                <w:bCs/>
                <w:szCs w:val="24"/>
              </w:rPr>
              <w:t>Fax</w:t>
            </w:r>
            <w:r w:rsidRPr="00A47840">
              <w:rPr>
                <w:rFonts w:eastAsia="Times New Roman"/>
                <w:szCs w:val="24"/>
              </w:rPr>
              <w:t>:</w:t>
            </w:r>
          </w:p>
          <w:p w14:paraId="005A15A0" w14:textId="77777777" w:rsidR="00B60460" w:rsidRPr="00A47840" w:rsidRDefault="00B60460" w:rsidP="00B60460">
            <w:pPr>
              <w:spacing w:before="0"/>
              <w:jc w:val="right"/>
              <w:rPr>
                <w:rFonts w:eastAsia="Times New Roman"/>
                <w:szCs w:val="24"/>
              </w:rPr>
            </w:pPr>
            <w:r w:rsidRPr="00A47840">
              <w:rPr>
                <w:rFonts w:eastAsia="Times New Roman"/>
                <w:b/>
                <w:bCs/>
                <w:szCs w:val="24"/>
              </w:rPr>
              <w:t>E-mail</w:t>
            </w:r>
            <w:r w:rsidRPr="00A47840">
              <w:rPr>
                <w:rFonts w:eastAsia="Times New Roman"/>
                <w:szCs w:val="24"/>
              </w:rPr>
              <w:t>:</w:t>
            </w:r>
          </w:p>
        </w:tc>
        <w:tc>
          <w:tcPr>
            <w:tcW w:w="3402" w:type="dxa"/>
            <w:shd w:val="clear" w:color="auto" w:fill="auto"/>
          </w:tcPr>
          <w:p w14:paraId="1AFC4B4E" w14:textId="77777777" w:rsidR="00B60460" w:rsidRPr="00A47840" w:rsidRDefault="00B60460" w:rsidP="00B60460">
            <w:pPr>
              <w:spacing w:before="0"/>
              <w:rPr>
                <w:rFonts w:eastAsia="Times New Roman"/>
                <w:szCs w:val="24"/>
              </w:rPr>
            </w:pPr>
          </w:p>
        </w:tc>
      </w:tr>
      <w:tr w:rsidR="00B60460" w:rsidRPr="00A47840" w14:paraId="2D693535" w14:textId="77777777" w:rsidTr="004A76B1">
        <w:tc>
          <w:tcPr>
            <w:tcW w:w="1005" w:type="dxa"/>
            <w:shd w:val="clear" w:color="auto" w:fill="auto"/>
          </w:tcPr>
          <w:p w14:paraId="7EC1D0FB" w14:textId="77777777" w:rsidR="00B60460" w:rsidRPr="00A47840" w:rsidRDefault="00B60460" w:rsidP="00B60460">
            <w:pPr>
              <w:spacing w:before="0"/>
              <w:jc w:val="right"/>
              <w:rPr>
                <w:rFonts w:eastAsia="Times New Roman"/>
                <w:szCs w:val="24"/>
              </w:rPr>
            </w:pPr>
          </w:p>
        </w:tc>
        <w:tc>
          <w:tcPr>
            <w:tcW w:w="4558" w:type="dxa"/>
            <w:tcBorders>
              <w:right w:val="single" w:sz="8" w:space="0" w:color="auto"/>
            </w:tcBorders>
            <w:shd w:val="clear" w:color="auto" w:fill="auto"/>
          </w:tcPr>
          <w:p w14:paraId="6C7B32DA" w14:textId="77777777" w:rsidR="00B60460" w:rsidRPr="00A47840" w:rsidRDefault="00B60460" w:rsidP="00B60460">
            <w:pPr>
              <w:spacing w:before="0"/>
              <w:rPr>
                <w:rFonts w:eastAsia="Times New Roman"/>
                <w:szCs w:val="24"/>
              </w:rPr>
            </w:pPr>
          </w:p>
        </w:tc>
        <w:tc>
          <w:tcPr>
            <w:tcW w:w="992" w:type="dxa"/>
            <w:tcBorders>
              <w:left w:val="single" w:sz="8" w:space="0" w:color="auto"/>
            </w:tcBorders>
            <w:shd w:val="clear" w:color="auto" w:fill="auto"/>
          </w:tcPr>
          <w:p w14:paraId="4D5AD732" w14:textId="77777777" w:rsidR="00B60460" w:rsidRPr="00A47840" w:rsidRDefault="00B60460" w:rsidP="00B60460">
            <w:pPr>
              <w:spacing w:before="0"/>
              <w:jc w:val="right"/>
              <w:rPr>
                <w:rFonts w:eastAsia="Times New Roman"/>
                <w:szCs w:val="24"/>
              </w:rPr>
            </w:pPr>
            <w:r w:rsidRPr="00A47840">
              <w:rPr>
                <w:rFonts w:eastAsia="Times New Roman"/>
                <w:b/>
                <w:bCs/>
                <w:szCs w:val="24"/>
              </w:rPr>
              <w:t>Date</w:t>
            </w:r>
            <w:r w:rsidRPr="00A47840">
              <w:rPr>
                <w:rFonts w:eastAsia="Times New Roman"/>
                <w:szCs w:val="24"/>
              </w:rPr>
              <w:t>:</w:t>
            </w:r>
          </w:p>
        </w:tc>
        <w:tc>
          <w:tcPr>
            <w:tcW w:w="3402" w:type="dxa"/>
            <w:shd w:val="clear" w:color="auto" w:fill="auto"/>
          </w:tcPr>
          <w:p w14:paraId="30FE78B3" w14:textId="77777777" w:rsidR="00B60460" w:rsidRPr="00A47840" w:rsidRDefault="00B60460" w:rsidP="00B60460">
            <w:pPr>
              <w:spacing w:before="0"/>
              <w:rPr>
                <w:rFonts w:eastAsia="Times New Roman"/>
                <w:szCs w:val="24"/>
              </w:rPr>
            </w:pPr>
            <w:r w:rsidRPr="00A47840">
              <w:rPr>
                <w:rFonts w:eastAsia="Times New Roman"/>
                <w:szCs w:val="24"/>
              </w:rPr>
              <w:t>[Place,] [Date]</w:t>
            </w:r>
          </w:p>
        </w:tc>
      </w:tr>
    </w:tbl>
    <w:p w14:paraId="382B055A" w14:textId="77777777" w:rsidR="00B60460" w:rsidRPr="00A47840" w:rsidRDefault="00B60460" w:rsidP="00B60460">
      <w:pPr>
        <w:spacing w:before="360"/>
        <w:rPr>
          <w:rFonts w:eastAsia="Times New Roman"/>
          <w:szCs w:val="24"/>
        </w:rPr>
      </w:pPr>
      <w:r w:rsidRPr="00A47840">
        <w:rPr>
          <w:rFonts w:eastAsia="Times New Roman"/>
          <w:szCs w:val="24"/>
        </w:rPr>
        <w:t>Dear Sir/Madam,</w:t>
      </w:r>
    </w:p>
    <w:p w14:paraId="65791207" w14:textId="44FF5E87" w:rsidR="00B60460" w:rsidRPr="00A47840" w:rsidRDefault="00B60460" w:rsidP="00B60460">
      <w:pPr>
        <w:rPr>
          <w:rFonts w:eastAsia="Times New Roman"/>
          <w:szCs w:val="24"/>
        </w:rPr>
      </w:pPr>
      <w:r w:rsidRPr="00A47840">
        <w:rPr>
          <w:rFonts w:eastAsia="Times New Roman"/>
          <w:szCs w:val="24"/>
        </w:rPr>
        <w:t xml:space="preserve">With respect to the Member State consultation on the Determined draft texts listed in TSB Circular </w:t>
      </w:r>
      <w:r w:rsidR="00864CFB">
        <w:rPr>
          <w:rFonts w:eastAsia="Times New Roman"/>
          <w:szCs w:val="24"/>
        </w:rPr>
        <w:t>236</w:t>
      </w:r>
      <w:r w:rsidRPr="00A47840">
        <w:rPr>
          <w:rFonts w:eastAsia="Times New Roman"/>
          <w:szCs w:val="24"/>
        </w:rPr>
        <w:t>, I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634"/>
      </w:tblGrid>
      <w:tr w:rsidR="00B60460" w:rsidRPr="00A47840" w14:paraId="47CB1F3B" w14:textId="77777777" w:rsidTr="004A76B1">
        <w:trPr>
          <w:tblHeader/>
        </w:trPr>
        <w:tc>
          <w:tcPr>
            <w:tcW w:w="2085" w:type="dxa"/>
            <w:shd w:val="clear" w:color="auto" w:fill="auto"/>
            <w:vAlign w:val="center"/>
          </w:tcPr>
          <w:p w14:paraId="70B5898E" w14:textId="77777777" w:rsidR="00B60460" w:rsidRPr="00A47840" w:rsidRDefault="00B60460" w:rsidP="00B60460">
            <w:pPr>
              <w:spacing w:after="120"/>
              <w:jc w:val="center"/>
              <w:rPr>
                <w:rFonts w:eastAsia="Times New Roman"/>
                <w:b/>
                <w:bCs/>
                <w:szCs w:val="24"/>
                <w:lang w:val="en-US"/>
              </w:rPr>
            </w:pPr>
          </w:p>
        </w:tc>
        <w:tc>
          <w:tcPr>
            <w:tcW w:w="7634" w:type="dxa"/>
            <w:shd w:val="clear" w:color="auto" w:fill="auto"/>
            <w:vAlign w:val="center"/>
          </w:tcPr>
          <w:p w14:paraId="7F6B05D1" w14:textId="77777777" w:rsidR="00B60460" w:rsidRPr="00A47840" w:rsidRDefault="00B60460" w:rsidP="00B60460">
            <w:pPr>
              <w:tabs>
                <w:tab w:val="clear" w:pos="794"/>
                <w:tab w:val="clear" w:pos="1191"/>
                <w:tab w:val="clear" w:pos="1588"/>
                <w:tab w:val="clear" w:pos="1985"/>
              </w:tabs>
              <w:spacing w:after="120"/>
              <w:ind w:left="939" w:hanging="459"/>
              <w:jc w:val="center"/>
              <w:rPr>
                <w:rFonts w:eastAsia="Times New Roman"/>
                <w:b/>
                <w:bCs/>
                <w:szCs w:val="24"/>
              </w:rPr>
            </w:pPr>
            <w:r w:rsidRPr="00A47840">
              <w:rPr>
                <w:rFonts w:eastAsia="Times New Roman"/>
                <w:b/>
                <w:bCs/>
                <w:szCs w:val="24"/>
              </w:rPr>
              <w:t>Select one of the two boxes</w:t>
            </w:r>
          </w:p>
        </w:tc>
      </w:tr>
      <w:tr w:rsidR="00B60460" w:rsidRPr="00A47840" w14:paraId="1580F6CB" w14:textId="77777777" w:rsidTr="004A76B1">
        <w:trPr>
          <w:trHeight w:val="748"/>
        </w:trPr>
        <w:tc>
          <w:tcPr>
            <w:tcW w:w="2085" w:type="dxa"/>
            <w:vMerge w:val="restart"/>
            <w:shd w:val="clear" w:color="auto" w:fill="auto"/>
            <w:vAlign w:val="center"/>
          </w:tcPr>
          <w:p w14:paraId="567A0175" w14:textId="1CE7FA28" w:rsidR="00B60460" w:rsidRPr="00A47840" w:rsidRDefault="00B60460" w:rsidP="00B60460">
            <w:pPr>
              <w:spacing w:before="60" w:after="60"/>
              <w:jc w:val="center"/>
              <w:rPr>
                <w:rFonts w:eastAsia="Times New Roman"/>
                <w:b/>
                <w:bCs/>
                <w:szCs w:val="24"/>
                <w:lang w:val="fr-CH"/>
              </w:rPr>
            </w:pPr>
            <w:r w:rsidRPr="00A47840">
              <w:rPr>
                <w:rFonts w:eastAsia="Times New Roman"/>
                <w:b/>
                <w:bCs/>
                <w:szCs w:val="24"/>
                <w:lang w:val="fr-CH"/>
              </w:rPr>
              <w:t xml:space="preserve">Draft new </w:t>
            </w:r>
            <w:proofErr w:type="spellStart"/>
            <w:r w:rsidRPr="00A47840">
              <w:rPr>
                <w:rFonts w:eastAsia="Times New Roman"/>
                <w:b/>
                <w:bCs/>
                <w:szCs w:val="24"/>
                <w:lang w:val="fr-CH"/>
              </w:rPr>
              <w:t>Recommendation</w:t>
            </w:r>
            <w:proofErr w:type="spellEnd"/>
            <w:r w:rsidRPr="00A47840">
              <w:rPr>
                <w:rFonts w:eastAsia="Times New Roman"/>
                <w:b/>
                <w:bCs/>
                <w:szCs w:val="24"/>
                <w:lang w:val="fr-CH"/>
              </w:rPr>
              <w:t xml:space="preserve"> ITU-T </w:t>
            </w:r>
            <w:r w:rsidR="00662091" w:rsidRPr="00A47840">
              <w:rPr>
                <w:rFonts w:eastAsia="Times New Roman"/>
                <w:b/>
                <w:bCs/>
                <w:szCs w:val="24"/>
                <w:lang w:val="fr-CH"/>
              </w:rPr>
              <w:t>Y.4506 (ex Y.DRI-</w:t>
            </w:r>
            <w:proofErr w:type="spellStart"/>
            <w:r w:rsidR="00662091" w:rsidRPr="00A47840">
              <w:rPr>
                <w:rFonts w:eastAsia="Times New Roman"/>
                <w:b/>
                <w:bCs/>
                <w:szCs w:val="24"/>
                <w:lang w:val="fr-CH"/>
              </w:rPr>
              <w:t>arch</w:t>
            </w:r>
            <w:proofErr w:type="spellEnd"/>
            <w:r w:rsidR="00662091" w:rsidRPr="00A47840">
              <w:rPr>
                <w:rFonts w:eastAsia="Times New Roman"/>
                <w:b/>
                <w:bCs/>
                <w:szCs w:val="24"/>
                <w:lang w:val="fr-CH"/>
              </w:rPr>
              <w:t>)</w:t>
            </w:r>
          </w:p>
        </w:tc>
        <w:tc>
          <w:tcPr>
            <w:tcW w:w="7634" w:type="dxa"/>
            <w:shd w:val="clear" w:color="auto" w:fill="auto"/>
            <w:vAlign w:val="center"/>
          </w:tcPr>
          <w:p w14:paraId="2196DC58" w14:textId="77777777" w:rsidR="00B60460" w:rsidRPr="00A47840" w:rsidRDefault="00B60460" w:rsidP="00B60460">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338FD298" w14:textId="77777777" w:rsidR="00B60460" w:rsidRPr="00A47840" w:rsidRDefault="00B60460" w:rsidP="00B60460">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2F8ED4A8" w14:textId="77777777" w:rsidR="00B60460" w:rsidRPr="00A47840" w:rsidRDefault="00B60460" w:rsidP="00B60460">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B60460" w:rsidRPr="00A47840" w14:paraId="0819B39E" w14:textId="77777777" w:rsidTr="004A76B1">
        <w:trPr>
          <w:trHeight w:val="747"/>
        </w:trPr>
        <w:tc>
          <w:tcPr>
            <w:tcW w:w="2085" w:type="dxa"/>
            <w:vMerge/>
            <w:shd w:val="clear" w:color="auto" w:fill="auto"/>
            <w:vAlign w:val="center"/>
          </w:tcPr>
          <w:p w14:paraId="0F888159" w14:textId="77777777" w:rsidR="00B60460" w:rsidRPr="00A47840" w:rsidRDefault="00B60460" w:rsidP="00B60460">
            <w:pPr>
              <w:spacing w:before="60" w:after="60"/>
              <w:jc w:val="center"/>
              <w:rPr>
                <w:rFonts w:eastAsia="Times New Roman"/>
                <w:b/>
                <w:bCs/>
                <w:szCs w:val="24"/>
                <w:lang w:val="en-US"/>
              </w:rPr>
            </w:pPr>
          </w:p>
        </w:tc>
        <w:tc>
          <w:tcPr>
            <w:tcW w:w="7634" w:type="dxa"/>
            <w:shd w:val="clear" w:color="auto" w:fill="auto"/>
            <w:vAlign w:val="center"/>
          </w:tcPr>
          <w:p w14:paraId="02D6DE45" w14:textId="77777777" w:rsidR="00B60460" w:rsidRPr="00A47840"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B60460" w:rsidRPr="00A47840" w14:paraId="17656D5F" w14:textId="77777777" w:rsidTr="004A76B1">
        <w:trPr>
          <w:trHeight w:val="748"/>
        </w:trPr>
        <w:tc>
          <w:tcPr>
            <w:tcW w:w="2085" w:type="dxa"/>
            <w:vMerge w:val="restart"/>
            <w:shd w:val="clear" w:color="auto" w:fill="auto"/>
            <w:vAlign w:val="center"/>
          </w:tcPr>
          <w:p w14:paraId="5D0C70DE" w14:textId="136CEB9E" w:rsidR="00B60460" w:rsidRPr="00A47840" w:rsidRDefault="00B60460" w:rsidP="00B60460">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DB29C3">
              <w:rPr>
                <w:rFonts w:eastAsia="Times New Roman"/>
                <w:b/>
                <w:bCs/>
                <w:szCs w:val="24"/>
                <w:lang w:val="fr-CH"/>
              </w:rPr>
              <w:t xml:space="preserve">Y.4229 (ex </w:t>
            </w:r>
            <w:proofErr w:type="spellStart"/>
            <w:proofErr w:type="gramStart"/>
            <w:r w:rsidR="00662091" w:rsidRPr="00DB29C3">
              <w:rPr>
                <w:rFonts w:eastAsia="Times New Roman"/>
                <w:b/>
                <w:bCs/>
                <w:szCs w:val="24"/>
                <w:lang w:val="fr-CH"/>
              </w:rPr>
              <w:t>Y.IoT</w:t>
            </w:r>
            <w:proofErr w:type="spellEnd"/>
            <w:proofErr w:type="gramEnd"/>
            <w:r w:rsidR="00662091" w:rsidRPr="00DB29C3">
              <w:rPr>
                <w:rFonts w:eastAsia="Times New Roman"/>
                <w:b/>
                <w:bCs/>
                <w:szCs w:val="24"/>
                <w:lang w:val="fr-CH"/>
              </w:rPr>
              <w:t>-SFFS)</w:t>
            </w:r>
          </w:p>
        </w:tc>
        <w:tc>
          <w:tcPr>
            <w:tcW w:w="7634" w:type="dxa"/>
            <w:shd w:val="clear" w:color="auto" w:fill="auto"/>
            <w:vAlign w:val="center"/>
          </w:tcPr>
          <w:p w14:paraId="4152D586" w14:textId="77777777" w:rsidR="00B60460" w:rsidRPr="00A47840" w:rsidRDefault="00B60460" w:rsidP="00B60460">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21D63AEA" w14:textId="77777777" w:rsidR="00B60460" w:rsidRPr="00A47840" w:rsidRDefault="00B60460" w:rsidP="00B60460">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329EF68E" w14:textId="77777777" w:rsidR="00B60460" w:rsidRPr="00A47840" w:rsidRDefault="00B60460" w:rsidP="00B60460">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B60460" w:rsidRPr="00A47840" w14:paraId="1EB55FDD" w14:textId="77777777" w:rsidTr="004A76B1">
        <w:trPr>
          <w:trHeight w:val="747"/>
        </w:trPr>
        <w:tc>
          <w:tcPr>
            <w:tcW w:w="2085" w:type="dxa"/>
            <w:vMerge/>
            <w:shd w:val="clear" w:color="auto" w:fill="auto"/>
            <w:vAlign w:val="center"/>
          </w:tcPr>
          <w:p w14:paraId="29218970" w14:textId="77777777" w:rsidR="00B60460" w:rsidRPr="00A47840" w:rsidRDefault="00B60460" w:rsidP="00B60460">
            <w:pPr>
              <w:spacing w:before="60" w:after="60"/>
              <w:jc w:val="center"/>
              <w:rPr>
                <w:rFonts w:eastAsia="Times New Roman"/>
                <w:b/>
                <w:bCs/>
                <w:szCs w:val="24"/>
                <w:lang w:val="en-US"/>
              </w:rPr>
            </w:pPr>
          </w:p>
        </w:tc>
        <w:tc>
          <w:tcPr>
            <w:tcW w:w="7634" w:type="dxa"/>
            <w:shd w:val="clear" w:color="auto" w:fill="auto"/>
            <w:vAlign w:val="center"/>
          </w:tcPr>
          <w:p w14:paraId="06A262CF" w14:textId="77777777" w:rsidR="00B60460" w:rsidRPr="00A47840"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54116D" w:rsidRPr="00A47840" w14:paraId="73F347FC" w14:textId="77777777" w:rsidTr="005A602F">
        <w:trPr>
          <w:trHeight w:val="748"/>
        </w:trPr>
        <w:tc>
          <w:tcPr>
            <w:tcW w:w="2085" w:type="dxa"/>
            <w:vMerge w:val="restart"/>
            <w:shd w:val="clear" w:color="auto" w:fill="auto"/>
            <w:vAlign w:val="center"/>
          </w:tcPr>
          <w:p w14:paraId="611E1657" w14:textId="5700CDDB" w:rsidR="0054116D" w:rsidRPr="00A47840" w:rsidRDefault="0054116D" w:rsidP="005A602F">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A47840">
              <w:rPr>
                <w:rFonts w:eastAsia="Times New Roman"/>
                <w:b/>
                <w:bCs/>
                <w:szCs w:val="24"/>
                <w:lang w:val="fr-CH"/>
              </w:rPr>
              <w:t xml:space="preserve">Y.4230 (ex </w:t>
            </w:r>
            <w:proofErr w:type="gramStart"/>
            <w:r w:rsidR="00662091" w:rsidRPr="00A47840">
              <w:rPr>
                <w:rFonts w:eastAsia="Times New Roman"/>
                <w:b/>
                <w:bCs/>
                <w:szCs w:val="24"/>
                <w:lang w:val="fr-CH"/>
              </w:rPr>
              <w:t>Y.EV</w:t>
            </w:r>
            <w:proofErr w:type="gramEnd"/>
            <w:r w:rsidR="00662091" w:rsidRPr="00A47840">
              <w:rPr>
                <w:rFonts w:eastAsia="Times New Roman"/>
                <w:b/>
                <w:bCs/>
                <w:szCs w:val="24"/>
                <w:lang w:val="fr-CH"/>
              </w:rPr>
              <w:t>-</w:t>
            </w:r>
            <w:proofErr w:type="spellStart"/>
            <w:r w:rsidR="00662091" w:rsidRPr="00A47840">
              <w:rPr>
                <w:rFonts w:eastAsia="Times New Roman"/>
                <w:b/>
                <w:bCs/>
                <w:szCs w:val="24"/>
                <w:lang w:val="fr-CH"/>
              </w:rPr>
              <w:t>charging</w:t>
            </w:r>
            <w:proofErr w:type="spellEnd"/>
            <w:r w:rsidR="00662091" w:rsidRPr="00A47840">
              <w:rPr>
                <w:rFonts w:eastAsia="Times New Roman"/>
                <w:b/>
                <w:bCs/>
                <w:szCs w:val="24"/>
                <w:lang w:val="fr-CH"/>
              </w:rPr>
              <w:t>)</w:t>
            </w:r>
          </w:p>
        </w:tc>
        <w:tc>
          <w:tcPr>
            <w:tcW w:w="7634" w:type="dxa"/>
            <w:shd w:val="clear" w:color="auto" w:fill="auto"/>
            <w:vAlign w:val="center"/>
          </w:tcPr>
          <w:p w14:paraId="5A4C00EA" w14:textId="77777777" w:rsidR="0054116D" w:rsidRPr="00A47840" w:rsidRDefault="0054116D" w:rsidP="005A602F">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30CBEDC5"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1A6D7376"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54116D" w:rsidRPr="00A47840" w14:paraId="0AB0CD20" w14:textId="77777777" w:rsidTr="005A602F">
        <w:trPr>
          <w:trHeight w:val="747"/>
        </w:trPr>
        <w:tc>
          <w:tcPr>
            <w:tcW w:w="2085" w:type="dxa"/>
            <w:vMerge/>
            <w:shd w:val="clear" w:color="auto" w:fill="auto"/>
            <w:vAlign w:val="center"/>
          </w:tcPr>
          <w:p w14:paraId="571D91BF" w14:textId="77777777" w:rsidR="0054116D" w:rsidRPr="00A47840"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246D2853" w14:textId="77777777" w:rsidR="0054116D" w:rsidRPr="00A47840"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54116D" w:rsidRPr="00A47840" w14:paraId="6943E13D" w14:textId="77777777" w:rsidTr="005A602F">
        <w:trPr>
          <w:trHeight w:val="748"/>
        </w:trPr>
        <w:tc>
          <w:tcPr>
            <w:tcW w:w="2085" w:type="dxa"/>
            <w:vMerge w:val="restart"/>
            <w:shd w:val="clear" w:color="auto" w:fill="auto"/>
            <w:vAlign w:val="center"/>
          </w:tcPr>
          <w:p w14:paraId="55A96861" w14:textId="17851796" w:rsidR="0054116D" w:rsidRPr="00A47840" w:rsidRDefault="0054116D" w:rsidP="005A602F">
            <w:pPr>
              <w:spacing w:before="60" w:after="60"/>
              <w:jc w:val="center"/>
              <w:rPr>
                <w:rFonts w:eastAsia="Times New Roman"/>
                <w:b/>
                <w:bCs/>
                <w:szCs w:val="24"/>
                <w:lang w:val="fr-CH"/>
              </w:rPr>
            </w:pPr>
            <w:r w:rsidRPr="00A47840">
              <w:rPr>
                <w:rFonts w:eastAsia="Times New Roman"/>
                <w:b/>
                <w:bCs/>
                <w:szCs w:val="24"/>
                <w:lang w:val="fr-FR"/>
              </w:rPr>
              <w:lastRenderedPageBreak/>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A47840">
              <w:rPr>
                <w:rFonts w:eastAsia="Times New Roman"/>
                <w:b/>
                <w:bCs/>
                <w:szCs w:val="24"/>
                <w:lang w:val="fr-CH"/>
              </w:rPr>
              <w:t xml:space="preserve">Y.4231 (ex </w:t>
            </w:r>
            <w:proofErr w:type="spellStart"/>
            <w:proofErr w:type="gramStart"/>
            <w:r w:rsidR="00662091" w:rsidRPr="00A47840">
              <w:rPr>
                <w:rFonts w:eastAsia="Times New Roman"/>
                <w:b/>
                <w:bCs/>
                <w:szCs w:val="24"/>
                <w:lang w:val="fr-CH"/>
              </w:rPr>
              <w:t>Y.IoT</w:t>
            </w:r>
            <w:proofErr w:type="gramEnd"/>
            <w:r w:rsidR="00662091" w:rsidRPr="00A47840">
              <w:rPr>
                <w:rFonts w:eastAsia="Times New Roman"/>
                <w:b/>
                <w:bCs/>
                <w:szCs w:val="24"/>
                <w:lang w:val="fr-CH"/>
              </w:rPr>
              <w:t>-Vreqs</w:t>
            </w:r>
            <w:proofErr w:type="spellEnd"/>
            <w:r w:rsidR="00662091" w:rsidRPr="00A47840">
              <w:rPr>
                <w:rFonts w:eastAsia="Times New Roman"/>
                <w:b/>
                <w:bCs/>
                <w:szCs w:val="24"/>
                <w:lang w:val="fr-CH"/>
              </w:rPr>
              <w:t>)</w:t>
            </w:r>
          </w:p>
        </w:tc>
        <w:tc>
          <w:tcPr>
            <w:tcW w:w="7634" w:type="dxa"/>
            <w:shd w:val="clear" w:color="auto" w:fill="auto"/>
            <w:vAlign w:val="center"/>
          </w:tcPr>
          <w:p w14:paraId="5F164214" w14:textId="77777777" w:rsidR="0054116D" w:rsidRPr="00A47840" w:rsidRDefault="0054116D" w:rsidP="005A602F">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73F1E83B"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22672003"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54116D" w:rsidRPr="00A47840" w14:paraId="6343ECB1" w14:textId="77777777" w:rsidTr="005A602F">
        <w:trPr>
          <w:trHeight w:val="747"/>
        </w:trPr>
        <w:tc>
          <w:tcPr>
            <w:tcW w:w="2085" w:type="dxa"/>
            <w:vMerge/>
            <w:shd w:val="clear" w:color="auto" w:fill="auto"/>
            <w:vAlign w:val="center"/>
          </w:tcPr>
          <w:p w14:paraId="6C24CC4E" w14:textId="77777777" w:rsidR="0054116D" w:rsidRPr="00A47840"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5ABEC2CC" w14:textId="77777777" w:rsidR="0054116D" w:rsidRPr="00A47840"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54116D" w:rsidRPr="00A47840" w14:paraId="411372D3" w14:textId="77777777" w:rsidTr="005A602F">
        <w:trPr>
          <w:trHeight w:val="748"/>
        </w:trPr>
        <w:tc>
          <w:tcPr>
            <w:tcW w:w="2085" w:type="dxa"/>
            <w:vMerge w:val="restart"/>
            <w:shd w:val="clear" w:color="auto" w:fill="auto"/>
            <w:vAlign w:val="center"/>
          </w:tcPr>
          <w:p w14:paraId="6643C398" w14:textId="195AB1CE" w:rsidR="0054116D" w:rsidRPr="00A47840" w:rsidRDefault="0054116D" w:rsidP="005A602F">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A47840">
              <w:rPr>
                <w:rFonts w:eastAsia="Times New Roman"/>
                <w:b/>
                <w:bCs/>
                <w:szCs w:val="24"/>
                <w:lang w:val="fr-CH"/>
              </w:rPr>
              <w:t xml:space="preserve">Y.4232 (ex </w:t>
            </w:r>
            <w:proofErr w:type="spellStart"/>
            <w:proofErr w:type="gramStart"/>
            <w:r w:rsidR="00662091" w:rsidRPr="00A47840">
              <w:rPr>
                <w:rFonts w:eastAsia="Times New Roman"/>
                <w:b/>
                <w:bCs/>
                <w:szCs w:val="24"/>
                <w:lang w:val="fr-CH"/>
              </w:rPr>
              <w:t>Y.IoT</w:t>
            </w:r>
            <w:proofErr w:type="spellEnd"/>
            <w:proofErr w:type="gramEnd"/>
            <w:r w:rsidR="00662091" w:rsidRPr="00A47840">
              <w:rPr>
                <w:rFonts w:eastAsia="Times New Roman"/>
                <w:b/>
                <w:bCs/>
                <w:szCs w:val="24"/>
                <w:lang w:val="fr-CH"/>
              </w:rPr>
              <w:t>-RTPS)</w:t>
            </w:r>
          </w:p>
        </w:tc>
        <w:tc>
          <w:tcPr>
            <w:tcW w:w="7634" w:type="dxa"/>
            <w:shd w:val="clear" w:color="auto" w:fill="auto"/>
            <w:vAlign w:val="center"/>
          </w:tcPr>
          <w:p w14:paraId="50B38671" w14:textId="77777777" w:rsidR="0054116D" w:rsidRPr="00A47840" w:rsidRDefault="0054116D" w:rsidP="005A602F">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1239904B"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45614EA9"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54116D" w:rsidRPr="00A47840" w14:paraId="02410F5F" w14:textId="77777777" w:rsidTr="005A602F">
        <w:trPr>
          <w:trHeight w:val="747"/>
        </w:trPr>
        <w:tc>
          <w:tcPr>
            <w:tcW w:w="2085" w:type="dxa"/>
            <w:vMerge/>
            <w:shd w:val="clear" w:color="auto" w:fill="auto"/>
            <w:vAlign w:val="center"/>
          </w:tcPr>
          <w:p w14:paraId="2228E2CB" w14:textId="77777777" w:rsidR="0054116D" w:rsidRPr="00A47840"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15914CEE" w14:textId="77777777" w:rsidR="0054116D" w:rsidRPr="00A47840"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54116D" w:rsidRPr="00A47840" w14:paraId="50178496" w14:textId="77777777" w:rsidTr="005A602F">
        <w:trPr>
          <w:trHeight w:val="748"/>
        </w:trPr>
        <w:tc>
          <w:tcPr>
            <w:tcW w:w="2085" w:type="dxa"/>
            <w:vMerge w:val="restart"/>
            <w:shd w:val="clear" w:color="auto" w:fill="auto"/>
            <w:vAlign w:val="center"/>
          </w:tcPr>
          <w:p w14:paraId="14C74E49" w14:textId="2214D129" w:rsidR="0054116D" w:rsidRPr="00A47840" w:rsidRDefault="0054116D" w:rsidP="005A602F">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DB29C3">
              <w:rPr>
                <w:rFonts w:eastAsia="Times New Roman"/>
                <w:b/>
                <w:bCs/>
                <w:szCs w:val="24"/>
                <w:lang w:val="fr-CH"/>
              </w:rPr>
              <w:t xml:space="preserve">Y.4233 (ex </w:t>
            </w:r>
            <w:proofErr w:type="gramStart"/>
            <w:r w:rsidR="00662091" w:rsidRPr="00DB29C3">
              <w:rPr>
                <w:rFonts w:eastAsia="Times New Roman"/>
                <w:b/>
                <w:bCs/>
                <w:szCs w:val="24"/>
                <w:lang w:val="fr-CH"/>
              </w:rPr>
              <w:t>Y.FSPH</w:t>
            </w:r>
            <w:proofErr w:type="gramEnd"/>
            <w:r w:rsidR="00662091" w:rsidRPr="00DB29C3">
              <w:rPr>
                <w:rFonts w:eastAsia="Times New Roman"/>
                <w:b/>
                <w:bCs/>
                <w:szCs w:val="24"/>
                <w:lang w:val="fr-CH"/>
              </w:rPr>
              <w:t>)</w:t>
            </w:r>
          </w:p>
        </w:tc>
        <w:tc>
          <w:tcPr>
            <w:tcW w:w="7634" w:type="dxa"/>
            <w:shd w:val="clear" w:color="auto" w:fill="auto"/>
            <w:vAlign w:val="center"/>
          </w:tcPr>
          <w:p w14:paraId="3D12FF8A" w14:textId="77777777" w:rsidR="0054116D" w:rsidRPr="00A47840" w:rsidRDefault="0054116D" w:rsidP="005A602F">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1CE233BE"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2CE7B500" w14:textId="77777777" w:rsidR="0054116D" w:rsidRPr="00A47840" w:rsidRDefault="0054116D" w:rsidP="005A602F">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54116D" w:rsidRPr="00A47840" w14:paraId="37472D94" w14:textId="77777777" w:rsidTr="005A602F">
        <w:trPr>
          <w:trHeight w:val="747"/>
        </w:trPr>
        <w:tc>
          <w:tcPr>
            <w:tcW w:w="2085" w:type="dxa"/>
            <w:vMerge/>
            <w:shd w:val="clear" w:color="auto" w:fill="auto"/>
            <w:vAlign w:val="center"/>
          </w:tcPr>
          <w:p w14:paraId="31464230" w14:textId="77777777" w:rsidR="0054116D" w:rsidRPr="00A47840"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6F660127" w14:textId="77777777" w:rsidR="0054116D" w:rsidRPr="00A47840"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1604A8" w:rsidRPr="00A47840" w14:paraId="4CD61FE9" w14:textId="77777777" w:rsidTr="00640E1B">
        <w:trPr>
          <w:trHeight w:val="748"/>
        </w:trPr>
        <w:tc>
          <w:tcPr>
            <w:tcW w:w="2085" w:type="dxa"/>
            <w:vMerge w:val="restart"/>
            <w:shd w:val="clear" w:color="auto" w:fill="auto"/>
            <w:vAlign w:val="center"/>
          </w:tcPr>
          <w:p w14:paraId="51FDCE1D" w14:textId="5B02D561" w:rsidR="001604A8" w:rsidRPr="00A47840" w:rsidRDefault="001604A8" w:rsidP="00640E1B">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A47840">
              <w:rPr>
                <w:rFonts w:eastAsia="Times New Roman"/>
                <w:b/>
                <w:bCs/>
                <w:szCs w:val="24"/>
              </w:rPr>
              <w:t xml:space="preserve">Y.4234 (ex </w:t>
            </w:r>
            <w:proofErr w:type="spellStart"/>
            <w:proofErr w:type="gramStart"/>
            <w:r w:rsidR="00662091" w:rsidRPr="00A47840">
              <w:rPr>
                <w:rFonts w:eastAsia="Times New Roman"/>
                <w:b/>
                <w:bCs/>
                <w:szCs w:val="24"/>
              </w:rPr>
              <w:t>Y.RemoteEd</w:t>
            </w:r>
            <w:proofErr w:type="spellEnd"/>
            <w:proofErr w:type="gramEnd"/>
            <w:r w:rsidR="00662091" w:rsidRPr="00A47840">
              <w:rPr>
                <w:rFonts w:eastAsia="Times New Roman"/>
                <w:b/>
                <w:bCs/>
                <w:szCs w:val="24"/>
              </w:rPr>
              <w:t>)</w:t>
            </w:r>
          </w:p>
        </w:tc>
        <w:tc>
          <w:tcPr>
            <w:tcW w:w="7634" w:type="dxa"/>
            <w:shd w:val="clear" w:color="auto" w:fill="auto"/>
            <w:vAlign w:val="center"/>
          </w:tcPr>
          <w:p w14:paraId="10D9121E" w14:textId="77777777" w:rsidR="001604A8" w:rsidRPr="00A47840" w:rsidRDefault="001604A8" w:rsidP="00640E1B">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7298CBBB" w14:textId="77777777" w:rsidR="001604A8" w:rsidRPr="00A47840" w:rsidRDefault="001604A8" w:rsidP="00640E1B">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6ACCC608" w14:textId="77777777" w:rsidR="001604A8" w:rsidRPr="00A47840" w:rsidRDefault="001604A8" w:rsidP="00640E1B">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1604A8" w:rsidRPr="00A47840" w14:paraId="73CF27CA" w14:textId="77777777" w:rsidTr="00640E1B">
        <w:trPr>
          <w:trHeight w:val="747"/>
        </w:trPr>
        <w:tc>
          <w:tcPr>
            <w:tcW w:w="2085" w:type="dxa"/>
            <w:vMerge/>
            <w:shd w:val="clear" w:color="auto" w:fill="auto"/>
            <w:vAlign w:val="center"/>
          </w:tcPr>
          <w:p w14:paraId="4D9302FD" w14:textId="77777777" w:rsidR="001604A8" w:rsidRPr="00A47840" w:rsidRDefault="001604A8" w:rsidP="00640E1B">
            <w:pPr>
              <w:spacing w:before="60" w:after="60"/>
              <w:jc w:val="center"/>
              <w:rPr>
                <w:rFonts w:eastAsia="Times New Roman"/>
                <w:b/>
                <w:bCs/>
                <w:szCs w:val="24"/>
                <w:lang w:val="en-US"/>
              </w:rPr>
            </w:pPr>
          </w:p>
        </w:tc>
        <w:tc>
          <w:tcPr>
            <w:tcW w:w="7634" w:type="dxa"/>
            <w:shd w:val="clear" w:color="auto" w:fill="auto"/>
            <w:vAlign w:val="center"/>
          </w:tcPr>
          <w:p w14:paraId="1BE6797B" w14:textId="77777777" w:rsidR="001604A8" w:rsidRPr="00A47840" w:rsidRDefault="001604A8" w:rsidP="00640E1B">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1604A8" w:rsidRPr="00A47840" w14:paraId="05CB8712" w14:textId="77777777" w:rsidTr="00640E1B">
        <w:trPr>
          <w:trHeight w:val="748"/>
        </w:trPr>
        <w:tc>
          <w:tcPr>
            <w:tcW w:w="2085" w:type="dxa"/>
            <w:vMerge w:val="restart"/>
            <w:shd w:val="clear" w:color="auto" w:fill="auto"/>
            <w:vAlign w:val="center"/>
          </w:tcPr>
          <w:p w14:paraId="4249447D" w14:textId="0EF1D01B" w:rsidR="001604A8" w:rsidRPr="00A47840" w:rsidRDefault="001604A8" w:rsidP="00640E1B">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00662091" w:rsidRPr="00A47840">
              <w:rPr>
                <w:rFonts w:eastAsia="Times New Roman"/>
                <w:b/>
                <w:bCs/>
                <w:szCs w:val="24"/>
                <w:lang w:val="fr-CH"/>
              </w:rPr>
              <w:t xml:space="preserve">Y.4222 (ex </w:t>
            </w:r>
            <w:proofErr w:type="spellStart"/>
            <w:proofErr w:type="gramStart"/>
            <w:r w:rsidR="00662091" w:rsidRPr="00A47840">
              <w:rPr>
                <w:rFonts w:eastAsia="Times New Roman"/>
                <w:b/>
                <w:bCs/>
                <w:szCs w:val="24"/>
                <w:lang w:val="fr-CH"/>
              </w:rPr>
              <w:t>Y.smart</w:t>
            </w:r>
            <w:proofErr w:type="gramEnd"/>
            <w:r w:rsidR="00662091" w:rsidRPr="00A47840">
              <w:rPr>
                <w:rFonts w:eastAsia="Times New Roman"/>
                <w:b/>
                <w:bCs/>
                <w:szCs w:val="24"/>
                <w:lang w:val="fr-CH"/>
              </w:rPr>
              <w:t>-evacuation</w:t>
            </w:r>
            <w:proofErr w:type="spellEnd"/>
            <w:r w:rsidR="00662091" w:rsidRPr="00A47840">
              <w:rPr>
                <w:rFonts w:eastAsia="Times New Roman"/>
                <w:b/>
                <w:bCs/>
                <w:szCs w:val="24"/>
                <w:lang w:val="fr-CH"/>
              </w:rPr>
              <w:t>)</w:t>
            </w:r>
          </w:p>
        </w:tc>
        <w:tc>
          <w:tcPr>
            <w:tcW w:w="7634" w:type="dxa"/>
            <w:shd w:val="clear" w:color="auto" w:fill="auto"/>
            <w:vAlign w:val="center"/>
          </w:tcPr>
          <w:p w14:paraId="0FD559F6" w14:textId="77777777" w:rsidR="001604A8" w:rsidRPr="00A47840" w:rsidRDefault="001604A8" w:rsidP="00640E1B">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06E8F116" w14:textId="77777777" w:rsidR="001604A8" w:rsidRPr="00A47840" w:rsidRDefault="001604A8" w:rsidP="00640E1B">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31758DBE" w14:textId="77777777" w:rsidR="001604A8" w:rsidRPr="00A47840" w:rsidRDefault="001604A8" w:rsidP="00640E1B">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1604A8" w:rsidRPr="00A47840" w14:paraId="487E9204" w14:textId="77777777" w:rsidTr="00640E1B">
        <w:trPr>
          <w:trHeight w:val="747"/>
        </w:trPr>
        <w:tc>
          <w:tcPr>
            <w:tcW w:w="2085" w:type="dxa"/>
            <w:vMerge/>
            <w:shd w:val="clear" w:color="auto" w:fill="auto"/>
            <w:vAlign w:val="center"/>
          </w:tcPr>
          <w:p w14:paraId="6C09773B" w14:textId="77777777" w:rsidR="001604A8" w:rsidRPr="00A47840" w:rsidRDefault="001604A8" w:rsidP="00640E1B">
            <w:pPr>
              <w:spacing w:before="60" w:after="60"/>
              <w:jc w:val="center"/>
              <w:rPr>
                <w:rFonts w:eastAsia="Times New Roman"/>
                <w:b/>
                <w:bCs/>
                <w:szCs w:val="24"/>
                <w:lang w:val="en-US"/>
              </w:rPr>
            </w:pPr>
          </w:p>
        </w:tc>
        <w:tc>
          <w:tcPr>
            <w:tcW w:w="7634" w:type="dxa"/>
            <w:shd w:val="clear" w:color="auto" w:fill="auto"/>
            <w:vAlign w:val="center"/>
          </w:tcPr>
          <w:p w14:paraId="42300D64" w14:textId="77777777" w:rsidR="001604A8" w:rsidRPr="00A47840" w:rsidRDefault="001604A8" w:rsidP="00640E1B">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662091" w:rsidRPr="00A47840" w14:paraId="293AA5F6" w14:textId="77777777" w:rsidTr="00C17837">
        <w:trPr>
          <w:trHeight w:val="748"/>
        </w:trPr>
        <w:tc>
          <w:tcPr>
            <w:tcW w:w="2085" w:type="dxa"/>
            <w:vMerge w:val="restart"/>
            <w:shd w:val="clear" w:color="auto" w:fill="auto"/>
            <w:vAlign w:val="center"/>
          </w:tcPr>
          <w:p w14:paraId="402CE416" w14:textId="3C2FD3C8" w:rsidR="00662091" w:rsidRPr="00A47840" w:rsidRDefault="00662091" w:rsidP="00C17837">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Pr="00DB29C3">
              <w:rPr>
                <w:rFonts w:eastAsia="Times New Roman"/>
                <w:b/>
                <w:bCs/>
                <w:szCs w:val="24"/>
                <w:lang w:val="fr-CH"/>
              </w:rPr>
              <w:t>Y.4507 (ex Y.arc-</w:t>
            </w:r>
            <w:proofErr w:type="spellStart"/>
            <w:r w:rsidRPr="00DB29C3">
              <w:rPr>
                <w:rFonts w:eastAsia="Times New Roman"/>
                <w:b/>
                <w:bCs/>
                <w:szCs w:val="24"/>
                <w:lang w:val="fr-CH"/>
              </w:rPr>
              <w:t>psfws</w:t>
            </w:r>
            <w:proofErr w:type="spellEnd"/>
            <w:r w:rsidRPr="00DB29C3">
              <w:rPr>
                <w:rFonts w:eastAsia="Times New Roman"/>
                <w:b/>
                <w:bCs/>
                <w:szCs w:val="24"/>
                <w:lang w:val="fr-CH"/>
              </w:rPr>
              <w:t>)</w:t>
            </w:r>
          </w:p>
        </w:tc>
        <w:tc>
          <w:tcPr>
            <w:tcW w:w="7634" w:type="dxa"/>
            <w:shd w:val="clear" w:color="auto" w:fill="auto"/>
            <w:vAlign w:val="center"/>
          </w:tcPr>
          <w:p w14:paraId="1536F45D" w14:textId="77777777" w:rsidR="00662091" w:rsidRPr="00A47840" w:rsidRDefault="00662091" w:rsidP="00C17837">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78495B7D"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3147C418"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662091" w:rsidRPr="00A47840" w14:paraId="57ECB2C5" w14:textId="77777777" w:rsidTr="00C17837">
        <w:trPr>
          <w:trHeight w:val="747"/>
        </w:trPr>
        <w:tc>
          <w:tcPr>
            <w:tcW w:w="2085" w:type="dxa"/>
            <w:vMerge/>
            <w:shd w:val="clear" w:color="auto" w:fill="auto"/>
            <w:vAlign w:val="center"/>
          </w:tcPr>
          <w:p w14:paraId="49FD8EA8" w14:textId="77777777" w:rsidR="00662091" w:rsidRPr="00A47840" w:rsidRDefault="00662091" w:rsidP="00C17837">
            <w:pPr>
              <w:spacing w:before="60" w:after="60"/>
              <w:jc w:val="center"/>
              <w:rPr>
                <w:rFonts w:eastAsia="Times New Roman"/>
                <w:b/>
                <w:bCs/>
                <w:szCs w:val="24"/>
                <w:lang w:val="en-US"/>
              </w:rPr>
            </w:pPr>
          </w:p>
        </w:tc>
        <w:tc>
          <w:tcPr>
            <w:tcW w:w="7634" w:type="dxa"/>
            <w:shd w:val="clear" w:color="auto" w:fill="auto"/>
            <w:vAlign w:val="center"/>
          </w:tcPr>
          <w:p w14:paraId="1F569707" w14:textId="77777777" w:rsidR="00662091" w:rsidRPr="00A47840" w:rsidRDefault="00662091" w:rsidP="00C17837">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662091" w:rsidRPr="00A47840" w14:paraId="4E45FDFA" w14:textId="77777777" w:rsidTr="00C17837">
        <w:trPr>
          <w:trHeight w:val="748"/>
        </w:trPr>
        <w:tc>
          <w:tcPr>
            <w:tcW w:w="2085" w:type="dxa"/>
            <w:vMerge w:val="restart"/>
            <w:shd w:val="clear" w:color="auto" w:fill="auto"/>
            <w:vAlign w:val="center"/>
          </w:tcPr>
          <w:p w14:paraId="2E93177E" w14:textId="67DEB328" w:rsidR="00662091" w:rsidRPr="00A47840" w:rsidRDefault="00662091" w:rsidP="00C17837">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Pr="00A47840">
              <w:rPr>
                <w:rFonts w:eastAsia="Times New Roman"/>
                <w:b/>
                <w:bCs/>
                <w:szCs w:val="24"/>
                <w:lang w:val="fr-CH"/>
              </w:rPr>
              <w:t>Y.4508 (ex Y.DPM-</w:t>
            </w:r>
            <w:proofErr w:type="spellStart"/>
            <w:r w:rsidRPr="00A47840">
              <w:rPr>
                <w:rFonts w:eastAsia="Times New Roman"/>
                <w:b/>
                <w:bCs/>
                <w:szCs w:val="24"/>
                <w:lang w:val="fr-CH"/>
              </w:rPr>
              <w:t>alm</w:t>
            </w:r>
            <w:proofErr w:type="spellEnd"/>
            <w:r w:rsidRPr="00A47840">
              <w:rPr>
                <w:rFonts w:eastAsia="Times New Roman"/>
                <w:b/>
                <w:bCs/>
                <w:szCs w:val="24"/>
                <w:lang w:val="fr-CH"/>
              </w:rPr>
              <w:t>-fra)</w:t>
            </w:r>
          </w:p>
        </w:tc>
        <w:tc>
          <w:tcPr>
            <w:tcW w:w="7634" w:type="dxa"/>
            <w:shd w:val="clear" w:color="auto" w:fill="auto"/>
            <w:vAlign w:val="center"/>
          </w:tcPr>
          <w:p w14:paraId="5BF91423" w14:textId="77777777" w:rsidR="00662091" w:rsidRPr="00A47840" w:rsidRDefault="00662091" w:rsidP="00C17837">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7D867AF9"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2B2890C1"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662091" w:rsidRPr="00A47840" w14:paraId="076A088F" w14:textId="77777777" w:rsidTr="00C17837">
        <w:trPr>
          <w:trHeight w:val="747"/>
        </w:trPr>
        <w:tc>
          <w:tcPr>
            <w:tcW w:w="2085" w:type="dxa"/>
            <w:vMerge/>
            <w:shd w:val="clear" w:color="auto" w:fill="auto"/>
            <w:vAlign w:val="center"/>
          </w:tcPr>
          <w:p w14:paraId="6E2D2CB2" w14:textId="77777777" w:rsidR="00662091" w:rsidRPr="00A47840" w:rsidRDefault="00662091" w:rsidP="00C17837">
            <w:pPr>
              <w:spacing w:before="60" w:after="60"/>
              <w:jc w:val="center"/>
              <w:rPr>
                <w:rFonts w:eastAsia="Times New Roman"/>
                <w:b/>
                <w:bCs/>
                <w:szCs w:val="24"/>
                <w:lang w:val="en-US"/>
              </w:rPr>
            </w:pPr>
          </w:p>
        </w:tc>
        <w:tc>
          <w:tcPr>
            <w:tcW w:w="7634" w:type="dxa"/>
            <w:shd w:val="clear" w:color="auto" w:fill="auto"/>
            <w:vAlign w:val="center"/>
          </w:tcPr>
          <w:p w14:paraId="56189070" w14:textId="77777777" w:rsidR="00662091" w:rsidRPr="00A47840" w:rsidRDefault="00662091" w:rsidP="00C17837">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662091" w:rsidRPr="00A47840" w14:paraId="0E3FB4D2" w14:textId="77777777" w:rsidTr="00C17837">
        <w:trPr>
          <w:trHeight w:val="748"/>
        </w:trPr>
        <w:tc>
          <w:tcPr>
            <w:tcW w:w="2085" w:type="dxa"/>
            <w:vMerge w:val="restart"/>
            <w:shd w:val="clear" w:color="auto" w:fill="auto"/>
            <w:vAlign w:val="center"/>
          </w:tcPr>
          <w:p w14:paraId="35641A0A" w14:textId="360F4730" w:rsidR="00662091" w:rsidRPr="00A47840" w:rsidRDefault="00662091" w:rsidP="00C17837">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Pr="00DB29C3">
              <w:rPr>
                <w:rFonts w:eastAsia="Times New Roman"/>
                <w:b/>
                <w:bCs/>
                <w:szCs w:val="24"/>
                <w:lang w:val="fr-CH"/>
              </w:rPr>
              <w:t xml:space="preserve">Y.4706 (ex </w:t>
            </w:r>
            <w:proofErr w:type="spellStart"/>
            <w:r w:rsidRPr="00DB29C3">
              <w:rPr>
                <w:rFonts w:eastAsia="Times New Roman"/>
                <w:b/>
                <w:bCs/>
                <w:szCs w:val="24"/>
                <w:lang w:val="fr-CH"/>
              </w:rPr>
              <w:t>Y.dem</w:t>
            </w:r>
            <w:proofErr w:type="spellEnd"/>
            <w:r w:rsidRPr="00DB29C3">
              <w:rPr>
                <w:rFonts w:eastAsia="Times New Roman"/>
                <w:b/>
                <w:bCs/>
                <w:szCs w:val="24"/>
                <w:lang w:val="fr-CH"/>
              </w:rPr>
              <w:t>-IoT)</w:t>
            </w:r>
          </w:p>
        </w:tc>
        <w:tc>
          <w:tcPr>
            <w:tcW w:w="7634" w:type="dxa"/>
            <w:shd w:val="clear" w:color="auto" w:fill="auto"/>
            <w:vAlign w:val="center"/>
          </w:tcPr>
          <w:p w14:paraId="5C47BCA2" w14:textId="77777777" w:rsidR="00662091" w:rsidRPr="00A47840" w:rsidRDefault="00662091" w:rsidP="00C17837">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471C8C3C"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2D3CBD87"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662091" w:rsidRPr="00A47840" w14:paraId="73F8987A" w14:textId="77777777" w:rsidTr="00C17837">
        <w:trPr>
          <w:trHeight w:val="747"/>
        </w:trPr>
        <w:tc>
          <w:tcPr>
            <w:tcW w:w="2085" w:type="dxa"/>
            <w:vMerge/>
            <w:shd w:val="clear" w:color="auto" w:fill="auto"/>
            <w:vAlign w:val="center"/>
          </w:tcPr>
          <w:p w14:paraId="3D08886C" w14:textId="77777777" w:rsidR="00662091" w:rsidRPr="00A47840" w:rsidRDefault="00662091" w:rsidP="00C17837">
            <w:pPr>
              <w:spacing w:before="60" w:after="60"/>
              <w:jc w:val="center"/>
              <w:rPr>
                <w:rFonts w:eastAsia="Times New Roman"/>
                <w:b/>
                <w:bCs/>
                <w:szCs w:val="24"/>
                <w:lang w:val="en-US"/>
              </w:rPr>
            </w:pPr>
          </w:p>
        </w:tc>
        <w:tc>
          <w:tcPr>
            <w:tcW w:w="7634" w:type="dxa"/>
            <w:shd w:val="clear" w:color="auto" w:fill="auto"/>
            <w:vAlign w:val="center"/>
          </w:tcPr>
          <w:p w14:paraId="0B66708D" w14:textId="77777777" w:rsidR="00662091" w:rsidRPr="00A47840" w:rsidRDefault="00662091" w:rsidP="00C17837">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r w:rsidR="00662091" w:rsidRPr="00A47840" w14:paraId="1099E281" w14:textId="77777777" w:rsidTr="00C17837">
        <w:trPr>
          <w:trHeight w:val="748"/>
        </w:trPr>
        <w:tc>
          <w:tcPr>
            <w:tcW w:w="2085" w:type="dxa"/>
            <w:vMerge w:val="restart"/>
            <w:shd w:val="clear" w:color="auto" w:fill="auto"/>
            <w:vAlign w:val="center"/>
          </w:tcPr>
          <w:p w14:paraId="22FE768F" w14:textId="5C50C976" w:rsidR="00662091" w:rsidRPr="00A47840" w:rsidRDefault="00662091" w:rsidP="00C17837">
            <w:pPr>
              <w:spacing w:before="60" w:after="60"/>
              <w:jc w:val="center"/>
              <w:rPr>
                <w:rFonts w:eastAsia="Times New Roman"/>
                <w:b/>
                <w:bCs/>
                <w:szCs w:val="24"/>
                <w:lang w:val="fr-CH"/>
              </w:rPr>
            </w:pPr>
            <w:r w:rsidRPr="00A47840">
              <w:rPr>
                <w:rFonts w:eastAsia="Times New Roman"/>
                <w:b/>
                <w:bCs/>
                <w:szCs w:val="24"/>
                <w:lang w:val="fr-FR"/>
              </w:rPr>
              <w:t xml:space="preserve">Draft new </w:t>
            </w:r>
            <w:proofErr w:type="spellStart"/>
            <w:r w:rsidRPr="00A47840">
              <w:rPr>
                <w:rFonts w:eastAsia="Times New Roman"/>
                <w:b/>
                <w:bCs/>
                <w:szCs w:val="24"/>
                <w:lang w:val="fr-FR"/>
              </w:rPr>
              <w:t>Recommendation</w:t>
            </w:r>
            <w:proofErr w:type="spellEnd"/>
            <w:r w:rsidRPr="00A47840">
              <w:rPr>
                <w:rFonts w:eastAsia="Times New Roman"/>
                <w:b/>
                <w:bCs/>
                <w:szCs w:val="24"/>
                <w:lang w:val="fr-FR"/>
              </w:rPr>
              <w:t xml:space="preserve"> ITU-T </w:t>
            </w:r>
            <w:r w:rsidRPr="00A47840">
              <w:rPr>
                <w:rFonts w:eastAsia="Times New Roman"/>
                <w:b/>
                <w:bCs/>
                <w:szCs w:val="24"/>
                <w:lang w:val="fr-CH"/>
              </w:rPr>
              <w:t>Y.4499 (ex Y.UIM-</w:t>
            </w:r>
            <w:proofErr w:type="spellStart"/>
            <w:r w:rsidRPr="00A47840">
              <w:rPr>
                <w:rFonts w:eastAsia="Times New Roman"/>
                <w:b/>
                <w:bCs/>
                <w:szCs w:val="24"/>
                <w:lang w:val="fr-CH"/>
              </w:rPr>
              <w:t>cs</w:t>
            </w:r>
            <w:proofErr w:type="spellEnd"/>
            <w:r w:rsidRPr="00A47840">
              <w:rPr>
                <w:rFonts w:eastAsia="Times New Roman"/>
                <w:b/>
                <w:bCs/>
                <w:szCs w:val="24"/>
                <w:lang w:val="fr-CH"/>
              </w:rPr>
              <w:t>-</w:t>
            </w:r>
            <w:proofErr w:type="spellStart"/>
            <w:r w:rsidRPr="00A47840">
              <w:rPr>
                <w:rFonts w:eastAsia="Times New Roman"/>
                <w:b/>
                <w:bCs/>
                <w:szCs w:val="24"/>
                <w:lang w:val="fr-CH"/>
              </w:rPr>
              <w:t>framework</w:t>
            </w:r>
            <w:proofErr w:type="spellEnd"/>
            <w:r w:rsidRPr="00A47840">
              <w:rPr>
                <w:rFonts w:eastAsia="Times New Roman"/>
                <w:b/>
                <w:bCs/>
                <w:szCs w:val="24"/>
                <w:lang w:val="fr-CH"/>
              </w:rPr>
              <w:t>)</w:t>
            </w:r>
          </w:p>
        </w:tc>
        <w:tc>
          <w:tcPr>
            <w:tcW w:w="7634" w:type="dxa"/>
            <w:shd w:val="clear" w:color="auto" w:fill="auto"/>
            <w:vAlign w:val="center"/>
          </w:tcPr>
          <w:p w14:paraId="171717B4" w14:textId="77777777" w:rsidR="00662091" w:rsidRPr="00A47840" w:rsidRDefault="00662091" w:rsidP="00C17837">
            <w:pPr>
              <w:tabs>
                <w:tab w:val="clear" w:pos="794"/>
                <w:tab w:val="clear" w:pos="1191"/>
                <w:tab w:val="clear" w:pos="1588"/>
                <w:tab w:val="clear" w:pos="1985"/>
              </w:tabs>
              <w:spacing w:before="60" w:after="60"/>
              <w:ind w:left="459" w:hanging="459"/>
              <w:rPr>
                <w:rFonts w:eastAsia="Times New Roman"/>
                <w:szCs w:val="24"/>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0"/>
              </w:rPr>
              <w:tab/>
            </w:r>
            <w:r w:rsidRPr="00A47840">
              <w:rPr>
                <w:rFonts w:eastAsia="Times New Roman"/>
                <w:b/>
                <w:bCs/>
                <w:szCs w:val="24"/>
              </w:rPr>
              <w:t>assigns authority</w:t>
            </w:r>
            <w:r w:rsidRPr="00A47840">
              <w:rPr>
                <w:rFonts w:eastAsia="Times New Roman"/>
                <w:szCs w:val="24"/>
              </w:rPr>
              <w:t xml:space="preserve"> to Study Group 20 to consider this text for approval (in which case, select one of the two options </w:t>
            </w:r>
            <w:r w:rsidRPr="00A47840">
              <w:rPr>
                <w:rFonts w:eastAsia="Times New Roman"/>
                <w:sz w:val="20"/>
              </w:rPr>
              <w:t>⃝</w:t>
            </w:r>
            <w:r w:rsidRPr="00A47840">
              <w:rPr>
                <w:rFonts w:eastAsia="Times New Roman"/>
                <w:szCs w:val="24"/>
              </w:rPr>
              <w:t>):</w:t>
            </w:r>
          </w:p>
          <w:p w14:paraId="6BF5205E"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No comments or suggested changes</w:t>
            </w:r>
          </w:p>
          <w:p w14:paraId="35E79708" w14:textId="77777777" w:rsidR="00662091" w:rsidRPr="00A47840" w:rsidRDefault="00662091" w:rsidP="00C17837">
            <w:pPr>
              <w:tabs>
                <w:tab w:val="clear" w:pos="794"/>
                <w:tab w:val="clear" w:pos="1191"/>
                <w:tab w:val="clear" w:pos="1588"/>
                <w:tab w:val="clear" w:pos="1985"/>
              </w:tabs>
              <w:spacing w:before="60" w:after="60"/>
              <w:ind w:left="939" w:hanging="459"/>
              <w:rPr>
                <w:rFonts w:eastAsia="Times New Roman"/>
                <w:szCs w:val="24"/>
              </w:rPr>
            </w:pPr>
            <w:r w:rsidRPr="00A47840">
              <w:rPr>
                <w:rFonts w:eastAsia="Times New Roman"/>
                <w:sz w:val="20"/>
              </w:rPr>
              <w:t>⃝</w:t>
            </w:r>
            <w:r w:rsidRPr="00A47840">
              <w:rPr>
                <w:rFonts w:eastAsia="Times New Roman"/>
                <w:sz w:val="20"/>
              </w:rPr>
              <w:tab/>
            </w:r>
            <w:r w:rsidRPr="00A47840">
              <w:rPr>
                <w:rFonts w:eastAsia="Times New Roman"/>
                <w:szCs w:val="24"/>
              </w:rPr>
              <w:t>Comments and suggested changes are attached</w:t>
            </w:r>
          </w:p>
        </w:tc>
      </w:tr>
      <w:tr w:rsidR="00662091" w:rsidRPr="00A47840" w14:paraId="75CB0C35" w14:textId="77777777" w:rsidTr="00C17837">
        <w:trPr>
          <w:trHeight w:val="747"/>
        </w:trPr>
        <w:tc>
          <w:tcPr>
            <w:tcW w:w="2085" w:type="dxa"/>
            <w:vMerge/>
            <w:shd w:val="clear" w:color="auto" w:fill="auto"/>
            <w:vAlign w:val="center"/>
          </w:tcPr>
          <w:p w14:paraId="7A93251C" w14:textId="77777777" w:rsidR="00662091" w:rsidRPr="00A47840" w:rsidRDefault="00662091" w:rsidP="00C17837">
            <w:pPr>
              <w:spacing w:before="60" w:after="60"/>
              <w:jc w:val="center"/>
              <w:rPr>
                <w:rFonts w:eastAsia="Times New Roman"/>
                <w:b/>
                <w:bCs/>
                <w:szCs w:val="24"/>
                <w:lang w:val="en-US"/>
              </w:rPr>
            </w:pPr>
          </w:p>
        </w:tc>
        <w:tc>
          <w:tcPr>
            <w:tcW w:w="7634" w:type="dxa"/>
            <w:shd w:val="clear" w:color="auto" w:fill="auto"/>
            <w:vAlign w:val="center"/>
          </w:tcPr>
          <w:p w14:paraId="7A03907D" w14:textId="77777777" w:rsidR="00662091" w:rsidRPr="00A47840" w:rsidRDefault="00662091" w:rsidP="00C17837">
            <w:pPr>
              <w:tabs>
                <w:tab w:val="clear" w:pos="794"/>
                <w:tab w:val="clear" w:pos="1191"/>
                <w:tab w:val="clear" w:pos="1588"/>
                <w:tab w:val="clear" w:pos="1985"/>
                <w:tab w:val="left" w:pos="250"/>
              </w:tabs>
              <w:spacing w:before="60" w:after="60"/>
              <w:ind w:left="459" w:hanging="459"/>
              <w:rPr>
                <w:rFonts w:eastAsia="Times New Roman"/>
                <w:sz w:val="20"/>
              </w:rPr>
            </w:pPr>
            <w:r w:rsidRPr="00A47840">
              <w:rPr>
                <w:rFonts w:eastAsia="Times New Roman"/>
                <w:sz w:val="22"/>
                <w:szCs w:val="22"/>
              </w:rPr>
              <w:fldChar w:fldCharType="begin">
                <w:ffData>
                  <w:name w:val="Check1"/>
                  <w:enabled/>
                  <w:calcOnExit w:val="0"/>
                  <w:checkBox>
                    <w:sizeAuto/>
                    <w:default w:val="0"/>
                  </w:checkBox>
                </w:ffData>
              </w:fldChar>
            </w:r>
            <w:r w:rsidRPr="00A47840">
              <w:rPr>
                <w:rFonts w:eastAsia="Times New Roman"/>
                <w:sz w:val="22"/>
                <w:szCs w:val="22"/>
              </w:rPr>
              <w:instrText xml:space="preserve"> FORMCHECKBOX </w:instrText>
            </w:r>
            <w:r w:rsidR="002537FE">
              <w:rPr>
                <w:rFonts w:eastAsia="Times New Roman"/>
                <w:sz w:val="22"/>
                <w:szCs w:val="22"/>
              </w:rPr>
            </w:r>
            <w:r w:rsidR="002537FE">
              <w:rPr>
                <w:rFonts w:eastAsia="Times New Roman"/>
                <w:sz w:val="22"/>
                <w:szCs w:val="22"/>
              </w:rPr>
              <w:fldChar w:fldCharType="separate"/>
            </w:r>
            <w:r w:rsidRPr="00A47840">
              <w:rPr>
                <w:rFonts w:eastAsia="Times New Roman"/>
                <w:sz w:val="22"/>
                <w:szCs w:val="22"/>
              </w:rPr>
              <w:fldChar w:fldCharType="end"/>
            </w:r>
            <w:r w:rsidRPr="00A47840">
              <w:rPr>
                <w:rFonts w:eastAsia="Times New Roman"/>
                <w:sz w:val="22"/>
                <w:szCs w:val="22"/>
              </w:rPr>
              <w:tab/>
            </w:r>
            <w:r w:rsidRPr="00A47840">
              <w:rPr>
                <w:rFonts w:eastAsia="Times New Roman"/>
                <w:b/>
                <w:bCs/>
                <w:szCs w:val="24"/>
              </w:rPr>
              <w:t>does not assign authority</w:t>
            </w:r>
            <w:r w:rsidRPr="00A47840">
              <w:rPr>
                <w:rFonts w:eastAsia="Times New Roman"/>
                <w:szCs w:val="24"/>
              </w:rPr>
              <w:t xml:space="preserve"> to Study Group 20 to consider this text for approval (</w:t>
            </w:r>
            <w:r w:rsidRPr="00A47840">
              <w:rPr>
                <w:rFonts w:eastAsia="Times New Roman"/>
                <w:szCs w:val="22"/>
              </w:rPr>
              <w:t>reasons for this opinion and an outline of possible changes that would enable the work to progress are attached)</w:t>
            </w:r>
          </w:p>
        </w:tc>
      </w:tr>
    </w:tbl>
    <w:p w14:paraId="442AB4BA" w14:textId="77777777" w:rsidR="00662091" w:rsidRPr="00A47840" w:rsidRDefault="00662091" w:rsidP="00B60460">
      <w:pPr>
        <w:spacing w:before="0"/>
        <w:rPr>
          <w:rFonts w:eastAsia="Times New Roman"/>
        </w:rPr>
      </w:pPr>
    </w:p>
    <w:p w14:paraId="30B7FC77" w14:textId="3B1AA4B6" w:rsidR="00B60460" w:rsidRPr="00A47840" w:rsidRDefault="00B60460" w:rsidP="00B60460">
      <w:pPr>
        <w:spacing w:before="0"/>
        <w:rPr>
          <w:rFonts w:eastAsia="Times New Roman"/>
        </w:rPr>
      </w:pPr>
      <w:r w:rsidRPr="00A47840">
        <w:rPr>
          <w:rFonts w:eastAsia="Times New Roman"/>
        </w:rPr>
        <w:t>Yours faithfully,</w:t>
      </w:r>
    </w:p>
    <w:p w14:paraId="195479E2" w14:textId="77777777" w:rsidR="00B60460" w:rsidRPr="00A47840" w:rsidRDefault="00B60460" w:rsidP="00B60460">
      <w:pPr>
        <w:rPr>
          <w:rFonts w:eastAsia="Times New Roman"/>
          <w:szCs w:val="24"/>
        </w:rPr>
      </w:pPr>
      <w:r w:rsidRPr="00A47840">
        <w:rPr>
          <w:rFonts w:eastAsia="Times New Roman"/>
          <w:szCs w:val="24"/>
        </w:rPr>
        <w:t>[Name]</w:t>
      </w:r>
    </w:p>
    <w:p w14:paraId="58D48AB2" w14:textId="77777777" w:rsidR="00B60460" w:rsidRPr="00A47840" w:rsidRDefault="00B60460" w:rsidP="00B60460">
      <w:pPr>
        <w:rPr>
          <w:rFonts w:eastAsia="Times New Roman"/>
          <w:szCs w:val="24"/>
        </w:rPr>
      </w:pPr>
      <w:r w:rsidRPr="00A47840">
        <w:rPr>
          <w:rFonts w:eastAsia="Times New Roman"/>
          <w:szCs w:val="24"/>
        </w:rPr>
        <w:t>[Official role/title]</w:t>
      </w:r>
    </w:p>
    <w:p w14:paraId="6CD9C652" w14:textId="77777777" w:rsidR="00B60460" w:rsidRPr="00A47840" w:rsidRDefault="00B60460" w:rsidP="00B60460">
      <w:pPr>
        <w:rPr>
          <w:rFonts w:eastAsia="Times New Roman"/>
          <w:szCs w:val="24"/>
        </w:rPr>
      </w:pPr>
      <w:r w:rsidRPr="00A47840">
        <w:rPr>
          <w:rFonts w:eastAsia="Times New Roman"/>
          <w:szCs w:val="24"/>
        </w:rPr>
        <w:t>Administration of [Member State]</w:t>
      </w:r>
    </w:p>
    <w:p w14:paraId="4EE98D43" w14:textId="36CE38AE" w:rsidR="00B60460" w:rsidRPr="00042225" w:rsidRDefault="00B60460" w:rsidP="009A48C0">
      <w:pPr>
        <w:jc w:val="center"/>
        <w:rPr>
          <w:rFonts w:cs="Calibri"/>
          <w:sz w:val="22"/>
          <w:szCs w:val="22"/>
        </w:rPr>
      </w:pPr>
      <w:r w:rsidRPr="00A47840">
        <w:rPr>
          <w:rFonts w:eastAsia="Times New Roman"/>
        </w:rPr>
        <w:t>___________</w:t>
      </w:r>
    </w:p>
    <w:sectPr w:rsidR="00B60460" w:rsidRPr="00042225" w:rsidSect="00FA46A0">
      <w:headerReference w:type="default" r:id="rId26"/>
      <w:footerReference w:type="first" r:id="rId2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6B0D" w14:textId="77777777" w:rsidR="003C7446" w:rsidRDefault="003C7446">
      <w:r>
        <w:separator/>
      </w:r>
    </w:p>
  </w:endnote>
  <w:endnote w:type="continuationSeparator" w:id="0">
    <w:p w14:paraId="390380D9" w14:textId="77777777" w:rsidR="003C7446" w:rsidRDefault="003C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CBD1" w14:textId="77777777" w:rsidR="003C7446" w:rsidRDefault="003C7446">
      <w:r>
        <w:t>____________________</w:t>
      </w:r>
    </w:p>
  </w:footnote>
  <w:footnote w:type="continuationSeparator" w:id="0">
    <w:p w14:paraId="217AB9B7" w14:textId="77777777" w:rsidR="003C7446" w:rsidRDefault="003C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13BF" w14:textId="1CD10013"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3212A7" w:rsidRPr="003212A7">
      <w:rPr>
        <w:noProof/>
      </w:rPr>
      <w:t>TSB Circular</w:t>
    </w:r>
    <w:r w:rsidR="009A48C0">
      <w:rPr>
        <w:noProof/>
      </w:rPr>
      <w:t xml:space="preserve"> </w:t>
    </w:r>
    <w:r w:rsidR="00A164A9">
      <w:rPr>
        <w:noProof/>
      </w:rPr>
      <w:t>236</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2807">
    <w:abstractNumId w:val="9"/>
  </w:num>
  <w:num w:numId="2" w16cid:durableId="1151946096">
    <w:abstractNumId w:val="7"/>
  </w:num>
  <w:num w:numId="3" w16cid:durableId="1161114181">
    <w:abstractNumId w:val="6"/>
  </w:num>
  <w:num w:numId="4" w16cid:durableId="1680883768">
    <w:abstractNumId w:val="5"/>
  </w:num>
  <w:num w:numId="5" w16cid:durableId="560822676">
    <w:abstractNumId w:val="4"/>
  </w:num>
  <w:num w:numId="6" w16cid:durableId="1006789791">
    <w:abstractNumId w:val="8"/>
  </w:num>
  <w:num w:numId="7" w16cid:durableId="1045180611">
    <w:abstractNumId w:val="3"/>
  </w:num>
  <w:num w:numId="8" w16cid:durableId="38361560">
    <w:abstractNumId w:val="2"/>
  </w:num>
  <w:num w:numId="9" w16cid:durableId="1573587868">
    <w:abstractNumId w:val="1"/>
  </w:num>
  <w:num w:numId="10" w16cid:durableId="2141730466">
    <w:abstractNumId w:val="0"/>
  </w:num>
  <w:num w:numId="11" w16cid:durableId="1577783453">
    <w:abstractNumId w:val="11"/>
  </w:num>
  <w:num w:numId="12" w16cid:durableId="789200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01D05"/>
    <w:rsid w:val="00004654"/>
    <w:rsid w:val="00012BB7"/>
    <w:rsid w:val="00013325"/>
    <w:rsid w:val="00022E6B"/>
    <w:rsid w:val="0002793D"/>
    <w:rsid w:val="00042225"/>
    <w:rsid w:val="00052293"/>
    <w:rsid w:val="00060B63"/>
    <w:rsid w:val="00061C09"/>
    <w:rsid w:val="00063A32"/>
    <w:rsid w:val="00074A0E"/>
    <w:rsid w:val="00082695"/>
    <w:rsid w:val="00082D5E"/>
    <w:rsid w:val="0008374E"/>
    <w:rsid w:val="00086F4E"/>
    <w:rsid w:val="000A2044"/>
    <w:rsid w:val="000B15C8"/>
    <w:rsid w:val="000B615A"/>
    <w:rsid w:val="000C04A5"/>
    <w:rsid w:val="000F1844"/>
    <w:rsid w:val="000F4CAB"/>
    <w:rsid w:val="00100958"/>
    <w:rsid w:val="001018E1"/>
    <w:rsid w:val="00112F37"/>
    <w:rsid w:val="0012501E"/>
    <w:rsid w:val="001422BB"/>
    <w:rsid w:val="001440D7"/>
    <w:rsid w:val="0015654A"/>
    <w:rsid w:val="00156D55"/>
    <w:rsid w:val="001604A8"/>
    <w:rsid w:val="00172D0A"/>
    <w:rsid w:val="001A34EC"/>
    <w:rsid w:val="001C580D"/>
    <w:rsid w:val="001C6A78"/>
    <w:rsid w:val="001E066F"/>
    <w:rsid w:val="001F1202"/>
    <w:rsid w:val="001F5F48"/>
    <w:rsid w:val="00204C6F"/>
    <w:rsid w:val="00213252"/>
    <w:rsid w:val="00230AEA"/>
    <w:rsid w:val="00232F01"/>
    <w:rsid w:val="00236CF5"/>
    <w:rsid w:val="00237686"/>
    <w:rsid w:val="00242718"/>
    <w:rsid w:val="0024614D"/>
    <w:rsid w:val="00246730"/>
    <w:rsid w:val="002537FE"/>
    <w:rsid w:val="00256582"/>
    <w:rsid w:val="00262C6E"/>
    <w:rsid w:val="0027218A"/>
    <w:rsid w:val="002722B2"/>
    <w:rsid w:val="00280863"/>
    <w:rsid w:val="002A084D"/>
    <w:rsid w:val="002A0ACF"/>
    <w:rsid w:val="002A7B41"/>
    <w:rsid w:val="002D65F7"/>
    <w:rsid w:val="002D69A3"/>
    <w:rsid w:val="002E064A"/>
    <w:rsid w:val="00302517"/>
    <w:rsid w:val="0031216D"/>
    <w:rsid w:val="003212A7"/>
    <w:rsid w:val="00324EAC"/>
    <w:rsid w:val="003301F6"/>
    <w:rsid w:val="003504F4"/>
    <w:rsid w:val="00352722"/>
    <w:rsid w:val="00352AC7"/>
    <w:rsid w:val="00356B73"/>
    <w:rsid w:val="003746A5"/>
    <w:rsid w:val="0039147E"/>
    <w:rsid w:val="003A6B5E"/>
    <w:rsid w:val="003B4ECB"/>
    <w:rsid w:val="003C20A2"/>
    <w:rsid w:val="003C3E2D"/>
    <w:rsid w:val="003C7446"/>
    <w:rsid w:val="003D4690"/>
    <w:rsid w:val="003E62FA"/>
    <w:rsid w:val="003F0E6C"/>
    <w:rsid w:val="003F1538"/>
    <w:rsid w:val="003F6436"/>
    <w:rsid w:val="0040760F"/>
    <w:rsid w:val="00413868"/>
    <w:rsid w:val="004220C1"/>
    <w:rsid w:val="004245E2"/>
    <w:rsid w:val="0043409A"/>
    <w:rsid w:val="00437A87"/>
    <w:rsid w:val="00442FAB"/>
    <w:rsid w:val="00453CEA"/>
    <w:rsid w:val="004638E2"/>
    <w:rsid w:val="00477CBA"/>
    <w:rsid w:val="00481662"/>
    <w:rsid w:val="00487330"/>
    <w:rsid w:val="00497010"/>
    <w:rsid w:val="004A5C4E"/>
    <w:rsid w:val="004B1816"/>
    <w:rsid w:val="004E2EF1"/>
    <w:rsid w:val="004F0197"/>
    <w:rsid w:val="00500E42"/>
    <w:rsid w:val="00503ADB"/>
    <w:rsid w:val="005056AB"/>
    <w:rsid w:val="00531E25"/>
    <w:rsid w:val="005351B8"/>
    <w:rsid w:val="0054019D"/>
    <w:rsid w:val="0054116D"/>
    <w:rsid w:val="00554B6D"/>
    <w:rsid w:val="00565F4C"/>
    <w:rsid w:val="005677BF"/>
    <w:rsid w:val="00572180"/>
    <w:rsid w:val="0058276E"/>
    <w:rsid w:val="00587ED5"/>
    <w:rsid w:val="0059480C"/>
    <w:rsid w:val="005B2095"/>
    <w:rsid w:val="005B4CA0"/>
    <w:rsid w:val="005B61DD"/>
    <w:rsid w:val="005B7569"/>
    <w:rsid w:val="005C0870"/>
    <w:rsid w:val="005D123B"/>
    <w:rsid w:val="005E003C"/>
    <w:rsid w:val="00601EE8"/>
    <w:rsid w:val="00627A5E"/>
    <w:rsid w:val="00632A08"/>
    <w:rsid w:val="00634658"/>
    <w:rsid w:val="006355C2"/>
    <w:rsid w:val="00635976"/>
    <w:rsid w:val="00645E21"/>
    <w:rsid w:val="00656B29"/>
    <w:rsid w:val="00656CEC"/>
    <w:rsid w:val="00662091"/>
    <w:rsid w:val="0067278D"/>
    <w:rsid w:val="00677B26"/>
    <w:rsid w:val="006832B3"/>
    <w:rsid w:val="006A35BC"/>
    <w:rsid w:val="006B047C"/>
    <w:rsid w:val="006B49C0"/>
    <w:rsid w:val="006B7EC1"/>
    <w:rsid w:val="006C3DC8"/>
    <w:rsid w:val="006C66E3"/>
    <w:rsid w:val="006D403A"/>
    <w:rsid w:val="006E7AE7"/>
    <w:rsid w:val="00702700"/>
    <w:rsid w:val="0070602B"/>
    <w:rsid w:val="00730A58"/>
    <w:rsid w:val="007427B0"/>
    <w:rsid w:val="0075209E"/>
    <w:rsid w:val="00764DE9"/>
    <w:rsid w:val="00773AF9"/>
    <w:rsid w:val="00774196"/>
    <w:rsid w:val="00776EDA"/>
    <w:rsid w:val="0078395B"/>
    <w:rsid w:val="0079763E"/>
    <w:rsid w:val="007A0BCB"/>
    <w:rsid w:val="007A2FD8"/>
    <w:rsid w:val="007A4E43"/>
    <w:rsid w:val="007A65E8"/>
    <w:rsid w:val="007C4274"/>
    <w:rsid w:val="007C69E5"/>
    <w:rsid w:val="007F18B4"/>
    <w:rsid w:val="00820981"/>
    <w:rsid w:val="00842AEC"/>
    <w:rsid w:val="008467E5"/>
    <w:rsid w:val="00847FA5"/>
    <w:rsid w:val="00864CFB"/>
    <w:rsid w:val="00881924"/>
    <w:rsid w:val="00894250"/>
    <w:rsid w:val="008963CA"/>
    <w:rsid w:val="008A35A7"/>
    <w:rsid w:val="008B1B0E"/>
    <w:rsid w:val="008D07B3"/>
    <w:rsid w:val="008E4D37"/>
    <w:rsid w:val="008E68C3"/>
    <w:rsid w:val="00905D31"/>
    <w:rsid w:val="0092266A"/>
    <w:rsid w:val="0092612D"/>
    <w:rsid w:val="0093070E"/>
    <w:rsid w:val="009375C5"/>
    <w:rsid w:val="00956917"/>
    <w:rsid w:val="00956FE8"/>
    <w:rsid w:val="00962C21"/>
    <w:rsid w:val="00963900"/>
    <w:rsid w:val="009747C5"/>
    <w:rsid w:val="009A48C0"/>
    <w:rsid w:val="009B2EB5"/>
    <w:rsid w:val="009D7100"/>
    <w:rsid w:val="009F4CB6"/>
    <w:rsid w:val="00A12F30"/>
    <w:rsid w:val="00A164A9"/>
    <w:rsid w:val="00A256EF"/>
    <w:rsid w:val="00A34E28"/>
    <w:rsid w:val="00A43097"/>
    <w:rsid w:val="00A47840"/>
    <w:rsid w:val="00A72C30"/>
    <w:rsid w:val="00AB2B12"/>
    <w:rsid w:val="00AC528E"/>
    <w:rsid w:val="00AE1576"/>
    <w:rsid w:val="00AE2E13"/>
    <w:rsid w:val="00AF2981"/>
    <w:rsid w:val="00B008C5"/>
    <w:rsid w:val="00B07F9F"/>
    <w:rsid w:val="00B126CE"/>
    <w:rsid w:val="00B2488F"/>
    <w:rsid w:val="00B40730"/>
    <w:rsid w:val="00B4669D"/>
    <w:rsid w:val="00B60460"/>
    <w:rsid w:val="00B61012"/>
    <w:rsid w:val="00B625DD"/>
    <w:rsid w:val="00B62712"/>
    <w:rsid w:val="00B74136"/>
    <w:rsid w:val="00B770C6"/>
    <w:rsid w:val="00BA0099"/>
    <w:rsid w:val="00BA17E8"/>
    <w:rsid w:val="00BA5FF8"/>
    <w:rsid w:val="00BC1CCB"/>
    <w:rsid w:val="00C01F40"/>
    <w:rsid w:val="00C05DB8"/>
    <w:rsid w:val="00C170C2"/>
    <w:rsid w:val="00C309F6"/>
    <w:rsid w:val="00C32848"/>
    <w:rsid w:val="00C40781"/>
    <w:rsid w:val="00C60D9E"/>
    <w:rsid w:val="00C84C83"/>
    <w:rsid w:val="00C85F0F"/>
    <w:rsid w:val="00C95BF6"/>
    <w:rsid w:val="00CB6994"/>
    <w:rsid w:val="00CE4985"/>
    <w:rsid w:val="00D06A5D"/>
    <w:rsid w:val="00D072E7"/>
    <w:rsid w:val="00D1289B"/>
    <w:rsid w:val="00D200A7"/>
    <w:rsid w:val="00D32B6E"/>
    <w:rsid w:val="00D4441B"/>
    <w:rsid w:val="00D62702"/>
    <w:rsid w:val="00D67E11"/>
    <w:rsid w:val="00D836C0"/>
    <w:rsid w:val="00DA28EB"/>
    <w:rsid w:val="00DB29C3"/>
    <w:rsid w:val="00DB32A3"/>
    <w:rsid w:val="00DC5F6F"/>
    <w:rsid w:val="00DE1B74"/>
    <w:rsid w:val="00DF272D"/>
    <w:rsid w:val="00E05288"/>
    <w:rsid w:val="00E150D7"/>
    <w:rsid w:val="00E156A1"/>
    <w:rsid w:val="00E17C88"/>
    <w:rsid w:val="00E26ACA"/>
    <w:rsid w:val="00E54AFA"/>
    <w:rsid w:val="00E609F7"/>
    <w:rsid w:val="00E6633C"/>
    <w:rsid w:val="00E83BB1"/>
    <w:rsid w:val="00EA2114"/>
    <w:rsid w:val="00EB318B"/>
    <w:rsid w:val="00EC15F4"/>
    <w:rsid w:val="00F020AB"/>
    <w:rsid w:val="00F07730"/>
    <w:rsid w:val="00F22314"/>
    <w:rsid w:val="00F2238A"/>
    <w:rsid w:val="00F2359E"/>
    <w:rsid w:val="00F243C2"/>
    <w:rsid w:val="00F458DE"/>
    <w:rsid w:val="00F46912"/>
    <w:rsid w:val="00F61EF1"/>
    <w:rsid w:val="00F626A1"/>
    <w:rsid w:val="00F6776B"/>
    <w:rsid w:val="00F879E6"/>
    <w:rsid w:val="00F96E12"/>
    <w:rsid w:val="00FA46A0"/>
    <w:rsid w:val="00FA589C"/>
    <w:rsid w:val="00FB2124"/>
    <w:rsid w:val="00FC1C19"/>
    <w:rsid w:val="00FE7B21"/>
    <w:rsid w:val="00FF4E07"/>
    <w:rsid w:val="00FF5729"/>
    <w:rsid w:val="00FF7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qFormat/>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221869724">
      <w:bodyDiv w:val="1"/>
      <w:marLeft w:val="0"/>
      <w:marRight w:val="0"/>
      <w:marTop w:val="0"/>
      <w:marBottom w:val="0"/>
      <w:divBdr>
        <w:top w:val="none" w:sz="0" w:space="0" w:color="auto"/>
        <w:left w:val="none" w:sz="0" w:space="0" w:color="auto"/>
        <w:bottom w:val="none" w:sz="0" w:space="0" w:color="auto"/>
        <w:right w:val="none" w:sz="0" w:space="0" w:color="auto"/>
      </w:divBdr>
    </w:div>
    <w:div w:id="238058738">
      <w:bodyDiv w:val="1"/>
      <w:marLeft w:val="0"/>
      <w:marRight w:val="0"/>
      <w:marTop w:val="0"/>
      <w:marBottom w:val="0"/>
      <w:divBdr>
        <w:top w:val="none" w:sz="0" w:space="0" w:color="auto"/>
        <w:left w:val="none" w:sz="0" w:space="0" w:color="auto"/>
        <w:bottom w:val="none" w:sz="0" w:space="0" w:color="auto"/>
        <w:right w:val="none" w:sz="0" w:space="0" w:color="auto"/>
      </w:divBdr>
    </w:div>
    <w:div w:id="341202437">
      <w:bodyDiv w:val="1"/>
      <w:marLeft w:val="0"/>
      <w:marRight w:val="0"/>
      <w:marTop w:val="0"/>
      <w:marBottom w:val="0"/>
      <w:divBdr>
        <w:top w:val="none" w:sz="0" w:space="0" w:color="auto"/>
        <w:left w:val="none" w:sz="0" w:space="0" w:color="auto"/>
        <w:bottom w:val="none" w:sz="0" w:space="0" w:color="auto"/>
        <w:right w:val="none" w:sz="0" w:space="0" w:color="auto"/>
      </w:divBdr>
    </w:div>
    <w:div w:id="385296944">
      <w:bodyDiv w:val="1"/>
      <w:marLeft w:val="0"/>
      <w:marRight w:val="0"/>
      <w:marTop w:val="0"/>
      <w:marBottom w:val="0"/>
      <w:divBdr>
        <w:top w:val="none" w:sz="0" w:space="0" w:color="auto"/>
        <w:left w:val="none" w:sz="0" w:space="0" w:color="auto"/>
        <w:bottom w:val="none" w:sz="0" w:space="0" w:color="auto"/>
        <w:right w:val="none" w:sz="0" w:space="0" w:color="auto"/>
      </w:divBdr>
    </w:div>
    <w:div w:id="41917836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3894317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00356102">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4635544">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330595779">
      <w:bodyDiv w:val="1"/>
      <w:marLeft w:val="0"/>
      <w:marRight w:val="0"/>
      <w:marTop w:val="0"/>
      <w:marBottom w:val="0"/>
      <w:divBdr>
        <w:top w:val="none" w:sz="0" w:space="0" w:color="auto"/>
        <w:left w:val="none" w:sz="0" w:space="0" w:color="auto"/>
        <w:bottom w:val="none" w:sz="0" w:space="0" w:color="auto"/>
        <w:right w:val="none" w:sz="0" w:space="0" w:color="auto"/>
      </w:divBdr>
    </w:div>
    <w:div w:id="1366060161">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443187124">
      <w:bodyDiv w:val="1"/>
      <w:marLeft w:val="0"/>
      <w:marRight w:val="0"/>
      <w:marTop w:val="0"/>
      <w:marBottom w:val="0"/>
      <w:divBdr>
        <w:top w:val="none" w:sz="0" w:space="0" w:color="auto"/>
        <w:left w:val="none" w:sz="0" w:space="0" w:color="auto"/>
        <w:bottom w:val="none" w:sz="0" w:space="0" w:color="auto"/>
        <w:right w:val="none" w:sz="0" w:space="0" w:color="auto"/>
      </w:divBdr>
    </w:div>
    <w:div w:id="1492867943">
      <w:bodyDiv w:val="1"/>
      <w:marLeft w:val="0"/>
      <w:marRight w:val="0"/>
      <w:marTop w:val="0"/>
      <w:marBottom w:val="0"/>
      <w:divBdr>
        <w:top w:val="none" w:sz="0" w:space="0" w:color="auto"/>
        <w:left w:val="none" w:sz="0" w:space="0" w:color="auto"/>
        <w:bottom w:val="none" w:sz="0" w:space="0" w:color="auto"/>
        <w:right w:val="none" w:sz="0" w:space="0" w:color="auto"/>
      </w:divBdr>
    </w:div>
    <w:div w:id="1494879735">
      <w:bodyDiv w:val="1"/>
      <w:marLeft w:val="0"/>
      <w:marRight w:val="0"/>
      <w:marTop w:val="0"/>
      <w:marBottom w:val="0"/>
      <w:divBdr>
        <w:top w:val="none" w:sz="0" w:space="0" w:color="auto"/>
        <w:left w:val="none" w:sz="0" w:space="0" w:color="auto"/>
        <w:bottom w:val="none" w:sz="0" w:space="0" w:color="auto"/>
        <w:right w:val="none" w:sz="0" w:space="0" w:color="auto"/>
      </w:divBdr>
    </w:div>
    <w:div w:id="1578588588">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795173085">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872834774">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 w:id="2083329997">
      <w:bodyDiv w:val="1"/>
      <w:marLeft w:val="0"/>
      <w:marRight w:val="0"/>
      <w:marTop w:val="0"/>
      <w:marBottom w:val="0"/>
      <w:divBdr>
        <w:top w:val="none" w:sz="0" w:space="0" w:color="auto"/>
        <w:left w:val="none" w:sz="0" w:space="0" w:color="auto"/>
        <w:bottom w:val="none" w:sz="0" w:space="0" w:color="auto"/>
        <w:right w:val="none" w:sz="0" w:space="0" w:color="auto"/>
      </w:divBdr>
    </w:div>
    <w:div w:id="20862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21/en" TargetMode="External"/><Relationship Id="rId18" Type="http://schemas.openxmlformats.org/officeDocument/2006/relationships/hyperlink" Target="https://www.itu.int/md/T22-SG20-R-0026/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22-SG20-R-0029/e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25/en" TargetMode="External"/><Relationship Id="rId25"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hyperlink" Target="https://www.itu.int/md/T22-SG20-R-0024/en" TargetMode="External"/><Relationship Id="rId20" Type="http://schemas.openxmlformats.org/officeDocument/2006/relationships/hyperlink" Target="https://www.itu.int/md/T22-SG20-R-002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hyperlink" Target="https://www.itu.int/md/T22-SG20-R-0032/en" TargetMode="External"/><Relationship Id="rId5" Type="http://schemas.openxmlformats.org/officeDocument/2006/relationships/webSettings" Target="webSettings.xml"/><Relationship Id="rId15" Type="http://schemas.openxmlformats.org/officeDocument/2006/relationships/hyperlink" Target="https://www.itu.int/md/T22-SG20-R-0023/en" TargetMode="External"/><Relationship Id="rId23" Type="http://schemas.openxmlformats.org/officeDocument/2006/relationships/hyperlink" Target="https://www.itu.int/md/T22-SG20-R-0031/en" TargetMode="External"/><Relationship Id="rId28" Type="http://schemas.openxmlformats.org/officeDocument/2006/relationships/fontTable" Target="fontTable.xml"/><Relationship Id="rId10" Type="http://schemas.openxmlformats.org/officeDocument/2006/relationships/hyperlink" Target="https://www.itu.int/md/meetingdoc.asp?lang=en&amp;parent=T22-SG20-COL-0005" TargetMode="External"/><Relationship Id="rId19" Type="http://schemas.openxmlformats.org/officeDocument/2006/relationships/hyperlink" Target="https://www.itu.int/md/T22-SG20-R-0027/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22/en" TargetMode="External"/><Relationship Id="rId22" Type="http://schemas.openxmlformats.org/officeDocument/2006/relationships/hyperlink" Target="https://www.itu.int/md/T22-SG20-R-0030/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997D-A29C-4087-9C8C-8F73359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17</TotalTime>
  <Pages>9</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2024-09-CircularXX-tap.docx  For: _x000d_Document date: _x000d_Saved by ITU51017730 at 10:23:11 on 26/09/2024</dc:description>
  <cp:lastModifiedBy>Braud, Olivia</cp:lastModifiedBy>
  <cp:revision>10</cp:revision>
  <cp:lastPrinted>2024-09-27T10:25:00Z</cp:lastPrinted>
  <dcterms:created xsi:type="dcterms:W3CDTF">2024-09-26T08:23:00Z</dcterms:created>
  <dcterms:modified xsi:type="dcterms:W3CDTF">2024-09-27T10:29:00Z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2024-09-CircularXX-tap.docx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