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tblLayout w:type="fixed"/>
        <w:tblLook w:val="0000" w:firstRow="0" w:lastRow="0" w:firstColumn="0" w:lastColumn="0" w:noHBand="0" w:noVBand="0"/>
      </w:tblPr>
      <w:tblGrid>
        <w:gridCol w:w="1418"/>
        <w:gridCol w:w="10"/>
        <w:gridCol w:w="2520"/>
        <w:gridCol w:w="1122"/>
        <w:gridCol w:w="4878"/>
      </w:tblGrid>
      <w:tr w:rsidR="00AA662C" w:rsidRPr="00F06651" w14:paraId="4FB37CB1" w14:textId="77777777">
        <w:trPr>
          <w:trHeight w:hRule="exact" w:val="1418"/>
        </w:trPr>
        <w:tc>
          <w:tcPr>
            <w:tcW w:w="1428" w:type="dxa"/>
            <w:gridSpan w:val="2"/>
          </w:tcPr>
          <w:p w14:paraId="685A2724" w14:textId="5FF475CB" w:rsidR="00AA662C" w:rsidRPr="00F06651" w:rsidRDefault="00AA662C" w:rsidP="00217ECD"/>
          <w:p w14:paraId="659C6CB0" w14:textId="77777777" w:rsidR="00AA662C" w:rsidRPr="00F06651" w:rsidRDefault="00AA662C" w:rsidP="003C2262">
            <w:pPr>
              <w:rPr>
                <w:b/>
                <w:sz w:val="16"/>
              </w:rPr>
            </w:pPr>
          </w:p>
        </w:tc>
        <w:tc>
          <w:tcPr>
            <w:tcW w:w="8520" w:type="dxa"/>
            <w:gridSpan w:val="3"/>
          </w:tcPr>
          <w:p w14:paraId="3D028942" w14:textId="77777777" w:rsidR="00AA662C" w:rsidRPr="00F06651" w:rsidRDefault="00AA662C" w:rsidP="003C2262">
            <w:pPr>
              <w:rPr>
                <w:rFonts w:ascii="Arial" w:hAnsi="Arial" w:cs="Arial"/>
              </w:rPr>
            </w:pPr>
          </w:p>
          <w:p w14:paraId="25588358" w14:textId="77777777" w:rsidR="00AA662C" w:rsidRPr="00F06651" w:rsidRDefault="00AA662C" w:rsidP="003C2262">
            <w:pPr>
              <w:spacing w:before="284"/>
              <w:rPr>
                <w:rFonts w:ascii="Arial" w:hAnsi="Arial" w:cs="Arial"/>
                <w:b/>
                <w:bCs/>
                <w:sz w:val="18"/>
              </w:rPr>
            </w:pPr>
            <w:r w:rsidRPr="00F06651">
              <w:rPr>
                <w:rFonts w:ascii="Arial" w:hAnsi="Arial" w:cs="Arial"/>
                <w:b/>
                <w:bCs/>
                <w:color w:val="808080"/>
                <w:spacing w:val="100"/>
              </w:rPr>
              <w:t>International Telecommunication Union</w:t>
            </w:r>
          </w:p>
        </w:tc>
      </w:tr>
      <w:tr w:rsidR="00AA662C" w:rsidRPr="00F06651" w14:paraId="433F15E9" w14:textId="77777777">
        <w:trPr>
          <w:trHeight w:hRule="exact" w:val="992"/>
        </w:trPr>
        <w:tc>
          <w:tcPr>
            <w:tcW w:w="1428" w:type="dxa"/>
            <w:gridSpan w:val="2"/>
          </w:tcPr>
          <w:p w14:paraId="33C37535" w14:textId="519C77B4" w:rsidR="00AA662C" w:rsidRPr="00F06651" w:rsidRDefault="007969C3" w:rsidP="003C2262">
            <w:bookmarkStart w:id="0" w:name="_Toc400020851"/>
            <w:bookmarkStart w:id="1" w:name="_Toc400106136"/>
            <w:bookmarkStart w:id="2" w:name="_Toc400975633"/>
            <w:r w:rsidRPr="00F06651">
              <w:rPr>
                <w:noProof/>
                <w:lang w:val="en-GB"/>
              </w:rPr>
              <w:drawing>
                <wp:anchor distT="0" distB="0" distL="114300" distR="114300" simplePos="0" relativeHeight="251659264" behindDoc="0" locked="0" layoutInCell="0" allowOverlap="1" wp14:anchorId="33E74616" wp14:editId="50EF7D51">
                  <wp:simplePos x="0" y="0"/>
                  <wp:positionH relativeFrom="column">
                    <wp:posOffset>-966794</wp:posOffset>
                  </wp:positionH>
                  <wp:positionV relativeFrom="paragraph">
                    <wp:posOffset>-1574800</wp:posOffset>
                  </wp:positionV>
                  <wp:extent cx="1569720" cy="107715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11"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bookmarkEnd w:id="0"/>
            <w:bookmarkEnd w:id="1"/>
            <w:bookmarkEnd w:id="2"/>
          </w:p>
        </w:tc>
        <w:tc>
          <w:tcPr>
            <w:tcW w:w="8520" w:type="dxa"/>
            <w:gridSpan w:val="3"/>
          </w:tcPr>
          <w:p w14:paraId="6C744319" w14:textId="77777777" w:rsidR="00AA662C" w:rsidRPr="00F06651" w:rsidRDefault="00AA662C" w:rsidP="003C2262"/>
        </w:tc>
      </w:tr>
      <w:tr w:rsidR="00AA662C" w:rsidRPr="00F06651" w14:paraId="060BF5CC" w14:textId="77777777">
        <w:tblPrEx>
          <w:tblCellMar>
            <w:left w:w="85" w:type="dxa"/>
            <w:right w:w="85" w:type="dxa"/>
          </w:tblCellMar>
        </w:tblPrEx>
        <w:trPr>
          <w:gridBefore w:val="2"/>
          <w:wBefore w:w="1428" w:type="dxa"/>
        </w:trPr>
        <w:tc>
          <w:tcPr>
            <w:tcW w:w="2520" w:type="dxa"/>
          </w:tcPr>
          <w:p w14:paraId="663860FC" w14:textId="77777777" w:rsidR="00AA662C" w:rsidRPr="00F06651" w:rsidRDefault="00AA662C" w:rsidP="003C2262">
            <w:pPr>
              <w:rPr>
                <w:b/>
                <w:sz w:val="18"/>
              </w:rPr>
            </w:pPr>
            <w:bookmarkStart w:id="3" w:name="dnume" w:colFirst="1" w:colLast="1"/>
            <w:r w:rsidRPr="00F06651">
              <w:rPr>
                <w:rFonts w:ascii="Arial" w:hAnsi="Arial"/>
                <w:b/>
                <w:spacing w:val="40"/>
                <w:sz w:val="72"/>
              </w:rPr>
              <w:t>ITU-T</w:t>
            </w:r>
          </w:p>
        </w:tc>
        <w:tc>
          <w:tcPr>
            <w:tcW w:w="6000" w:type="dxa"/>
            <w:gridSpan w:val="2"/>
          </w:tcPr>
          <w:p w14:paraId="1BED9F7B" w14:textId="1E43F8C5" w:rsidR="00AA662C" w:rsidRPr="00F06651" w:rsidRDefault="00BE0981" w:rsidP="006910EA">
            <w:pPr>
              <w:spacing w:before="240"/>
              <w:jc w:val="right"/>
              <w:rPr>
                <w:rFonts w:ascii="Arial" w:hAnsi="Arial" w:cs="Arial"/>
                <w:b/>
                <w:sz w:val="60"/>
              </w:rPr>
            </w:pPr>
            <w:r w:rsidRPr="00915BCD">
              <w:rPr>
                <w:rFonts w:ascii="Arial" w:hAnsi="Arial" w:cs="Arial"/>
                <w:b/>
                <w:sz w:val="52"/>
              </w:rPr>
              <w:t xml:space="preserve">Technical </w:t>
            </w:r>
            <w:r w:rsidR="006910EA">
              <w:rPr>
                <w:rFonts w:ascii="Arial" w:hAnsi="Arial" w:cs="Arial"/>
                <w:b/>
                <w:sz w:val="52"/>
              </w:rPr>
              <w:t>Report</w:t>
            </w:r>
            <w:bookmarkStart w:id="4" w:name="_GoBack"/>
            <w:bookmarkEnd w:id="4"/>
          </w:p>
        </w:tc>
      </w:tr>
      <w:tr w:rsidR="00AA662C" w:rsidRPr="00F06651" w14:paraId="2A58A817" w14:textId="77777777">
        <w:tblPrEx>
          <w:tblCellMar>
            <w:left w:w="85" w:type="dxa"/>
            <w:right w:w="85" w:type="dxa"/>
          </w:tblCellMar>
        </w:tblPrEx>
        <w:trPr>
          <w:gridBefore w:val="2"/>
          <w:wBefore w:w="1428" w:type="dxa"/>
          <w:trHeight w:val="974"/>
        </w:trPr>
        <w:tc>
          <w:tcPr>
            <w:tcW w:w="3642" w:type="dxa"/>
            <w:gridSpan w:val="2"/>
          </w:tcPr>
          <w:p w14:paraId="13E14ADC" w14:textId="77777777" w:rsidR="00AA662C" w:rsidRPr="00F06651" w:rsidRDefault="004C37E7" w:rsidP="004C37E7">
            <w:pPr>
              <w:rPr>
                <w:b/>
              </w:rPr>
            </w:pPr>
            <w:bookmarkStart w:id="5" w:name="ddatee" w:colFirst="1" w:colLast="1"/>
            <w:bookmarkEnd w:id="3"/>
            <w:r w:rsidRPr="004C37E7">
              <w:rPr>
                <w:rFonts w:ascii="Arial" w:hAnsi="Arial"/>
              </w:rPr>
              <w:t>TELECOMMUNICATION</w:t>
            </w:r>
            <w:r w:rsidRPr="004C37E7">
              <w:rPr>
                <w:rFonts w:ascii="Arial" w:hAnsi="Arial"/>
              </w:rPr>
              <w:br/>
              <w:t>STANDARDIZATION SECTOR</w:t>
            </w:r>
            <w:r w:rsidRPr="004C37E7">
              <w:rPr>
                <w:rFonts w:ascii="Arial" w:hAnsi="Arial"/>
              </w:rPr>
              <w:br/>
              <w:t>OF ITU</w:t>
            </w:r>
          </w:p>
        </w:tc>
        <w:tc>
          <w:tcPr>
            <w:tcW w:w="4878" w:type="dxa"/>
          </w:tcPr>
          <w:p w14:paraId="450192CB" w14:textId="77777777" w:rsidR="00AA662C" w:rsidRPr="00F06651" w:rsidRDefault="00AA662C" w:rsidP="003C2262">
            <w:pPr>
              <w:jc w:val="right"/>
              <w:rPr>
                <w:rFonts w:ascii="Arial" w:hAnsi="Arial" w:cs="Arial"/>
                <w:sz w:val="28"/>
              </w:rPr>
            </w:pPr>
          </w:p>
          <w:p w14:paraId="68694A6A" w14:textId="5F932C04" w:rsidR="00AA662C" w:rsidRPr="00F06651" w:rsidRDefault="00BE0981" w:rsidP="002D1CF8">
            <w:pPr>
              <w:jc w:val="right"/>
              <w:rPr>
                <w:rFonts w:ascii="Arial" w:hAnsi="Arial" w:cs="Arial"/>
                <w:sz w:val="28"/>
              </w:rPr>
            </w:pPr>
            <w:r w:rsidRPr="00031F20">
              <w:rPr>
                <w:rFonts w:ascii="Arial" w:hAnsi="Arial" w:cs="Arial"/>
                <w:sz w:val="28"/>
              </w:rPr>
              <w:t>(</w:t>
            </w:r>
            <w:r>
              <w:rPr>
                <w:rFonts w:ascii="Arial" w:hAnsi="Arial" w:cs="Arial"/>
                <w:sz w:val="28"/>
              </w:rPr>
              <w:t>19</w:t>
            </w:r>
            <w:r w:rsidRPr="00031F20">
              <w:rPr>
                <w:rFonts w:ascii="Arial" w:hAnsi="Arial" w:cs="Arial"/>
                <w:sz w:val="28"/>
              </w:rPr>
              <w:t xml:space="preserve"> </w:t>
            </w:r>
            <w:r w:rsidRPr="00031F20">
              <w:rPr>
                <w:rFonts w:ascii="Arial" w:hAnsi="Arial" w:cs="Arial" w:hint="eastAsia"/>
                <w:sz w:val="28"/>
              </w:rPr>
              <w:t>July</w:t>
            </w:r>
            <w:r w:rsidRPr="00031F20">
              <w:rPr>
                <w:rFonts w:ascii="Arial" w:hAnsi="Arial" w:cs="Arial"/>
                <w:sz w:val="28"/>
              </w:rPr>
              <w:t xml:space="preserve"> 2019)</w:t>
            </w:r>
          </w:p>
        </w:tc>
      </w:tr>
      <w:tr w:rsidR="00AA662C" w:rsidRPr="00F06651" w14:paraId="07B0C255" w14:textId="77777777">
        <w:trPr>
          <w:cantSplit/>
          <w:trHeight w:hRule="exact" w:val="3402"/>
        </w:trPr>
        <w:tc>
          <w:tcPr>
            <w:tcW w:w="1418" w:type="dxa"/>
          </w:tcPr>
          <w:p w14:paraId="26353D32" w14:textId="77777777" w:rsidR="00AA662C" w:rsidRPr="00F06651" w:rsidRDefault="00AA662C" w:rsidP="003C2262">
            <w:pPr>
              <w:tabs>
                <w:tab w:val="right" w:pos="9639"/>
              </w:tabs>
              <w:rPr>
                <w:rFonts w:ascii="Arial" w:hAnsi="Arial"/>
                <w:sz w:val="18"/>
              </w:rPr>
            </w:pPr>
            <w:bookmarkStart w:id="6" w:name="dsece" w:colFirst="1" w:colLast="1"/>
            <w:bookmarkEnd w:id="5"/>
          </w:p>
        </w:tc>
        <w:tc>
          <w:tcPr>
            <w:tcW w:w="8530" w:type="dxa"/>
            <w:gridSpan w:val="4"/>
            <w:tcBorders>
              <w:bottom w:val="single" w:sz="12" w:space="0" w:color="auto"/>
            </w:tcBorders>
            <w:vAlign w:val="bottom"/>
          </w:tcPr>
          <w:p w14:paraId="63795B89" w14:textId="239286BD" w:rsidR="00AA662C" w:rsidRPr="00F06651" w:rsidRDefault="00AA662C" w:rsidP="003C2262">
            <w:pPr>
              <w:tabs>
                <w:tab w:val="right" w:pos="9639"/>
              </w:tabs>
              <w:rPr>
                <w:rFonts w:ascii="Arial" w:hAnsi="Arial" w:cs="Arial"/>
                <w:sz w:val="32"/>
              </w:rPr>
            </w:pPr>
            <w:r w:rsidRPr="00F06651">
              <w:rPr>
                <w:rFonts w:ascii="Arial" w:hAnsi="Arial" w:cs="Arial"/>
                <w:sz w:val="32"/>
              </w:rPr>
              <w:t xml:space="preserve">ITU-T Focus Group on </w:t>
            </w:r>
            <w:r w:rsidR="002D1CF8" w:rsidRPr="002D1CF8">
              <w:rPr>
                <w:rFonts w:ascii="Arial" w:hAnsi="Arial" w:cs="Arial"/>
                <w:sz w:val="32"/>
              </w:rPr>
              <w:t>Data Processing and Management to support IoT and Smart Cities &amp; Communities</w:t>
            </w:r>
          </w:p>
          <w:p w14:paraId="41B995B3" w14:textId="77777777" w:rsidR="00AA662C" w:rsidRPr="00F06651" w:rsidRDefault="00AA662C" w:rsidP="003C2262">
            <w:pPr>
              <w:tabs>
                <w:tab w:val="right" w:pos="9639"/>
              </w:tabs>
              <w:rPr>
                <w:rFonts w:ascii="Arial" w:hAnsi="Arial" w:cs="Arial"/>
                <w:sz w:val="32"/>
              </w:rPr>
            </w:pPr>
          </w:p>
        </w:tc>
      </w:tr>
      <w:tr w:rsidR="00B849B7" w:rsidRPr="00F06651" w14:paraId="378871B6" w14:textId="77777777" w:rsidTr="00F00B4A">
        <w:trPr>
          <w:cantSplit/>
          <w:trHeight w:hRule="exact" w:val="4536"/>
        </w:trPr>
        <w:tc>
          <w:tcPr>
            <w:tcW w:w="1418" w:type="dxa"/>
          </w:tcPr>
          <w:p w14:paraId="231BE33D" w14:textId="77777777" w:rsidR="00B849B7" w:rsidRPr="00F06651" w:rsidRDefault="00B849B7" w:rsidP="00B849B7">
            <w:pPr>
              <w:tabs>
                <w:tab w:val="right" w:pos="9639"/>
              </w:tabs>
              <w:rPr>
                <w:rFonts w:ascii="Arial" w:hAnsi="Arial"/>
                <w:sz w:val="18"/>
              </w:rPr>
            </w:pPr>
            <w:bookmarkStart w:id="7" w:name="c1tite" w:colFirst="1" w:colLast="1"/>
            <w:bookmarkEnd w:id="6"/>
          </w:p>
        </w:tc>
        <w:tc>
          <w:tcPr>
            <w:tcW w:w="8530" w:type="dxa"/>
            <w:gridSpan w:val="4"/>
          </w:tcPr>
          <w:p w14:paraId="4BB19B2D" w14:textId="63DC3907" w:rsidR="00BE0981" w:rsidRPr="000132E6" w:rsidRDefault="00BE0981" w:rsidP="00F00B4A">
            <w:pPr>
              <w:pStyle w:val="RecNo"/>
              <w:keepNext w:val="0"/>
              <w:keepLines w:val="0"/>
              <w:widowControl w:val="0"/>
              <w:spacing w:before="120"/>
              <w:jc w:val="left"/>
              <w:rPr>
                <w:rFonts w:ascii="Arial" w:hAnsi="Arial" w:cs="Arial"/>
                <w:sz w:val="36"/>
                <w:szCs w:val="36"/>
              </w:rPr>
            </w:pPr>
            <w:r w:rsidRPr="000132E6">
              <w:rPr>
                <w:rFonts w:ascii="Arial" w:hAnsi="Arial" w:cs="Arial"/>
                <w:sz w:val="36"/>
                <w:szCs w:val="36"/>
              </w:rPr>
              <w:t>Technical Report</w:t>
            </w:r>
            <w:r>
              <w:rPr>
                <w:rFonts w:ascii="Arial" w:hAnsi="Arial" w:cs="Arial"/>
                <w:sz w:val="36"/>
                <w:szCs w:val="36"/>
              </w:rPr>
              <w:t xml:space="preserve"> D4.1</w:t>
            </w:r>
          </w:p>
          <w:p w14:paraId="7FE96303" w14:textId="37930181" w:rsidR="00BE0981" w:rsidRPr="00BE0981" w:rsidRDefault="00BE0981" w:rsidP="00100AEE">
            <w:pPr>
              <w:widowControl w:val="0"/>
              <w:tabs>
                <w:tab w:val="left" w:pos="794"/>
                <w:tab w:val="left" w:pos="1191"/>
                <w:tab w:val="left" w:pos="1588"/>
                <w:tab w:val="left" w:pos="1985"/>
              </w:tabs>
              <w:overflowPunct w:val="0"/>
              <w:autoSpaceDE w:val="0"/>
              <w:autoSpaceDN w:val="0"/>
              <w:adjustRightInd w:val="0"/>
              <w:spacing w:before="120"/>
              <w:textAlignment w:val="baseline"/>
              <w:rPr>
                <w:rFonts w:ascii="Arial" w:eastAsia="Malgun Gothic" w:hAnsi="Arial" w:cs="Arial"/>
                <w:b/>
                <w:sz w:val="36"/>
                <w:szCs w:val="36"/>
                <w:lang w:val="en-GB" w:eastAsia="en-US"/>
              </w:rPr>
            </w:pPr>
            <w:r w:rsidRPr="00BE0981">
              <w:rPr>
                <w:rFonts w:ascii="Arial" w:eastAsia="Malgun Gothic" w:hAnsi="Arial" w:cs="Arial"/>
                <w:b/>
                <w:sz w:val="36"/>
                <w:szCs w:val="36"/>
                <w:lang w:val="en-GB" w:eastAsia="en-US"/>
              </w:rPr>
              <w:t>Framework for security, privacy, risk and governance in data processing and management</w:t>
            </w:r>
          </w:p>
        </w:tc>
      </w:tr>
      <w:bookmarkEnd w:id="7"/>
      <w:tr w:rsidR="00B849B7" w:rsidRPr="00F06651" w14:paraId="67232CDD" w14:textId="77777777">
        <w:trPr>
          <w:cantSplit/>
          <w:trHeight w:hRule="exact" w:val="1418"/>
        </w:trPr>
        <w:tc>
          <w:tcPr>
            <w:tcW w:w="1418" w:type="dxa"/>
          </w:tcPr>
          <w:p w14:paraId="087F2445" w14:textId="77777777" w:rsidR="00B849B7" w:rsidRPr="00F06651" w:rsidRDefault="00B849B7" w:rsidP="00B849B7">
            <w:pPr>
              <w:tabs>
                <w:tab w:val="right" w:pos="9639"/>
              </w:tabs>
              <w:rPr>
                <w:rFonts w:ascii="Arial" w:hAnsi="Arial"/>
                <w:sz w:val="18"/>
              </w:rPr>
            </w:pPr>
          </w:p>
        </w:tc>
        <w:tc>
          <w:tcPr>
            <w:tcW w:w="8530" w:type="dxa"/>
            <w:gridSpan w:val="4"/>
            <w:vAlign w:val="bottom"/>
          </w:tcPr>
          <w:p w14:paraId="41C2BEEC" w14:textId="77777777" w:rsidR="00B849B7" w:rsidRPr="00F06651" w:rsidRDefault="00B849B7" w:rsidP="00BE0981">
            <w:pPr>
              <w:tabs>
                <w:tab w:val="right" w:pos="9639"/>
              </w:tabs>
              <w:spacing w:before="60" w:after="240"/>
              <w:rPr>
                <w:rFonts w:ascii="Arial" w:hAnsi="Arial" w:cs="Arial"/>
                <w:sz w:val="32"/>
              </w:rPr>
            </w:pPr>
            <w:bookmarkStart w:id="8" w:name="dnum2e"/>
            <w:bookmarkEnd w:id="8"/>
          </w:p>
        </w:tc>
      </w:tr>
    </w:tbl>
    <w:p w14:paraId="4B7CFEEA" w14:textId="4060835E" w:rsidR="00AA662C" w:rsidRPr="00F06651" w:rsidRDefault="00AA662C" w:rsidP="00185363">
      <w:pPr>
        <w:tabs>
          <w:tab w:val="right" w:pos="9639"/>
        </w:tabs>
        <w:spacing w:before="240"/>
        <w:jc w:val="right"/>
        <w:rPr>
          <w:rFonts w:ascii="Arial" w:hAnsi="Arial"/>
          <w:sz w:val="18"/>
        </w:rPr>
      </w:pPr>
      <w:r w:rsidRPr="00F06651">
        <w:rPr>
          <w:rFonts w:ascii="Arial" w:hAnsi="Arial"/>
          <w:noProof/>
          <w:sz w:val="18"/>
          <w:lang w:val="en-GB"/>
        </w:rPr>
        <w:drawing>
          <wp:inline distT="0" distB="0" distL="0" distR="0" wp14:anchorId="4B88154E" wp14:editId="3EA63D3C">
            <wp:extent cx="15335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12"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14:paraId="53BEE695" w14:textId="77777777" w:rsidR="000A45FD" w:rsidRDefault="000A45FD" w:rsidP="00AA662C">
      <w:pPr>
        <w:spacing w:before="480"/>
        <w:jc w:val="center"/>
        <w:rPr>
          <w:sz w:val="22"/>
        </w:rPr>
        <w:sectPr w:rsidR="000A45FD" w:rsidSect="000A45FD">
          <w:headerReference w:type="default" r:id="rId13"/>
          <w:type w:val="oddPage"/>
          <w:pgSz w:w="11907" w:h="16840" w:code="9"/>
          <w:pgMar w:top="1134" w:right="1418" w:bottom="709" w:left="1418" w:header="720" w:footer="720" w:gutter="0"/>
          <w:cols w:space="720"/>
          <w:docGrid w:linePitch="326"/>
        </w:sectPr>
      </w:pPr>
    </w:p>
    <w:p w14:paraId="26A76A42" w14:textId="675F72AB" w:rsidR="00AA662C" w:rsidRPr="00F06651" w:rsidRDefault="00AA662C" w:rsidP="00AA662C">
      <w:pPr>
        <w:spacing w:before="480"/>
        <w:jc w:val="center"/>
        <w:rPr>
          <w:sz w:val="22"/>
        </w:rPr>
      </w:pPr>
      <w:r w:rsidRPr="00F06651">
        <w:rPr>
          <w:sz w:val="22"/>
        </w:rPr>
        <w:lastRenderedPageBreak/>
        <w:t>FOREWORD</w:t>
      </w:r>
    </w:p>
    <w:p w14:paraId="7FA41D6C" w14:textId="56AFA723" w:rsidR="00AA662C" w:rsidRPr="00F06651" w:rsidRDefault="00AA662C" w:rsidP="00AA662C">
      <w:pPr>
        <w:rPr>
          <w:sz w:val="22"/>
        </w:rPr>
      </w:pPr>
      <w:r w:rsidRPr="00F06651">
        <w:rPr>
          <w:sz w:val="22"/>
        </w:rPr>
        <w:t xml:space="preserve">The International Telecommunication Union (ITU) is the United Nations specialized </w:t>
      </w:r>
      <w:r w:rsidR="002D1CF8">
        <w:rPr>
          <w:sz w:val="22"/>
        </w:rPr>
        <w:t>agency in the field of telecommunica</w:t>
      </w:r>
      <w:r w:rsidRPr="00F06651">
        <w:rPr>
          <w:sz w:val="22"/>
        </w:rPr>
        <w:t>tions</w:t>
      </w:r>
      <w:r w:rsidRPr="00F06651">
        <w:rPr>
          <w:sz w:val="22"/>
          <w:szCs w:val="22"/>
        </w:rPr>
        <w:t>, information and communication technologies (ICTs).</w:t>
      </w:r>
      <w:r w:rsidRPr="00F06651">
        <w:rPr>
          <w:sz w:val="22"/>
        </w:rPr>
        <w: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5609A1F5" w14:textId="568FA2F9" w:rsidR="00AA662C" w:rsidRPr="00F06651" w:rsidRDefault="00AA662C" w:rsidP="002D1CF8">
      <w:pPr>
        <w:rPr>
          <w:sz w:val="22"/>
        </w:rPr>
      </w:pPr>
      <w:r w:rsidRPr="00F06651">
        <w:rPr>
          <w:sz w:val="22"/>
        </w:rPr>
        <w:t>The procedures for establishment of focus groups are defined in Recommendatio</w:t>
      </w:r>
      <w:r w:rsidR="002D1CF8">
        <w:rPr>
          <w:sz w:val="22"/>
        </w:rPr>
        <w:t>n ITU-T A.7. ITU-T Study Group 20</w:t>
      </w:r>
      <w:r w:rsidRPr="00F06651">
        <w:rPr>
          <w:sz w:val="22"/>
        </w:rPr>
        <w:t xml:space="preserve"> </w:t>
      </w:r>
      <w:r w:rsidR="00E92C16">
        <w:rPr>
          <w:sz w:val="22"/>
        </w:rPr>
        <w:t xml:space="preserve">set up the </w:t>
      </w:r>
      <w:r w:rsidR="00E92C16" w:rsidRPr="00F06651">
        <w:rPr>
          <w:sz w:val="22"/>
        </w:rPr>
        <w:t xml:space="preserve">ITU-T Focus Group on </w:t>
      </w:r>
      <w:r w:rsidR="002D1CF8" w:rsidRPr="002D1CF8">
        <w:rPr>
          <w:sz w:val="22"/>
        </w:rPr>
        <w:t xml:space="preserve">Data Processing and Management to support IoT and Smart Cities &amp; Communities </w:t>
      </w:r>
      <w:r w:rsidR="00E92C16" w:rsidRPr="00F06651">
        <w:rPr>
          <w:sz w:val="22"/>
        </w:rPr>
        <w:t>(FG</w:t>
      </w:r>
      <w:r w:rsidR="00E92C16">
        <w:rPr>
          <w:sz w:val="22"/>
        </w:rPr>
        <w:t>-</w:t>
      </w:r>
      <w:r w:rsidR="002D1CF8">
        <w:rPr>
          <w:sz w:val="22"/>
        </w:rPr>
        <w:t>DPM</w:t>
      </w:r>
      <w:r w:rsidR="00E92C16" w:rsidRPr="00F06651">
        <w:rPr>
          <w:sz w:val="22"/>
        </w:rPr>
        <w:t xml:space="preserve">) </w:t>
      </w:r>
      <w:r w:rsidRPr="00F06651">
        <w:rPr>
          <w:sz w:val="22"/>
        </w:rPr>
        <w:t xml:space="preserve">at its meeting in </w:t>
      </w:r>
      <w:r w:rsidR="002D1CF8">
        <w:rPr>
          <w:sz w:val="22"/>
        </w:rPr>
        <w:t>March</w:t>
      </w:r>
      <w:r w:rsidRPr="00F06651">
        <w:rPr>
          <w:sz w:val="22"/>
        </w:rPr>
        <w:t xml:space="preserve"> 201</w:t>
      </w:r>
      <w:r w:rsidR="002D1CF8">
        <w:rPr>
          <w:sz w:val="22"/>
        </w:rPr>
        <w:t>7</w:t>
      </w:r>
      <w:r w:rsidRPr="00F06651">
        <w:rPr>
          <w:sz w:val="22"/>
        </w:rPr>
        <w:t xml:space="preserve">. ITU-T Study Group </w:t>
      </w:r>
      <w:r w:rsidR="006F14C1">
        <w:rPr>
          <w:sz w:val="22"/>
        </w:rPr>
        <w:t>20</w:t>
      </w:r>
      <w:r w:rsidRPr="00F06651">
        <w:rPr>
          <w:sz w:val="22"/>
        </w:rPr>
        <w:t xml:space="preserve"> is the parent group of FG</w:t>
      </w:r>
      <w:r w:rsidR="008351AC">
        <w:rPr>
          <w:sz w:val="22"/>
        </w:rPr>
        <w:t>-</w:t>
      </w:r>
      <w:r w:rsidR="002D1CF8">
        <w:rPr>
          <w:sz w:val="22"/>
        </w:rPr>
        <w:t>DPM</w:t>
      </w:r>
      <w:r w:rsidRPr="00F06651">
        <w:rPr>
          <w:sz w:val="22"/>
        </w:rPr>
        <w:t>.</w:t>
      </w:r>
    </w:p>
    <w:p w14:paraId="4A97193B" w14:textId="77777777" w:rsidR="00AA662C" w:rsidRPr="00F06651" w:rsidRDefault="00AA662C" w:rsidP="00AA662C">
      <w:pPr>
        <w:rPr>
          <w:sz w:val="22"/>
        </w:rPr>
      </w:pPr>
      <w:r w:rsidRPr="00F06651">
        <w:rPr>
          <w:sz w:val="22"/>
        </w:rPr>
        <w:t>Deliverables of focus groups can take the form of technical reports, specifications, etc.</w:t>
      </w:r>
      <w:r w:rsidR="008351AC">
        <w:rPr>
          <w:sz w:val="22"/>
        </w:rPr>
        <w:t>,</w:t>
      </w:r>
      <w:r w:rsidRPr="00F06651">
        <w:rPr>
          <w:sz w:val="22"/>
        </w:rPr>
        <w:t xml:space="preserve"> and aim to provide material for consideration by the parent group in its standardization activities. Deliverables of focus groups are not ITU-T Recommendations.</w:t>
      </w:r>
    </w:p>
    <w:p w14:paraId="3FBD8BC3" w14:textId="17E64717" w:rsidR="00BE0981" w:rsidRPr="00F06651" w:rsidRDefault="00BE0981" w:rsidP="00BE0981">
      <w:pPr>
        <w:rPr>
          <w:sz w:val="22"/>
        </w:rPr>
      </w:pPr>
    </w:p>
    <w:p w14:paraId="065B0C0E" w14:textId="5C1B3BEA" w:rsidR="00AA662C" w:rsidRPr="00F06651" w:rsidRDefault="00AA662C" w:rsidP="00F00B4A">
      <w:pPr>
        <w:spacing w:before="9360"/>
        <w:jc w:val="center"/>
        <w:rPr>
          <w:sz w:val="22"/>
        </w:rPr>
      </w:pPr>
      <w:r w:rsidRPr="00F06651">
        <w:rPr>
          <w:sz w:val="22"/>
        </w:rPr>
        <w:sym w:font="Symbol" w:char="F0E3"/>
      </w:r>
      <w:r w:rsidRPr="00F06651">
        <w:rPr>
          <w:sz w:val="22"/>
        </w:rPr>
        <w:t> ITU </w:t>
      </w:r>
      <w:bookmarkStart w:id="9" w:name="iiannee"/>
      <w:bookmarkEnd w:id="9"/>
      <w:r w:rsidR="002D1CF8">
        <w:rPr>
          <w:sz w:val="22"/>
        </w:rPr>
        <w:t>201</w:t>
      </w:r>
      <w:r w:rsidR="009B4E47">
        <w:rPr>
          <w:sz w:val="22"/>
        </w:rPr>
        <w:t>9</w:t>
      </w:r>
    </w:p>
    <w:p w14:paraId="6DEA2004" w14:textId="7A1B4460" w:rsidR="00BE0981" w:rsidRDefault="00AA662C" w:rsidP="00F00B4A">
      <w:pPr>
        <w:spacing w:before="120"/>
        <w:rPr>
          <w:sz w:val="22"/>
        </w:rPr>
      </w:pPr>
      <w:r w:rsidRPr="00F06651">
        <w:rPr>
          <w:sz w:val="22"/>
        </w:rPr>
        <w:t>All rights reserved. No part of this publication may be reproduced, by any means whatsoever, without the prior written permission of ITU.</w:t>
      </w:r>
    </w:p>
    <w:p w14:paraId="4EA64888" w14:textId="2D8999E6" w:rsidR="00FA3D51" w:rsidRPr="00F00B4A" w:rsidRDefault="00BE0981" w:rsidP="00F00B4A">
      <w:pPr>
        <w:spacing w:before="120"/>
        <w:rPr>
          <w:sz w:val="22"/>
        </w:rPr>
      </w:pPr>
      <w:r>
        <w:rPr>
          <w:sz w:val="22"/>
        </w:rPr>
        <w:br w:type="page"/>
      </w:r>
    </w:p>
    <w:p w14:paraId="593C2AB5" w14:textId="77777777" w:rsidR="0031007A" w:rsidRDefault="0031007A" w:rsidP="0031007A">
      <w:pPr>
        <w:widowControl w:val="0"/>
        <w:tabs>
          <w:tab w:val="left" w:pos="794"/>
          <w:tab w:val="left" w:pos="1191"/>
          <w:tab w:val="left" w:pos="1588"/>
          <w:tab w:val="left" w:pos="1985"/>
        </w:tabs>
        <w:overflowPunct w:val="0"/>
        <w:autoSpaceDE w:val="0"/>
        <w:autoSpaceDN w:val="0"/>
        <w:adjustRightInd w:val="0"/>
        <w:spacing w:before="2760"/>
        <w:jc w:val="center"/>
        <w:textAlignment w:val="baseline"/>
        <w:rPr>
          <w:rFonts w:eastAsia="Malgun Gothic"/>
          <w:b/>
          <w:sz w:val="52"/>
          <w:szCs w:val="52"/>
          <w:lang w:val="en-GB" w:eastAsia="en-US"/>
        </w:rPr>
      </w:pPr>
    </w:p>
    <w:p w14:paraId="34A60080" w14:textId="6F43026F" w:rsidR="0031007A" w:rsidRPr="00F00B4A" w:rsidRDefault="00F00B4A" w:rsidP="0031007A">
      <w:pPr>
        <w:widowControl w:val="0"/>
        <w:tabs>
          <w:tab w:val="left" w:pos="794"/>
          <w:tab w:val="left" w:pos="1191"/>
          <w:tab w:val="left" w:pos="1588"/>
          <w:tab w:val="left" w:pos="1985"/>
        </w:tabs>
        <w:overflowPunct w:val="0"/>
        <w:autoSpaceDE w:val="0"/>
        <w:autoSpaceDN w:val="0"/>
        <w:adjustRightInd w:val="0"/>
        <w:spacing w:before="2640"/>
        <w:jc w:val="center"/>
        <w:textAlignment w:val="baseline"/>
        <w:rPr>
          <w:rFonts w:eastAsia="Malgun Gothic"/>
          <w:b/>
          <w:sz w:val="52"/>
          <w:szCs w:val="52"/>
          <w:lang w:val="en-GB" w:eastAsia="en-US"/>
        </w:rPr>
      </w:pPr>
      <w:r w:rsidRPr="00F00B4A">
        <w:rPr>
          <w:rFonts w:eastAsia="Malgun Gothic"/>
          <w:b/>
          <w:sz w:val="52"/>
          <w:szCs w:val="52"/>
          <w:lang w:val="en-GB" w:eastAsia="en-US"/>
        </w:rPr>
        <w:t>Technical Report</w:t>
      </w:r>
      <w:r w:rsidR="0031007A">
        <w:rPr>
          <w:rFonts w:eastAsia="Malgun Gothic"/>
          <w:b/>
          <w:sz w:val="52"/>
          <w:szCs w:val="52"/>
          <w:lang w:val="en-GB" w:eastAsia="en-US"/>
        </w:rPr>
        <w:t xml:space="preserve"> D4.1</w:t>
      </w:r>
    </w:p>
    <w:p w14:paraId="1C9E6C94" w14:textId="77777777" w:rsidR="0031007A" w:rsidRPr="00FA3D51" w:rsidRDefault="0031007A" w:rsidP="0031007A">
      <w:pPr>
        <w:spacing w:before="1320"/>
        <w:jc w:val="center"/>
        <w:rPr>
          <w:b/>
          <w:bCs/>
          <w:sz w:val="52"/>
          <w:szCs w:val="52"/>
          <w:lang w:eastAsia="ko-KR"/>
        </w:rPr>
      </w:pPr>
      <w:r w:rsidRPr="00B849B7">
        <w:rPr>
          <w:b/>
          <w:bCs/>
          <w:sz w:val="52"/>
          <w:szCs w:val="52"/>
          <w:lang w:eastAsia="ko-KR"/>
        </w:rPr>
        <w:t>Framework for security, privacy</w:t>
      </w:r>
      <w:r>
        <w:rPr>
          <w:b/>
          <w:bCs/>
          <w:sz w:val="52"/>
          <w:szCs w:val="52"/>
          <w:lang w:eastAsia="ko-KR"/>
        </w:rPr>
        <w:t>, risk</w:t>
      </w:r>
      <w:r w:rsidRPr="00B849B7">
        <w:rPr>
          <w:b/>
          <w:bCs/>
          <w:sz w:val="52"/>
          <w:szCs w:val="52"/>
          <w:lang w:eastAsia="ko-KR"/>
        </w:rPr>
        <w:t xml:space="preserve"> and governance in data processing and management</w:t>
      </w:r>
    </w:p>
    <w:p w14:paraId="5057B938" w14:textId="77777777" w:rsidR="00F00B4A" w:rsidRPr="00F00B4A" w:rsidRDefault="00F00B4A" w:rsidP="00F00B4A">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szCs w:val="20"/>
          <w:lang w:val="en-GB" w:eastAsia="en-US"/>
        </w:rPr>
      </w:pPr>
      <w:r w:rsidRPr="00F00B4A">
        <w:rPr>
          <w:rFonts w:eastAsia="Malgun Gothic"/>
          <w:szCs w:val="20"/>
          <w:lang w:val="en-GB" w:eastAsia="en-US"/>
        </w:rPr>
        <w:br w:type="page"/>
      </w:r>
    </w:p>
    <w:p w14:paraId="79317457" w14:textId="77777777" w:rsidR="005E2978" w:rsidRDefault="005E2978" w:rsidP="005E2978"/>
    <w:p w14:paraId="78A0E392" w14:textId="77777777" w:rsidR="006972C7" w:rsidRPr="003C24F4" w:rsidRDefault="006972C7" w:rsidP="006972C7">
      <w:pPr>
        <w:pStyle w:val="Heading1"/>
        <w:keepLines w:val="0"/>
        <w:overflowPunct/>
        <w:autoSpaceDE/>
        <w:autoSpaceDN/>
        <w:adjustRightInd/>
        <w:spacing w:before="240" w:after="60"/>
        <w:textAlignment w:val="auto"/>
        <w:rPr>
          <w:szCs w:val="24"/>
          <w:lang w:bidi="ar-DZ"/>
        </w:rPr>
      </w:pPr>
      <w:bookmarkStart w:id="10" w:name="_Toc397945025"/>
      <w:bookmarkStart w:id="11" w:name="_Toc527647387"/>
      <w:bookmarkStart w:id="12" w:name="_Toc14362639"/>
      <w:bookmarkStart w:id="13" w:name="_Toc14367818"/>
      <w:bookmarkStart w:id="14" w:name="_Toc369015744"/>
      <w:bookmarkStart w:id="15" w:name="_Toc351036642"/>
      <w:r w:rsidRPr="003C24F4">
        <w:rPr>
          <w:szCs w:val="24"/>
          <w:lang w:bidi="ar-DZ"/>
        </w:rPr>
        <w:t>Summary</w:t>
      </w:r>
      <w:bookmarkEnd w:id="10"/>
      <w:bookmarkEnd w:id="11"/>
      <w:bookmarkEnd w:id="12"/>
      <w:bookmarkEnd w:id="13"/>
    </w:p>
    <w:p w14:paraId="4F475DA3" w14:textId="322E92F9" w:rsidR="006972C7" w:rsidRPr="003C24F4" w:rsidRDefault="006972C7" w:rsidP="006972C7">
      <w:pPr>
        <w:jc w:val="both"/>
      </w:pPr>
      <w:r>
        <w:rPr>
          <w:color w:val="000000"/>
        </w:rPr>
        <w:t>This Technical Report addresses c</w:t>
      </w:r>
      <w:r w:rsidRPr="003C24F4">
        <w:rPr>
          <w:color w:val="000000"/>
        </w:rPr>
        <w:t>oncerns regarding data security, privacy and risk for data processing and management in IoT and Smart Cities and Communities require an appropriate governance framework. This report describes these concerns, the key components of the governance framework and the impact on related lifecycles and processes, in particular on risk management processes.</w:t>
      </w:r>
    </w:p>
    <w:p w14:paraId="7FE00AF5" w14:textId="77777777" w:rsidR="006972C7" w:rsidRPr="003C24F4" w:rsidRDefault="006972C7" w:rsidP="006972C7">
      <w:pPr>
        <w:rPr>
          <w:bCs/>
          <w:lang w:val="en-IN" w:eastAsia="zh-CN"/>
        </w:rPr>
      </w:pPr>
    </w:p>
    <w:bookmarkEnd w:id="14"/>
    <w:bookmarkEnd w:id="15"/>
    <w:p w14:paraId="124D5036" w14:textId="75C21A98" w:rsidR="000C5E8A" w:rsidRPr="000C5E8A" w:rsidRDefault="000C5E8A" w:rsidP="000C5E8A">
      <w:pPr>
        <w:pStyle w:val="Headingb"/>
      </w:pPr>
      <w:r w:rsidRPr="000C5E8A">
        <w:t>Acknowledgements</w:t>
      </w:r>
    </w:p>
    <w:p w14:paraId="631EFAD6" w14:textId="77777777" w:rsidR="003F5514" w:rsidRPr="004925AF" w:rsidRDefault="00D7320C" w:rsidP="003F5514">
      <w:pPr>
        <w:spacing w:before="120"/>
        <w:rPr>
          <w:kern w:val="2"/>
        </w:rPr>
      </w:pPr>
      <w:r w:rsidRPr="00D7320C">
        <w:t xml:space="preserve">This </w:t>
      </w:r>
      <w:r w:rsidR="00035434">
        <w:t>T</w:t>
      </w:r>
      <w:r w:rsidRPr="00D7320C">
        <w:t xml:space="preserve">echnical </w:t>
      </w:r>
      <w:r w:rsidR="00035434">
        <w:t>R</w:t>
      </w:r>
      <w:r w:rsidRPr="00D7320C">
        <w:t>eport was researched and principally authored by</w:t>
      </w:r>
      <w:r w:rsidR="00A234D8">
        <w:t xml:space="preserve"> </w:t>
      </w:r>
      <w:r w:rsidR="00C92D90">
        <w:t>Robert Lewis-Lettington (UN-HABITAT), Pasquale Annicchino (Archimede Solutions), Nathalie Feingold (NPBA), Antonio Kung (TRIALOG SA) and Xiaomi An (RUC)</w:t>
      </w:r>
      <w:r w:rsidR="003F5514">
        <w:t xml:space="preserve"> </w:t>
      </w:r>
      <w:r w:rsidR="003F5514" w:rsidRPr="004925AF">
        <w:rPr>
          <w:kern w:val="2"/>
        </w:rPr>
        <w:t xml:space="preserve">under the </w:t>
      </w:r>
      <w:r w:rsidR="003F5514">
        <w:rPr>
          <w:kern w:val="2"/>
        </w:rPr>
        <w:t>chairmanship</w:t>
      </w:r>
      <w:r w:rsidR="003F5514" w:rsidRPr="004925AF">
        <w:rPr>
          <w:kern w:val="2"/>
        </w:rPr>
        <w:t xml:space="preserve"> of Gyu Myoung Lee (Korea, Rep.of).</w:t>
      </w:r>
    </w:p>
    <w:p w14:paraId="3689C839" w14:textId="77777777" w:rsidR="003F5514" w:rsidRDefault="003F5514" w:rsidP="003F5514">
      <w:pPr>
        <w:spacing w:before="120"/>
      </w:pPr>
      <w:r>
        <w:rPr>
          <w:bCs/>
        </w:rPr>
        <w:t xml:space="preserve">Additional information and materials relating to this Technical Report can be found at: </w:t>
      </w:r>
      <w:hyperlink r:id="rId14" w:history="1">
        <w:r>
          <w:rPr>
            <w:rStyle w:val="Hyperlink"/>
          </w:rPr>
          <w:t>www.itu.int/go/tfgdpm</w:t>
        </w:r>
      </w:hyperlink>
      <w:r>
        <w:rPr>
          <w:bCs/>
        </w:rPr>
        <w:t xml:space="preserve">. If you would like to provide any additional information, please contact Denis Andreev (TSB) at </w:t>
      </w:r>
      <w:hyperlink r:id="rId15" w:history="1">
        <w:r>
          <w:rPr>
            <w:rStyle w:val="Hyperlink"/>
            <w:bCs/>
          </w:rPr>
          <w:t>tsbfgdpm@itu.int</w:t>
        </w:r>
      </w:hyperlink>
      <w:r>
        <w:rPr>
          <w:bCs/>
        </w:rPr>
        <w:t>.</w:t>
      </w:r>
    </w:p>
    <w:p w14:paraId="44EBCE06" w14:textId="77777777" w:rsidR="005223B7" w:rsidRPr="005223B7" w:rsidRDefault="005223B7" w:rsidP="005223B7">
      <w:pPr>
        <w:pStyle w:val="Headingb"/>
      </w:pPr>
      <w:r w:rsidRPr="005223B7">
        <w:t>Keywords</w:t>
      </w:r>
    </w:p>
    <w:p w14:paraId="13ABE7E4" w14:textId="4CEF9C3C" w:rsidR="005223B7" w:rsidRDefault="00B849B7" w:rsidP="0031007A">
      <w:pPr>
        <w:spacing w:before="120"/>
      </w:pPr>
      <w:r>
        <w:t>Smart Cities; Internet of Things, Smart City Architecture, Data Management; Security; Data Protection; Privacy; Governance; Risk Management.</w:t>
      </w:r>
    </w:p>
    <w:p w14:paraId="4A4EFDCC" w14:textId="77777777" w:rsidR="00ED776D" w:rsidRDefault="00ED776D" w:rsidP="0031007A">
      <w:pPr>
        <w:pStyle w:val="RecNo"/>
        <w:keepNext w:val="0"/>
        <w:keepLines w:val="0"/>
        <w:widowControl w:val="0"/>
        <w:sectPr w:rsidR="00ED776D" w:rsidSect="000A45FD">
          <w:pgSz w:w="11907" w:h="16840" w:code="9"/>
          <w:pgMar w:top="1134" w:right="1418" w:bottom="1134" w:left="1418" w:header="720" w:footer="720" w:gutter="0"/>
          <w:cols w:space="720"/>
          <w:docGrid w:linePitch="326"/>
        </w:sectPr>
      </w:pPr>
    </w:p>
    <w:p w14:paraId="3D5C1AB7" w14:textId="1611F775" w:rsidR="0031007A" w:rsidRPr="00676388" w:rsidRDefault="0031007A" w:rsidP="0031007A">
      <w:pPr>
        <w:pStyle w:val="RecNo"/>
        <w:keepNext w:val="0"/>
        <w:keepLines w:val="0"/>
        <w:widowControl w:val="0"/>
      </w:pPr>
      <w:r>
        <w:lastRenderedPageBreak/>
        <w:t>Technical Report D4.1</w:t>
      </w:r>
    </w:p>
    <w:p w14:paraId="410D59F0" w14:textId="77777777" w:rsidR="0031007A" w:rsidRDefault="0031007A" w:rsidP="0031007A">
      <w:pPr>
        <w:keepNext/>
        <w:rPr>
          <w:rFonts w:ascii="Arial" w:hAnsi="Arial" w:cs="Arial"/>
          <w:sz w:val="32"/>
        </w:rPr>
      </w:pPr>
    </w:p>
    <w:p w14:paraId="4052F913" w14:textId="35FCDF40" w:rsidR="00B849B7" w:rsidRPr="0031007A" w:rsidRDefault="00B849B7" w:rsidP="0031007A">
      <w:pPr>
        <w:keepNext/>
        <w:jc w:val="center"/>
        <w:rPr>
          <w:b/>
          <w:bCs/>
          <w:sz w:val="28"/>
          <w:szCs w:val="28"/>
        </w:rPr>
      </w:pPr>
      <w:r w:rsidRPr="0031007A">
        <w:rPr>
          <w:b/>
          <w:sz w:val="28"/>
          <w:szCs w:val="28"/>
        </w:rPr>
        <w:t>Framework for security, privacy</w:t>
      </w:r>
      <w:r w:rsidR="00CC413D" w:rsidRPr="0031007A">
        <w:rPr>
          <w:b/>
          <w:sz w:val="28"/>
          <w:szCs w:val="28"/>
        </w:rPr>
        <w:t>, risk</w:t>
      </w:r>
      <w:r w:rsidRPr="0031007A">
        <w:rPr>
          <w:b/>
          <w:sz w:val="28"/>
          <w:szCs w:val="28"/>
        </w:rPr>
        <w:t xml:space="preserve"> and governance in data processing and management</w:t>
      </w:r>
      <w:r w:rsidRPr="0031007A">
        <w:rPr>
          <w:b/>
          <w:bCs/>
          <w:sz w:val="28"/>
          <w:szCs w:val="28"/>
        </w:rPr>
        <w:t xml:space="preserve"> </w:t>
      </w:r>
    </w:p>
    <w:p w14:paraId="0B3E64B2" w14:textId="77777777" w:rsidR="0031007A" w:rsidRDefault="0031007A" w:rsidP="0061423E">
      <w:pPr>
        <w:keepNext/>
        <w:jc w:val="center"/>
        <w:rPr>
          <w:b/>
          <w:bCs/>
        </w:rPr>
      </w:pPr>
    </w:p>
    <w:p w14:paraId="6396DD52" w14:textId="5396193C" w:rsidR="0061423E" w:rsidRPr="0061423E" w:rsidRDefault="0061423E" w:rsidP="0061423E">
      <w:pPr>
        <w:keepNext/>
        <w:jc w:val="center"/>
        <w:rPr>
          <w:b/>
          <w:bCs/>
        </w:rPr>
      </w:pPr>
      <w:r w:rsidRPr="0061423E">
        <w:rPr>
          <w:b/>
          <w:bCs/>
        </w:rPr>
        <w:t>CONTENTS</w:t>
      </w:r>
    </w:p>
    <w:sdt>
      <w:sdtPr>
        <w:rPr>
          <w:rFonts w:eastAsia="Times New Roman"/>
          <w:szCs w:val="24"/>
          <w:lang w:val="en-US" w:eastAsia="en-GB"/>
        </w:rPr>
        <w:id w:val="-159617091"/>
        <w:docPartObj>
          <w:docPartGallery w:val="Table of Contents"/>
          <w:docPartUnique/>
        </w:docPartObj>
      </w:sdtPr>
      <w:sdtEndPr>
        <w:rPr>
          <w:b/>
          <w:bCs/>
          <w:noProof/>
        </w:rPr>
      </w:sdtEndPr>
      <w:sdtContent>
        <w:p w14:paraId="0BDF7172" w14:textId="529CF392" w:rsidR="00A234D8" w:rsidRDefault="00F73356">
          <w:pPr>
            <w:pStyle w:val="TOC1"/>
            <w:rPr>
              <w:rFonts w:asciiTheme="minorHAnsi" w:eastAsiaTheme="minorEastAsia" w:hAnsiTheme="minorHAnsi"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14367818" w:history="1">
            <w:r w:rsidR="00A234D8" w:rsidRPr="00D203BE">
              <w:rPr>
                <w:rStyle w:val="Hyperlink"/>
                <w:noProof/>
                <w:lang w:bidi="ar-DZ"/>
              </w:rPr>
              <w:t>Summary</w:t>
            </w:r>
            <w:r w:rsidR="00A234D8">
              <w:rPr>
                <w:noProof/>
                <w:webHidden/>
              </w:rPr>
              <w:tab/>
            </w:r>
            <w:r w:rsidR="00A234D8">
              <w:rPr>
                <w:noProof/>
                <w:webHidden/>
              </w:rPr>
              <w:fldChar w:fldCharType="begin"/>
            </w:r>
            <w:r w:rsidR="00A234D8">
              <w:rPr>
                <w:noProof/>
                <w:webHidden/>
              </w:rPr>
              <w:instrText xml:space="preserve"> PAGEREF _Toc14367818 \h </w:instrText>
            </w:r>
            <w:r w:rsidR="00A234D8">
              <w:rPr>
                <w:noProof/>
                <w:webHidden/>
              </w:rPr>
            </w:r>
            <w:r w:rsidR="00A234D8">
              <w:rPr>
                <w:noProof/>
                <w:webHidden/>
              </w:rPr>
              <w:fldChar w:fldCharType="separate"/>
            </w:r>
            <w:r w:rsidR="004946F7">
              <w:rPr>
                <w:noProof/>
                <w:webHidden/>
              </w:rPr>
              <w:t>4</w:t>
            </w:r>
            <w:r w:rsidR="00A234D8">
              <w:rPr>
                <w:noProof/>
                <w:webHidden/>
              </w:rPr>
              <w:fldChar w:fldCharType="end"/>
            </w:r>
          </w:hyperlink>
        </w:p>
        <w:p w14:paraId="160FD7EA" w14:textId="3E8FEAFE" w:rsidR="00A234D8" w:rsidRDefault="007200A9">
          <w:pPr>
            <w:pStyle w:val="TOC1"/>
            <w:rPr>
              <w:rFonts w:asciiTheme="minorHAnsi" w:eastAsiaTheme="minorEastAsia" w:hAnsiTheme="minorHAnsi" w:cstheme="minorBidi"/>
              <w:noProof/>
              <w:sz w:val="22"/>
              <w:szCs w:val="22"/>
              <w:lang w:eastAsia="en-GB"/>
            </w:rPr>
          </w:pPr>
          <w:hyperlink w:anchor="_Toc14367819" w:history="1">
            <w:r w:rsidR="00A234D8" w:rsidRPr="00D203BE">
              <w:rPr>
                <w:rStyle w:val="Hyperlink"/>
                <w:noProof/>
                <w:lang w:bidi="ar-DZ"/>
              </w:rPr>
              <w:t>1.</w:t>
            </w:r>
            <w:r w:rsidR="00A234D8">
              <w:rPr>
                <w:rFonts w:asciiTheme="minorHAnsi" w:eastAsiaTheme="minorEastAsia" w:hAnsiTheme="minorHAnsi" w:cstheme="minorBidi"/>
                <w:noProof/>
                <w:sz w:val="22"/>
                <w:szCs w:val="22"/>
                <w:lang w:eastAsia="en-GB"/>
              </w:rPr>
              <w:tab/>
            </w:r>
            <w:r w:rsidR="00A234D8" w:rsidRPr="00D203BE">
              <w:rPr>
                <w:rStyle w:val="Hyperlink"/>
                <w:noProof/>
                <w:lang w:bidi="ar-DZ"/>
              </w:rPr>
              <w:t>Scope</w:t>
            </w:r>
            <w:r w:rsidR="00A234D8">
              <w:rPr>
                <w:noProof/>
                <w:webHidden/>
              </w:rPr>
              <w:tab/>
            </w:r>
            <w:r w:rsidR="00A234D8">
              <w:rPr>
                <w:noProof/>
                <w:webHidden/>
              </w:rPr>
              <w:fldChar w:fldCharType="begin"/>
            </w:r>
            <w:r w:rsidR="00A234D8">
              <w:rPr>
                <w:noProof/>
                <w:webHidden/>
              </w:rPr>
              <w:instrText xml:space="preserve"> PAGEREF _Toc14367819 \h </w:instrText>
            </w:r>
            <w:r w:rsidR="00A234D8">
              <w:rPr>
                <w:noProof/>
                <w:webHidden/>
              </w:rPr>
            </w:r>
            <w:r w:rsidR="00A234D8">
              <w:rPr>
                <w:noProof/>
                <w:webHidden/>
              </w:rPr>
              <w:fldChar w:fldCharType="separate"/>
            </w:r>
            <w:r w:rsidR="004946F7">
              <w:rPr>
                <w:noProof/>
                <w:webHidden/>
              </w:rPr>
              <w:t>1</w:t>
            </w:r>
            <w:r w:rsidR="00A234D8">
              <w:rPr>
                <w:noProof/>
                <w:webHidden/>
              </w:rPr>
              <w:fldChar w:fldCharType="end"/>
            </w:r>
          </w:hyperlink>
        </w:p>
        <w:p w14:paraId="78DAFA01" w14:textId="7E101D18" w:rsidR="00A234D8" w:rsidRDefault="007200A9">
          <w:pPr>
            <w:pStyle w:val="TOC1"/>
            <w:rPr>
              <w:rFonts w:asciiTheme="minorHAnsi" w:eastAsiaTheme="minorEastAsia" w:hAnsiTheme="minorHAnsi" w:cstheme="minorBidi"/>
              <w:noProof/>
              <w:sz w:val="22"/>
              <w:szCs w:val="22"/>
              <w:lang w:eastAsia="en-GB"/>
            </w:rPr>
          </w:pPr>
          <w:hyperlink w:anchor="_Toc14367820" w:history="1">
            <w:r w:rsidR="00A234D8" w:rsidRPr="00D203BE">
              <w:rPr>
                <w:rStyle w:val="Hyperlink"/>
                <w:noProof/>
                <w:lang w:bidi="ar-DZ"/>
              </w:rPr>
              <w:t>2.</w:t>
            </w:r>
            <w:r w:rsidR="00A234D8">
              <w:rPr>
                <w:rFonts w:asciiTheme="minorHAnsi" w:eastAsiaTheme="minorEastAsia" w:hAnsiTheme="minorHAnsi" w:cstheme="minorBidi"/>
                <w:noProof/>
                <w:sz w:val="22"/>
                <w:szCs w:val="22"/>
                <w:lang w:eastAsia="en-GB"/>
              </w:rPr>
              <w:tab/>
            </w:r>
            <w:r w:rsidR="00A234D8" w:rsidRPr="00D203BE">
              <w:rPr>
                <w:rStyle w:val="Hyperlink"/>
                <w:noProof/>
                <w:lang w:bidi="ar-DZ"/>
              </w:rPr>
              <w:t>References</w:t>
            </w:r>
            <w:r w:rsidR="00A234D8">
              <w:rPr>
                <w:noProof/>
                <w:webHidden/>
              </w:rPr>
              <w:tab/>
            </w:r>
            <w:r w:rsidR="00A234D8">
              <w:rPr>
                <w:noProof/>
                <w:webHidden/>
              </w:rPr>
              <w:fldChar w:fldCharType="begin"/>
            </w:r>
            <w:r w:rsidR="00A234D8">
              <w:rPr>
                <w:noProof/>
                <w:webHidden/>
              </w:rPr>
              <w:instrText xml:space="preserve"> PAGEREF _Toc14367820 \h </w:instrText>
            </w:r>
            <w:r w:rsidR="00A234D8">
              <w:rPr>
                <w:noProof/>
                <w:webHidden/>
              </w:rPr>
            </w:r>
            <w:r w:rsidR="00A234D8">
              <w:rPr>
                <w:noProof/>
                <w:webHidden/>
              </w:rPr>
              <w:fldChar w:fldCharType="separate"/>
            </w:r>
            <w:r w:rsidR="004946F7">
              <w:rPr>
                <w:noProof/>
                <w:webHidden/>
              </w:rPr>
              <w:t>1</w:t>
            </w:r>
            <w:r w:rsidR="00A234D8">
              <w:rPr>
                <w:noProof/>
                <w:webHidden/>
              </w:rPr>
              <w:fldChar w:fldCharType="end"/>
            </w:r>
          </w:hyperlink>
        </w:p>
        <w:p w14:paraId="03B5FBF1" w14:textId="69DA0C46" w:rsidR="00A234D8" w:rsidRDefault="007200A9">
          <w:pPr>
            <w:pStyle w:val="TOC1"/>
            <w:rPr>
              <w:rFonts w:asciiTheme="minorHAnsi" w:eastAsiaTheme="minorEastAsia" w:hAnsiTheme="minorHAnsi" w:cstheme="minorBidi"/>
              <w:noProof/>
              <w:sz w:val="22"/>
              <w:szCs w:val="22"/>
              <w:lang w:eastAsia="en-GB"/>
            </w:rPr>
          </w:pPr>
          <w:hyperlink w:anchor="_Toc14367821" w:history="1">
            <w:r w:rsidR="00A234D8" w:rsidRPr="00D203BE">
              <w:rPr>
                <w:rStyle w:val="Hyperlink"/>
                <w:noProof/>
                <w:lang w:bidi="ar-DZ"/>
              </w:rPr>
              <w:t>3.</w:t>
            </w:r>
            <w:r w:rsidR="00A234D8">
              <w:rPr>
                <w:rFonts w:asciiTheme="minorHAnsi" w:eastAsiaTheme="minorEastAsia" w:hAnsiTheme="minorHAnsi" w:cstheme="minorBidi"/>
                <w:noProof/>
                <w:sz w:val="22"/>
                <w:szCs w:val="22"/>
                <w:lang w:eastAsia="en-GB"/>
              </w:rPr>
              <w:tab/>
            </w:r>
            <w:r w:rsidR="00A234D8" w:rsidRPr="00D203BE">
              <w:rPr>
                <w:rStyle w:val="Hyperlink"/>
                <w:noProof/>
                <w:lang w:bidi="ar-DZ"/>
              </w:rPr>
              <w:t>Terms and definitions</w:t>
            </w:r>
            <w:r w:rsidR="00A234D8">
              <w:rPr>
                <w:noProof/>
                <w:webHidden/>
              </w:rPr>
              <w:tab/>
            </w:r>
            <w:r w:rsidR="00A234D8">
              <w:rPr>
                <w:noProof/>
                <w:webHidden/>
              </w:rPr>
              <w:fldChar w:fldCharType="begin"/>
            </w:r>
            <w:r w:rsidR="00A234D8">
              <w:rPr>
                <w:noProof/>
                <w:webHidden/>
              </w:rPr>
              <w:instrText xml:space="preserve"> PAGEREF _Toc14367821 \h </w:instrText>
            </w:r>
            <w:r w:rsidR="00A234D8">
              <w:rPr>
                <w:noProof/>
                <w:webHidden/>
              </w:rPr>
            </w:r>
            <w:r w:rsidR="00A234D8">
              <w:rPr>
                <w:noProof/>
                <w:webHidden/>
              </w:rPr>
              <w:fldChar w:fldCharType="separate"/>
            </w:r>
            <w:r w:rsidR="004946F7">
              <w:rPr>
                <w:noProof/>
                <w:webHidden/>
              </w:rPr>
              <w:t>2</w:t>
            </w:r>
            <w:r w:rsidR="00A234D8">
              <w:rPr>
                <w:noProof/>
                <w:webHidden/>
              </w:rPr>
              <w:fldChar w:fldCharType="end"/>
            </w:r>
          </w:hyperlink>
        </w:p>
        <w:p w14:paraId="778EFE86" w14:textId="799B9569" w:rsidR="00A234D8" w:rsidRDefault="007200A9">
          <w:pPr>
            <w:pStyle w:val="TOC2"/>
            <w:rPr>
              <w:rFonts w:asciiTheme="minorHAnsi" w:eastAsiaTheme="minorEastAsia" w:hAnsiTheme="minorHAnsi" w:cstheme="minorBidi"/>
              <w:noProof/>
              <w:sz w:val="22"/>
              <w:szCs w:val="22"/>
              <w:lang w:eastAsia="en-GB"/>
            </w:rPr>
          </w:pPr>
          <w:hyperlink w:anchor="_Toc14367822" w:history="1">
            <w:r w:rsidR="00A234D8" w:rsidRPr="00D203BE">
              <w:rPr>
                <w:rStyle w:val="Hyperlink"/>
                <w:noProof/>
                <w:lang w:bidi="ar-DZ"/>
              </w:rPr>
              <w:t xml:space="preserve">3.1 </w:t>
            </w:r>
            <w:r w:rsidR="00A234D8">
              <w:rPr>
                <w:rFonts w:asciiTheme="minorHAnsi" w:eastAsiaTheme="minorEastAsia" w:hAnsiTheme="minorHAnsi" w:cstheme="minorBidi"/>
                <w:noProof/>
                <w:sz w:val="22"/>
                <w:szCs w:val="22"/>
                <w:lang w:eastAsia="en-GB"/>
              </w:rPr>
              <w:tab/>
            </w:r>
            <w:r w:rsidR="00A234D8" w:rsidRPr="00D203BE">
              <w:rPr>
                <w:rStyle w:val="Hyperlink"/>
                <w:noProof/>
                <w:lang w:bidi="ar-DZ"/>
              </w:rPr>
              <w:t>Terms defined elsewhere</w:t>
            </w:r>
            <w:r w:rsidR="00A234D8">
              <w:rPr>
                <w:noProof/>
                <w:webHidden/>
              </w:rPr>
              <w:tab/>
            </w:r>
            <w:r w:rsidR="00A234D8">
              <w:rPr>
                <w:noProof/>
                <w:webHidden/>
              </w:rPr>
              <w:fldChar w:fldCharType="begin"/>
            </w:r>
            <w:r w:rsidR="00A234D8">
              <w:rPr>
                <w:noProof/>
                <w:webHidden/>
              </w:rPr>
              <w:instrText xml:space="preserve"> PAGEREF _Toc14367822 \h </w:instrText>
            </w:r>
            <w:r w:rsidR="00A234D8">
              <w:rPr>
                <w:noProof/>
                <w:webHidden/>
              </w:rPr>
            </w:r>
            <w:r w:rsidR="00A234D8">
              <w:rPr>
                <w:noProof/>
                <w:webHidden/>
              </w:rPr>
              <w:fldChar w:fldCharType="separate"/>
            </w:r>
            <w:r w:rsidR="004946F7">
              <w:rPr>
                <w:noProof/>
                <w:webHidden/>
              </w:rPr>
              <w:t>2</w:t>
            </w:r>
            <w:r w:rsidR="00A234D8">
              <w:rPr>
                <w:noProof/>
                <w:webHidden/>
              </w:rPr>
              <w:fldChar w:fldCharType="end"/>
            </w:r>
          </w:hyperlink>
        </w:p>
        <w:p w14:paraId="43C760CD" w14:textId="38FACF58" w:rsidR="00A234D8" w:rsidRDefault="007200A9">
          <w:pPr>
            <w:pStyle w:val="TOC2"/>
            <w:rPr>
              <w:rFonts w:asciiTheme="minorHAnsi" w:eastAsiaTheme="minorEastAsia" w:hAnsiTheme="minorHAnsi" w:cstheme="minorBidi"/>
              <w:noProof/>
              <w:sz w:val="22"/>
              <w:szCs w:val="22"/>
              <w:lang w:eastAsia="en-GB"/>
            </w:rPr>
          </w:pPr>
          <w:hyperlink w:anchor="_Toc14367823" w:history="1">
            <w:r w:rsidR="00A234D8" w:rsidRPr="00D203BE">
              <w:rPr>
                <w:rStyle w:val="Hyperlink"/>
                <w:noProof/>
                <w:lang w:bidi="ar-DZ"/>
              </w:rPr>
              <w:t xml:space="preserve">3.2 </w:t>
            </w:r>
            <w:r w:rsidR="00A234D8">
              <w:rPr>
                <w:rFonts w:asciiTheme="minorHAnsi" w:eastAsiaTheme="minorEastAsia" w:hAnsiTheme="minorHAnsi" w:cstheme="minorBidi"/>
                <w:noProof/>
                <w:sz w:val="22"/>
                <w:szCs w:val="22"/>
                <w:lang w:eastAsia="en-GB"/>
              </w:rPr>
              <w:tab/>
            </w:r>
            <w:r w:rsidR="00A234D8" w:rsidRPr="00D203BE">
              <w:rPr>
                <w:rStyle w:val="Hyperlink"/>
                <w:noProof/>
                <w:lang w:bidi="ar-DZ"/>
              </w:rPr>
              <w:t>Terms defined here</w:t>
            </w:r>
            <w:r w:rsidR="00A234D8">
              <w:rPr>
                <w:noProof/>
                <w:webHidden/>
              </w:rPr>
              <w:tab/>
            </w:r>
            <w:r w:rsidR="00A234D8">
              <w:rPr>
                <w:noProof/>
                <w:webHidden/>
              </w:rPr>
              <w:fldChar w:fldCharType="begin"/>
            </w:r>
            <w:r w:rsidR="00A234D8">
              <w:rPr>
                <w:noProof/>
                <w:webHidden/>
              </w:rPr>
              <w:instrText xml:space="preserve"> PAGEREF _Toc14367823 \h </w:instrText>
            </w:r>
            <w:r w:rsidR="00A234D8">
              <w:rPr>
                <w:noProof/>
                <w:webHidden/>
              </w:rPr>
            </w:r>
            <w:r w:rsidR="00A234D8">
              <w:rPr>
                <w:noProof/>
                <w:webHidden/>
              </w:rPr>
              <w:fldChar w:fldCharType="separate"/>
            </w:r>
            <w:r w:rsidR="004946F7">
              <w:rPr>
                <w:noProof/>
                <w:webHidden/>
              </w:rPr>
              <w:t>3</w:t>
            </w:r>
            <w:r w:rsidR="00A234D8">
              <w:rPr>
                <w:noProof/>
                <w:webHidden/>
              </w:rPr>
              <w:fldChar w:fldCharType="end"/>
            </w:r>
          </w:hyperlink>
        </w:p>
        <w:p w14:paraId="52D977B5" w14:textId="25BA30C9" w:rsidR="00A234D8" w:rsidRDefault="007200A9">
          <w:pPr>
            <w:pStyle w:val="TOC1"/>
            <w:rPr>
              <w:rFonts w:asciiTheme="minorHAnsi" w:eastAsiaTheme="minorEastAsia" w:hAnsiTheme="minorHAnsi" w:cstheme="minorBidi"/>
              <w:noProof/>
              <w:sz w:val="22"/>
              <w:szCs w:val="22"/>
              <w:lang w:eastAsia="en-GB"/>
            </w:rPr>
          </w:pPr>
          <w:hyperlink w:anchor="_Toc14367824" w:history="1">
            <w:r w:rsidR="00A234D8" w:rsidRPr="00D203BE">
              <w:rPr>
                <w:rStyle w:val="Hyperlink"/>
                <w:noProof/>
                <w:lang w:bidi="ar-DZ"/>
              </w:rPr>
              <w:t>4.</w:t>
            </w:r>
            <w:r w:rsidR="00A234D8">
              <w:rPr>
                <w:rFonts w:asciiTheme="minorHAnsi" w:eastAsiaTheme="minorEastAsia" w:hAnsiTheme="minorHAnsi" w:cstheme="minorBidi"/>
                <w:noProof/>
                <w:sz w:val="22"/>
                <w:szCs w:val="22"/>
                <w:lang w:eastAsia="en-GB"/>
              </w:rPr>
              <w:tab/>
            </w:r>
            <w:r w:rsidR="00A234D8" w:rsidRPr="00D203BE">
              <w:rPr>
                <w:rStyle w:val="Hyperlink"/>
                <w:noProof/>
                <w:lang w:bidi="ar-DZ"/>
              </w:rPr>
              <w:t>Abbreviations</w:t>
            </w:r>
            <w:r w:rsidR="00A234D8">
              <w:rPr>
                <w:noProof/>
                <w:webHidden/>
              </w:rPr>
              <w:tab/>
            </w:r>
            <w:r w:rsidR="00A234D8">
              <w:rPr>
                <w:noProof/>
                <w:webHidden/>
              </w:rPr>
              <w:fldChar w:fldCharType="begin"/>
            </w:r>
            <w:r w:rsidR="00A234D8">
              <w:rPr>
                <w:noProof/>
                <w:webHidden/>
              </w:rPr>
              <w:instrText xml:space="preserve"> PAGEREF _Toc14367824 \h </w:instrText>
            </w:r>
            <w:r w:rsidR="00A234D8">
              <w:rPr>
                <w:noProof/>
                <w:webHidden/>
              </w:rPr>
            </w:r>
            <w:r w:rsidR="00A234D8">
              <w:rPr>
                <w:noProof/>
                <w:webHidden/>
              </w:rPr>
              <w:fldChar w:fldCharType="separate"/>
            </w:r>
            <w:r w:rsidR="004946F7">
              <w:rPr>
                <w:noProof/>
                <w:webHidden/>
              </w:rPr>
              <w:t>3</w:t>
            </w:r>
            <w:r w:rsidR="00A234D8">
              <w:rPr>
                <w:noProof/>
                <w:webHidden/>
              </w:rPr>
              <w:fldChar w:fldCharType="end"/>
            </w:r>
          </w:hyperlink>
        </w:p>
        <w:p w14:paraId="7BD22F6B" w14:textId="3A2EEBA9" w:rsidR="00A234D8" w:rsidRDefault="007200A9">
          <w:pPr>
            <w:pStyle w:val="TOC1"/>
            <w:rPr>
              <w:rFonts w:asciiTheme="minorHAnsi" w:eastAsiaTheme="minorEastAsia" w:hAnsiTheme="minorHAnsi" w:cstheme="minorBidi"/>
              <w:noProof/>
              <w:sz w:val="22"/>
              <w:szCs w:val="22"/>
              <w:lang w:eastAsia="en-GB"/>
            </w:rPr>
          </w:pPr>
          <w:hyperlink w:anchor="_Toc14367825" w:history="1">
            <w:r w:rsidR="00A234D8" w:rsidRPr="00D203BE">
              <w:rPr>
                <w:rStyle w:val="Hyperlink"/>
                <w:noProof/>
              </w:rPr>
              <w:t>5.</w:t>
            </w:r>
            <w:r w:rsidR="00A234D8">
              <w:rPr>
                <w:rFonts w:asciiTheme="minorHAnsi" w:eastAsiaTheme="minorEastAsia" w:hAnsiTheme="minorHAnsi" w:cstheme="minorBidi"/>
                <w:noProof/>
                <w:sz w:val="22"/>
                <w:szCs w:val="22"/>
                <w:lang w:eastAsia="en-GB"/>
              </w:rPr>
              <w:tab/>
            </w:r>
            <w:r w:rsidR="00A234D8" w:rsidRPr="00D203BE">
              <w:rPr>
                <w:rStyle w:val="Hyperlink"/>
                <w:noProof/>
              </w:rPr>
              <w:t>Security, privacy, risk and governance in data processing and management in the internet of things and smart cities and communities</w:t>
            </w:r>
            <w:r w:rsidR="00A234D8">
              <w:rPr>
                <w:noProof/>
                <w:webHidden/>
              </w:rPr>
              <w:tab/>
            </w:r>
            <w:r w:rsidR="00A234D8">
              <w:rPr>
                <w:noProof/>
                <w:webHidden/>
              </w:rPr>
              <w:fldChar w:fldCharType="begin"/>
            </w:r>
            <w:r w:rsidR="00A234D8">
              <w:rPr>
                <w:noProof/>
                <w:webHidden/>
              </w:rPr>
              <w:instrText xml:space="preserve"> PAGEREF _Toc14367825 \h </w:instrText>
            </w:r>
            <w:r w:rsidR="00A234D8">
              <w:rPr>
                <w:noProof/>
                <w:webHidden/>
              </w:rPr>
            </w:r>
            <w:r w:rsidR="00A234D8">
              <w:rPr>
                <w:noProof/>
                <w:webHidden/>
              </w:rPr>
              <w:fldChar w:fldCharType="separate"/>
            </w:r>
            <w:r w:rsidR="004946F7">
              <w:rPr>
                <w:noProof/>
                <w:webHidden/>
              </w:rPr>
              <w:t>4</w:t>
            </w:r>
            <w:r w:rsidR="00A234D8">
              <w:rPr>
                <w:noProof/>
                <w:webHidden/>
              </w:rPr>
              <w:fldChar w:fldCharType="end"/>
            </w:r>
          </w:hyperlink>
        </w:p>
        <w:p w14:paraId="497225D0" w14:textId="4B3F5CBA" w:rsidR="00A234D8" w:rsidRDefault="007200A9">
          <w:pPr>
            <w:pStyle w:val="TOC2"/>
            <w:rPr>
              <w:rFonts w:asciiTheme="minorHAnsi" w:eastAsiaTheme="minorEastAsia" w:hAnsiTheme="minorHAnsi" w:cstheme="minorBidi"/>
              <w:noProof/>
              <w:sz w:val="22"/>
              <w:szCs w:val="22"/>
              <w:lang w:eastAsia="en-GB"/>
            </w:rPr>
          </w:pPr>
          <w:hyperlink w:anchor="_Toc14367826" w:history="1">
            <w:r w:rsidR="00A234D8" w:rsidRPr="00D203BE">
              <w:rPr>
                <w:rStyle w:val="Hyperlink"/>
                <w:noProof/>
              </w:rPr>
              <w:t xml:space="preserve">5.1 </w:t>
            </w:r>
            <w:r w:rsidR="00A234D8">
              <w:rPr>
                <w:rFonts w:asciiTheme="minorHAnsi" w:eastAsiaTheme="minorEastAsia" w:hAnsiTheme="minorHAnsi" w:cstheme="minorBidi"/>
                <w:noProof/>
                <w:sz w:val="22"/>
                <w:szCs w:val="22"/>
                <w:lang w:eastAsia="en-GB"/>
              </w:rPr>
              <w:tab/>
            </w:r>
            <w:r w:rsidR="00A234D8" w:rsidRPr="00D203BE">
              <w:rPr>
                <w:rStyle w:val="Hyperlink"/>
                <w:noProof/>
              </w:rPr>
              <w:t>Security concerns</w:t>
            </w:r>
            <w:r w:rsidR="00A234D8">
              <w:rPr>
                <w:noProof/>
                <w:webHidden/>
              </w:rPr>
              <w:tab/>
            </w:r>
            <w:r w:rsidR="00A234D8">
              <w:rPr>
                <w:noProof/>
                <w:webHidden/>
              </w:rPr>
              <w:fldChar w:fldCharType="begin"/>
            </w:r>
            <w:r w:rsidR="00A234D8">
              <w:rPr>
                <w:noProof/>
                <w:webHidden/>
              </w:rPr>
              <w:instrText xml:space="preserve"> PAGEREF _Toc14367826 \h </w:instrText>
            </w:r>
            <w:r w:rsidR="00A234D8">
              <w:rPr>
                <w:noProof/>
                <w:webHidden/>
              </w:rPr>
            </w:r>
            <w:r w:rsidR="00A234D8">
              <w:rPr>
                <w:noProof/>
                <w:webHidden/>
              </w:rPr>
              <w:fldChar w:fldCharType="separate"/>
            </w:r>
            <w:r w:rsidR="004946F7">
              <w:rPr>
                <w:noProof/>
                <w:webHidden/>
              </w:rPr>
              <w:t>4</w:t>
            </w:r>
            <w:r w:rsidR="00A234D8">
              <w:rPr>
                <w:noProof/>
                <w:webHidden/>
              </w:rPr>
              <w:fldChar w:fldCharType="end"/>
            </w:r>
          </w:hyperlink>
        </w:p>
        <w:p w14:paraId="3B2185D6" w14:textId="028D8FE4" w:rsidR="00A234D8" w:rsidRDefault="007200A9">
          <w:pPr>
            <w:pStyle w:val="TOC2"/>
            <w:rPr>
              <w:rFonts w:asciiTheme="minorHAnsi" w:eastAsiaTheme="minorEastAsia" w:hAnsiTheme="minorHAnsi" w:cstheme="minorBidi"/>
              <w:noProof/>
              <w:sz w:val="22"/>
              <w:szCs w:val="22"/>
              <w:lang w:eastAsia="en-GB"/>
            </w:rPr>
          </w:pPr>
          <w:hyperlink w:anchor="_Toc14367827" w:history="1">
            <w:r w:rsidR="00A234D8" w:rsidRPr="00D203BE">
              <w:rPr>
                <w:rStyle w:val="Hyperlink"/>
                <w:noProof/>
              </w:rPr>
              <w:t>5.2</w:t>
            </w:r>
            <w:r w:rsidR="00A234D8">
              <w:rPr>
                <w:rFonts w:asciiTheme="minorHAnsi" w:eastAsiaTheme="minorEastAsia" w:hAnsiTheme="minorHAnsi" w:cstheme="minorBidi"/>
                <w:noProof/>
                <w:sz w:val="22"/>
                <w:szCs w:val="22"/>
                <w:lang w:eastAsia="en-GB"/>
              </w:rPr>
              <w:tab/>
            </w:r>
            <w:r w:rsidR="00A234D8" w:rsidRPr="00D203BE">
              <w:rPr>
                <w:rStyle w:val="Hyperlink"/>
                <w:noProof/>
              </w:rPr>
              <w:t>Privacy and data protection concerns</w:t>
            </w:r>
            <w:r w:rsidR="00A234D8">
              <w:rPr>
                <w:noProof/>
                <w:webHidden/>
              </w:rPr>
              <w:tab/>
            </w:r>
            <w:r w:rsidR="00A234D8">
              <w:rPr>
                <w:noProof/>
                <w:webHidden/>
              </w:rPr>
              <w:fldChar w:fldCharType="begin"/>
            </w:r>
            <w:r w:rsidR="00A234D8">
              <w:rPr>
                <w:noProof/>
                <w:webHidden/>
              </w:rPr>
              <w:instrText xml:space="preserve"> PAGEREF _Toc14367827 \h </w:instrText>
            </w:r>
            <w:r w:rsidR="00A234D8">
              <w:rPr>
                <w:noProof/>
                <w:webHidden/>
              </w:rPr>
            </w:r>
            <w:r w:rsidR="00A234D8">
              <w:rPr>
                <w:noProof/>
                <w:webHidden/>
              </w:rPr>
              <w:fldChar w:fldCharType="separate"/>
            </w:r>
            <w:r w:rsidR="004946F7">
              <w:rPr>
                <w:noProof/>
                <w:webHidden/>
              </w:rPr>
              <w:t>5</w:t>
            </w:r>
            <w:r w:rsidR="00A234D8">
              <w:rPr>
                <w:noProof/>
                <w:webHidden/>
              </w:rPr>
              <w:fldChar w:fldCharType="end"/>
            </w:r>
          </w:hyperlink>
        </w:p>
        <w:p w14:paraId="10184474" w14:textId="25C2A3E4" w:rsidR="00A234D8" w:rsidRDefault="007200A9">
          <w:pPr>
            <w:pStyle w:val="TOC2"/>
            <w:rPr>
              <w:rFonts w:asciiTheme="minorHAnsi" w:eastAsiaTheme="minorEastAsia" w:hAnsiTheme="minorHAnsi" w:cstheme="minorBidi"/>
              <w:noProof/>
              <w:sz w:val="22"/>
              <w:szCs w:val="22"/>
              <w:lang w:eastAsia="en-GB"/>
            </w:rPr>
          </w:pPr>
          <w:hyperlink w:anchor="_Toc14367828" w:history="1">
            <w:r w:rsidR="00A234D8" w:rsidRPr="00D203BE">
              <w:rPr>
                <w:rStyle w:val="Hyperlink"/>
                <w:noProof/>
              </w:rPr>
              <w:t>5.3</w:t>
            </w:r>
            <w:r w:rsidR="00A234D8">
              <w:rPr>
                <w:rFonts w:asciiTheme="minorHAnsi" w:eastAsiaTheme="minorEastAsia" w:hAnsiTheme="minorHAnsi" w:cstheme="minorBidi"/>
                <w:noProof/>
                <w:sz w:val="22"/>
                <w:szCs w:val="22"/>
                <w:lang w:eastAsia="en-GB"/>
              </w:rPr>
              <w:tab/>
            </w:r>
            <w:r w:rsidR="00A234D8" w:rsidRPr="00D203BE">
              <w:rPr>
                <w:rStyle w:val="Hyperlink"/>
                <w:noProof/>
              </w:rPr>
              <w:t>Risk issues in data processing and management</w:t>
            </w:r>
            <w:r w:rsidR="00A234D8">
              <w:rPr>
                <w:noProof/>
                <w:webHidden/>
              </w:rPr>
              <w:tab/>
            </w:r>
            <w:r w:rsidR="00A234D8">
              <w:rPr>
                <w:noProof/>
                <w:webHidden/>
              </w:rPr>
              <w:fldChar w:fldCharType="begin"/>
            </w:r>
            <w:r w:rsidR="00A234D8">
              <w:rPr>
                <w:noProof/>
                <w:webHidden/>
              </w:rPr>
              <w:instrText xml:space="preserve"> PAGEREF _Toc14367828 \h </w:instrText>
            </w:r>
            <w:r w:rsidR="00A234D8">
              <w:rPr>
                <w:noProof/>
                <w:webHidden/>
              </w:rPr>
            </w:r>
            <w:r w:rsidR="00A234D8">
              <w:rPr>
                <w:noProof/>
                <w:webHidden/>
              </w:rPr>
              <w:fldChar w:fldCharType="separate"/>
            </w:r>
            <w:r w:rsidR="004946F7">
              <w:rPr>
                <w:noProof/>
                <w:webHidden/>
              </w:rPr>
              <w:t>7</w:t>
            </w:r>
            <w:r w:rsidR="00A234D8">
              <w:rPr>
                <w:noProof/>
                <w:webHidden/>
              </w:rPr>
              <w:fldChar w:fldCharType="end"/>
            </w:r>
          </w:hyperlink>
        </w:p>
        <w:p w14:paraId="0E06C43A" w14:textId="673E4FE2" w:rsidR="00A234D8" w:rsidRDefault="007200A9">
          <w:pPr>
            <w:pStyle w:val="TOC2"/>
            <w:rPr>
              <w:rFonts w:asciiTheme="minorHAnsi" w:eastAsiaTheme="minorEastAsia" w:hAnsiTheme="minorHAnsi" w:cstheme="minorBidi"/>
              <w:noProof/>
              <w:sz w:val="22"/>
              <w:szCs w:val="22"/>
              <w:lang w:eastAsia="en-GB"/>
            </w:rPr>
          </w:pPr>
          <w:hyperlink w:anchor="_Toc14367829" w:history="1">
            <w:r w:rsidR="00A234D8" w:rsidRPr="00D203BE">
              <w:rPr>
                <w:rStyle w:val="Hyperlink"/>
                <w:noProof/>
              </w:rPr>
              <w:t>5.4</w:t>
            </w:r>
            <w:r w:rsidR="00A234D8">
              <w:rPr>
                <w:rFonts w:asciiTheme="minorHAnsi" w:eastAsiaTheme="minorEastAsia" w:hAnsiTheme="minorHAnsi" w:cstheme="minorBidi"/>
                <w:noProof/>
                <w:sz w:val="22"/>
                <w:szCs w:val="22"/>
                <w:lang w:eastAsia="en-GB"/>
              </w:rPr>
              <w:tab/>
            </w:r>
            <w:r w:rsidR="00A234D8" w:rsidRPr="00D203BE">
              <w:rPr>
                <w:rStyle w:val="Hyperlink"/>
                <w:noProof/>
              </w:rPr>
              <w:t>Governance issues in data processing and management</w:t>
            </w:r>
            <w:r w:rsidR="00A234D8">
              <w:rPr>
                <w:noProof/>
                <w:webHidden/>
              </w:rPr>
              <w:tab/>
            </w:r>
            <w:r w:rsidR="00A234D8">
              <w:rPr>
                <w:noProof/>
                <w:webHidden/>
              </w:rPr>
              <w:fldChar w:fldCharType="begin"/>
            </w:r>
            <w:r w:rsidR="00A234D8">
              <w:rPr>
                <w:noProof/>
                <w:webHidden/>
              </w:rPr>
              <w:instrText xml:space="preserve"> PAGEREF _Toc14367829 \h </w:instrText>
            </w:r>
            <w:r w:rsidR="00A234D8">
              <w:rPr>
                <w:noProof/>
                <w:webHidden/>
              </w:rPr>
            </w:r>
            <w:r w:rsidR="00A234D8">
              <w:rPr>
                <w:noProof/>
                <w:webHidden/>
              </w:rPr>
              <w:fldChar w:fldCharType="separate"/>
            </w:r>
            <w:r w:rsidR="004946F7">
              <w:rPr>
                <w:noProof/>
                <w:webHidden/>
              </w:rPr>
              <w:t>9</w:t>
            </w:r>
            <w:r w:rsidR="00A234D8">
              <w:rPr>
                <w:noProof/>
                <w:webHidden/>
              </w:rPr>
              <w:fldChar w:fldCharType="end"/>
            </w:r>
          </w:hyperlink>
        </w:p>
        <w:p w14:paraId="34A28D62" w14:textId="6D447DB1" w:rsidR="00A234D8" w:rsidRDefault="007200A9">
          <w:pPr>
            <w:pStyle w:val="TOC1"/>
            <w:rPr>
              <w:rFonts w:asciiTheme="minorHAnsi" w:eastAsiaTheme="minorEastAsia" w:hAnsiTheme="minorHAnsi" w:cstheme="minorBidi"/>
              <w:noProof/>
              <w:sz w:val="22"/>
              <w:szCs w:val="22"/>
              <w:lang w:eastAsia="en-GB"/>
            </w:rPr>
          </w:pPr>
          <w:hyperlink w:anchor="_Toc14367830" w:history="1">
            <w:r w:rsidR="00A234D8" w:rsidRPr="00D203BE">
              <w:rPr>
                <w:rStyle w:val="Hyperlink"/>
                <w:noProof/>
              </w:rPr>
              <w:t>6.</w:t>
            </w:r>
            <w:r w:rsidR="00A234D8">
              <w:rPr>
                <w:rFonts w:asciiTheme="minorHAnsi" w:eastAsiaTheme="minorEastAsia" w:hAnsiTheme="minorHAnsi" w:cstheme="minorBidi"/>
                <w:noProof/>
                <w:sz w:val="22"/>
                <w:szCs w:val="22"/>
                <w:lang w:eastAsia="en-GB"/>
              </w:rPr>
              <w:tab/>
            </w:r>
            <w:r w:rsidR="00A234D8" w:rsidRPr="00D203BE">
              <w:rPr>
                <w:rStyle w:val="Hyperlink"/>
                <w:noProof/>
              </w:rPr>
              <w:t>Processes for security and privacy in data processing and management in the internet of things and in smart cities and communities</w:t>
            </w:r>
            <w:r w:rsidR="00A234D8">
              <w:rPr>
                <w:noProof/>
                <w:webHidden/>
              </w:rPr>
              <w:tab/>
            </w:r>
            <w:r w:rsidR="00A234D8">
              <w:rPr>
                <w:noProof/>
                <w:webHidden/>
              </w:rPr>
              <w:fldChar w:fldCharType="begin"/>
            </w:r>
            <w:r w:rsidR="00A234D8">
              <w:rPr>
                <w:noProof/>
                <w:webHidden/>
              </w:rPr>
              <w:instrText xml:space="preserve"> PAGEREF _Toc14367830 \h </w:instrText>
            </w:r>
            <w:r w:rsidR="00A234D8">
              <w:rPr>
                <w:noProof/>
                <w:webHidden/>
              </w:rPr>
            </w:r>
            <w:r w:rsidR="00A234D8">
              <w:rPr>
                <w:noProof/>
                <w:webHidden/>
              </w:rPr>
              <w:fldChar w:fldCharType="separate"/>
            </w:r>
            <w:r w:rsidR="004946F7">
              <w:rPr>
                <w:noProof/>
                <w:webHidden/>
              </w:rPr>
              <w:t>11</w:t>
            </w:r>
            <w:r w:rsidR="00A234D8">
              <w:rPr>
                <w:noProof/>
                <w:webHidden/>
              </w:rPr>
              <w:fldChar w:fldCharType="end"/>
            </w:r>
          </w:hyperlink>
        </w:p>
        <w:p w14:paraId="5B16B7CD" w14:textId="7318E8EC" w:rsidR="00A234D8" w:rsidRDefault="007200A9">
          <w:pPr>
            <w:pStyle w:val="TOC2"/>
            <w:rPr>
              <w:rFonts w:asciiTheme="minorHAnsi" w:eastAsiaTheme="minorEastAsia" w:hAnsiTheme="minorHAnsi" w:cstheme="minorBidi"/>
              <w:noProof/>
              <w:sz w:val="22"/>
              <w:szCs w:val="22"/>
              <w:lang w:eastAsia="en-GB"/>
            </w:rPr>
          </w:pPr>
          <w:hyperlink w:anchor="_Toc14367831" w:history="1">
            <w:r w:rsidR="00A234D8" w:rsidRPr="00D203BE">
              <w:rPr>
                <w:rStyle w:val="Hyperlink"/>
                <w:noProof/>
              </w:rPr>
              <w:t>6.1</w:t>
            </w:r>
            <w:r w:rsidR="00A234D8">
              <w:rPr>
                <w:rFonts w:asciiTheme="minorHAnsi" w:eastAsiaTheme="minorEastAsia" w:hAnsiTheme="minorHAnsi" w:cstheme="minorBidi"/>
                <w:noProof/>
                <w:sz w:val="22"/>
                <w:szCs w:val="22"/>
                <w:lang w:eastAsia="en-GB"/>
              </w:rPr>
              <w:tab/>
            </w:r>
            <w:r w:rsidR="00A234D8" w:rsidRPr="00D203BE">
              <w:rPr>
                <w:rStyle w:val="Hyperlink"/>
                <w:noProof/>
              </w:rPr>
              <w:t>Collaboration processes for security and privacy</w:t>
            </w:r>
            <w:r w:rsidR="00A234D8">
              <w:rPr>
                <w:noProof/>
                <w:webHidden/>
              </w:rPr>
              <w:tab/>
            </w:r>
            <w:r w:rsidR="00A234D8">
              <w:rPr>
                <w:noProof/>
                <w:webHidden/>
              </w:rPr>
              <w:fldChar w:fldCharType="begin"/>
            </w:r>
            <w:r w:rsidR="00A234D8">
              <w:rPr>
                <w:noProof/>
                <w:webHidden/>
              </w:rPr>
              <w:instrText xml:space="preserve"> PAGEREF _Toc14367831 \h </w:instrText>
            </w:r>
            <w:r w:rsidR="00A234D8">
              <w:rPr>
                <w:noProof/>
                <w:webHidden/>
              </w:rPr>
            </w:r>
            <w:r w:rsidR="00A234D8">
              <w:rPr>
                <w:noProof/>
                <w:webHidden/>
              </w:rPr>
              <w:fldChar w:fldCharType="separate"/>
            </w:r>
            <w:r w:rsidR="004946F7">
              <w:rPr>
                <w:noProof/>
                <w:webHidden/>
              </w:rPr>
              <w:t>11</w:t>
            </w:r>
            <w:r w:rsidR="00A234D8">
              <w:rPr>
                <w:noProof/>
                <w:webHidden/>
              </w:rPr>
              <w:fldChar w:fldCharType="end"/>
            </w:r>
          </w:hyperlink>
        </w:p>
        <w:p w14:paraId="11960D17" w14:textId="021948F1" w:rsidR="00A234D8" w:rsidRDefault="007200A9">
          <w:pPr>
            <w:pStyle w:val="TOC3"/>
            <w:rPr>
              <w:rFonts w:asciiTheme="minorHAnsi" w:eastAsiaTheme="minorEastAsia" w:hAnsiTheme="minorHAnsi" w:cstheme="minorBidi"/>
              <w:noProof/>
              <w:sz w:val="22"/>
              <w:szCs w:val="22"/>
              <w:lang w:eastAsia="en-GB"/>
            </w:rPr>
          </w:pPr>
          <w:hyperlink w:anchor="_Toc14367832" w:history="1">
            <w:r w:rsidR="00A234D8" w:rsidRPr="00D203BE">
              <w:rPr>
                <w:rStyle w:val="Hyperlink"/>
                <w:noProof/>
              </w:rPr>
              <w:t>6.1.1</w:t>
            </w:r>
            <w:r w:rsidR="00A234D8">
              <w:rPr>
                <w:rFonts w:asciiTheme="minorHAnsi" w:eastAsiaTheme="minorEastAsia" w:hAnsiTheme="minorHAnsi" w:cstheme="minorBidi"/>
                <w:noProof/>
                <w:sz w:val="22"/>
                <w:szCs w:val="22"/>
                <w:lang w:eastAsia="en-GB"/>
              </w:rPr>
              <w:tab/>
            </w:r>
            <w:r w:rsidR="00A234D8" w:rsidRPr="00D203BE">
              <w:rPr>
                <w:rStyle w:val="Hyperlink"/>
                <w:noProof/>
              </w:rPr>
              <w:t>Collaboration in SC&amp;C processes</w:t>
            </w:r>
            <w:r w:rsidR="00A234D8">
              <w:rPr>
                <w:noProof/>
                <w:webHidden/>
              </w:rPr>
              <w:tab/>
            </w:r>
            <w:r w:rsidR="00A234D8">
              <w:rPr>
                <w:noProof/>
                <w:webHidden/>
              </w:rPr>
              <w:fldChar w:fldCharType="begin"/>
            </w:r>
            <w:r w:rsidR="00A234D8">
              <w:rPr>
                <w:noProof/>
                <w:webHidden/>
              </w:rPr>
              <w:instrText xml:space="preserve"> PAGEREF _Toc14367832 \h </w:instrText>
            </w:r>
            <w:r w:rsidR="00A234D8">
              <w:rPr>
                <w:noProof/>
                <w:webHidden/>
              </w:rPr>
            </w:r>
            <w:r w:rsidR="00A234D8">
              <w:rPr>
                <w:noProof/>
                <w:webHidden/>
              </w:rPr>
              <w:fldChar w:fldCharType="separate"/>
            </w:r>
            <w:r w:rsidR="004946F7">
              <w:rPr>
                <w:noProof/>
                <w:webHidden/>
              </w:rPr>
              <w:t>11</w:t>
            </w:r>
            <w:r w:rsidR="00A234D8">
              <w:rPr>
                <w:noProof/>
                <w:webHidden/>
              </w:rPr>
              <w:fldChar w:fldCharType="end"/>
            </w:r>
          </w:hyperlink>
        </w:p>
        <w:p w14:paraId="4480E81F" w14:textId="40B20BA9" w:rsidR="00A234D8" w:rsidRDefault="007200A9">
          <w:pPr>
            <w:pStyle w:val="TOC3"/>
            <w:rPr>
              <w:rFonts w:asciiTheme="minorHAnsi" w:eastAsiaTheme="minorEastAsia" w:hAnsiTheme="minorHAnsi" w:cstheme="minorBidi"/>
              <w:noProof/>
              <w:sz w:val="22"/>
              <w:szCs w:val="22"/>
              <w:lang w:eastAsia="en-GB"/>
            </w:rPr>
          </w:pPr>
          <w:hyperlink w:anchor="_Toc14367833" w:history="1">
            <w:r w:rsidR="00A234D8" w:rsidRPr="00D203BE">
              <w:rPr>
                <w:rStyle w:val="Hyperlink"/>
                <w:noProof/>
              </w:rPr>
              <w:t>6.1.2</w:t>
            </w:r>
            <w:r w:rsidR="00A234D8">
              <w:rPr>
                <w:rFonts w:asciiTheme="minorHAnsi" w:eastAsiaTheme="minorEastAsia" w:hAnsiTheme="minorHAnsi" w:cstheme="minorBidi"/>
                <w:noProof/>
                <w:sz w:val="22"/>
                <w:szCs w:val="22"/>
                <w:lang w:eastAsia="en-GB"/>
              </w:rPr>
              <w:tab/>
            </w:r>
            <w:r w:rsidR="00A234D8" w:rsidRPr="00D203BE">
              <w:rPr>
                <w:rStyle w:val="Hyperlink"/>
                <w:noProof/>
              </w:rPr>
              <w:t>Guidance for organisations and ecosystems</w:t>
            </w:r>
            <w:r w:rsidR="00A234D8">
              <w:rPr>
                <w:noProof/>
                <w:webHidden/>
              </w:rPr>
              <w:tab/>
            </w:r>
            <w:r w:rsidR="00A234D8">
              <w:rPr>
                <w:noProof/>
                <w:webHidden/>
              </w:rPr>
              <w:fldChar w:fldCharType="begin"/>
            </w:r>
            <w:r w:rsidR="00A234D8">
              <w:rPr>
                <w:noProof/>
                <w:webHidden/>
              </w:rPr>
              <w:instrText xml:space="preserve"> PAGEREF _Toc14367833 \h </w:instrText>
            </w:r>
            <w:r w:rsidR="00A234D8">
              <w:rPr>
                <w:noProof/>
                <w:webHidden/>
              </w:rPr>
            </w:r>
            <w:r w:rsidR="00A234D8">
              <w:rPr>
                <w:noProof/>
                <w:webHidden/>
              </w:rPr>
              <w:fldChar w:fldCharType="separate"/>
            </w:r>
            <w:r w:rsidR="004946F7">
              <w:rPr>
                <w:noProof/>
                <w:webHidden/>
              </w:rPr>
              <w:t>12</w:t>
            </w:r>
            <w:r w:rsidR="00A234D8">
              <w:rPr>
                <w:noProof/>
                <w:webHidden/>
              </w:rPr>
              <w:fldChar w:fldCharType="end"/>
            </w:r>
          </w:hyperlink>
        </w:p>
        <w:p w14:paraId="2055D304" w14:textId="14EAD2B7" w:rsidR="00A234D8" w:rsidRDefault="007200A9">
          <w:pPr>
            <w:pStyle w:val="TOC2"/>
            <w:rPr>
              <w:rFonts w:asciiTheme="minorHAnsi" w:eastAsiaTheme="minorEastAsia" w:hAnsiTheme="minorHAnsi" w:cstheme="minorBidi"/>
              <w:noProof/>
              <w:sz w:val="22"/>
              <w:szCs w:val="22"/>
              <w:lang w:eastAsia="en-GB"/>
            </w:rPr>
          </w:pPr>
          <w:hyperlink w:anchor="_Toc14367834" w:history="1">
            <w:r w:rsidR="00A234D8" w:rsidRPr="00D203BE">
              <w:rPr>
                <w:rStyle w:val="Hyperlink"/>
                <w:noProof/>
              </w:rPr>
              <w:t>6.2</w:t>
            </w:r>
            <w:r w:rsidR="00A234D8">
              <w:rPr>
                <w:rFonts w:asciiTheme="minorHAnsi" w:eastAsiaTheme="minorEastAsia" w:hAnsiTheme="minorHAnsi" w:cstheme="minorBidi"/>
                <w:noProof/>
                <w:sz w:val="22"/>
                <w:szCs w:val="22"/>
                <w:lang w:eastAsia="en-GB"/>
              </w:rPr>
              <w:tab/>
            </w:r>
            <w:r w:rsidR="00A234D8" w:rsidRPr="00D203BE">
              <w:rPr>
                <w:rStyle w:val="Hyperlink"/>
                <w:noProof/>
              </w:rPr>
              <w:t>Lifecycle processes for security and privacy</w:t>
            </w:r>
            <w:r w:rsidR="00A234D8">
              <w:rPr>
                <w:noProof/>
                <w:webHidden/>
              </w:rPr>
              <w:tab/>
            </w:r>
            <w:r w:rsidR="00A234D8">
              <w:rPr>
                <w:noProof/>
                <w:webHidden/>
              </w:rPr>
              <w:fldChar w:fldCharType="begin"/>
            </w:r>
            <w:r w:rsidR="00A234D8">
              <w:rPr>
                <w:noProof/>
                <w:webHidden/>
              </w:rPr>
              <w:instrText xml:space="preserve"> PAGEREF _Toc14367834 \h </w:instrText>
            </w:r>
            <w:r w:rsidR="00A234D8">
              <w:rPr>
                <w:noProof/>
                <w:webHidden/>
              </w:rPr>
            </w:r>
            <w:r w:rsidR="00A234D8">
              <w:rPr>
                <w:noProof/>
                <w:webHidden/>
              </w:rPr>
              <w:fldChar w:fldCharType="separate"/>
            </w:r>
            <w:r w:rsidR="004946F7">
              <w:rPr>
                <w:noProof/>
                <w:webHidden/>
              </w:rPr>
              <w:t>13</w:t>
            </w:r>
            <w:r w:rsidR="00A234D8">
              <w:rPr>
                <w:noProof/>
                <w:webHidden/>
              </w:rPr>
              <w:fldChar w:fldCharType="end"/>
            </w:r>
          </w:hyperlink>
        </w:p>
        <w:p w14:paraId="178D0D8F" w14:textId="64CD6D6A" w:rsidR="00A234D8" w:rsidRDefault="007200A9">
          <w:pPr>
            <w:pStyle w:val="TOC3"/>
            <w:rPr>
              <w:rFonts w:asciiTheme="minorHAnsi" w:eastAsiaTheme="minorEastAsia" w:hAnsiTheme="minorHAnsi" w:cstheme="minorBidi"/>
              <w:noProof/>
              <w:sz w:val="22"/>
              <w:szCs w:val="22"/>
              <w:lang w:eastAsia="en-GB"/>
            </w:rPr>
          </w:pPr>
          <w:hyperlink w:anchor="_Toc14367835" w:history="1">
            <w:r w:rsidR="00A234D8" w:rsidRPr="00D203BE">
              <w:rPr>
                <w:rStyle w:val="Hyperlink"/>
                <w:noProof/>
              </w:rPr>
              <w:t>6.2.1</w:t>
            </w:r>
            <w:r w:rsidR="00A234D8">
              <w:rPr>
                <w:rFonts w:asciiTheme="minorHAnsi" w:eastAsiaTheme="minorEastAsia" w:hAnsiTheme="minorHAnsi" w:cstheme="minorBidi"/>
                <w:noProof/>
                <w:sz w:val="22"/>
                <w:szCs w:val="22"/>
                <w:lang w:eastAsia="en-GB"/>
              </w:rPr>
              <w:tab/>
            </w:r>
            <w:r w:rsidR="00A234D8" w:rsidRPr="00D203BE">
              <w:rPr>
                <w:rStyle w:val="Hyperlink"/>
                <w:noProof/>
              </w:rPr>
              <w:t>Security-by-design and privacy-by-design</w:t>
            </w:r>
            <w:r w:rsidR="00A234D8">
              <w:rPr>
                <w:noProof/>
                <w:webHidden/>
              </w:rPr>
              <w:tab/>
            </w:r>
            <w:r w:rsidR="00A234D8">
              <w:rPr>
                <w:noProof/>
                <w:webHidden/>
              </w:rPr>
              <w:fldChar w:fldCharType="begin"/>
            </w:r>
            <w:r w:rsidR="00A234D8">
              <w:rPr>
                <w:noProof/>
                <w:webHidden/>
              </w:rPr>
              <w:instrText xml:space="preserve"> PAGEREF _Toc14367835 \h </w:instrText>
            </w:r>
            <w:r w:rsidR="00A234D8">
              <w:rPr>
                <w:noProof/>
                <w:webHidden/>
              </w:rPr>
            </w:r>
            <w:r w:rsidR="00A234D8">
              <w:rPr>
                <w:noProof/>
                <w:webHidden/>
              </w:rPr>
              <w:fldChar w:fldCharType="separate"/>
            </w:r>
            <w:r w:rsidR="004946F7">
              <w:rPr>
                <w:noProof/>
                <w:webHidden/>
              </w:rPr>
              <w:t>13</w:t>
            </w:r>
            <w:r w:rsidR="00A234D8">
              <w:rPr>
                <w:noProof/>
                <w:webHidden/>
              </w:rPr>
              <w:fldChar w:fldCharType="end"/>
            </w:r>
          </w:hyperlink>
        </w:p>
        <w:p w14:paraId="194DD6E8" w14:textId="5EA855CA" w:rsidR="00A234D8" w:rsidRDefault="007200A9">
          <w:pPr>
            <w:pStyle w:val="TOC3"/>
            <w:rPr>
              <w:rFonts w:asciiTheme="minorHAnsi" w:eastAsiaTheme="minorEastAsia" w:hAnsiTheme="minorHAnsi" w:cstheme="minorBidi"/>
              <w:noProof/>
              <w:sz w:val="22"/>
              <w:szCs w:val="22"/>
              <w:lang w:eastAsia="en-GB"/>
            </w:rPr>
          </w:pPr>
          <w:hyperlink w:anchor="_Toc14367836" w:history="1">
            <w:r w:rsidR="00A234D8" w:rsidRPr="00D203BE">
              <w:rPr>
                <w:rStyle w:val="Hyperlink"/>
                <w:noProof/>
              </w:rPr>
              <w:t>6.2.2</w:t>
            </w:r>
            <w:r w:rsidR="00A234D8">
              <w:rPr>
                <w:rFonts w:asciiTheme="minorHAnsi" w:eastAsiaTheme="minorEastAsia" w:hAnsiTheme="minorHAnsi" w:cstheme="minorBidi"/>
                <w:noProof/>
                <w:sz w:val="22"/>
                <w:szCs w:val="22"/>
                <w:lang w:eastAsia="en-GB"/>
              </w:rPr>
              <w:tab/>
            </w:r>
            <w:r w:rsidR="00A234D8" w:rsidRPr="00D203BE">
              <w:rPr>
                <w:rStyle w:val="Hyperlink"/>
                <w:noProof/>
              </w:rPr>
              <w:t>Guidance for organisations and ecosystems</w:t>
            </w:r>
            <w:r w:rsidR="00A234D8">
              <w:rPr>
                <w:noProof/>
                <w:webHidden/>
              </w:rPr>
              <w:tab/>
            </w:r>
            <w:r w:rsidR="00A234D8">
              <w:rPr>
                <w:noProof/>
                <w:webHidden/>
              </w:rPr>
              <w:fldChar w:fldCharType="begin"/>
            </w:r>
            <w:r w:rsidR="00A234D8">
              <w:rPr>
                <w:noProof/>
                <w:webHidden/>
              </w:rPr>
              <w:instrText xml:space="preserve"> PAGEREF _Toc14367836 \h </w:instrText>
            </w:r>
            <w:r w:rsidR="00A234D8">
              <w:rPr>
                <w:noProof/>
                <w:webHidden/>
              </w:rPr>
            </w:r>
            <w:r w:rsidR="00A234D8">
              <w:rPr>
                <w:noProof/>
                <w:webHidden/>
              </w:rPr>
              <w:fldChar w:fldCharType="separate"/>
            </w:r>
            <w:r w:rsidR="004946F7">
              <w:rPr>
                <w:noProof/>
                <w:webHidden/>
              </w:rPr>
              <w:t>15</w:t>
            </w:r>
            <w:r w:rsidR="00A234D8">
              <w:rPr>
                <w:noProof/>
                <w:webHidden/>
              </w:rPr>
              <w:fldChar w:fldCharType="end"/>
            </w:r>
          </w:hyperlink>
        </w:p>
        <w:p w14:paraId="5A3A3F59" w14:textId="66DA7EA2" w:rsidR="00A234D8" w:rsidRDefault="007200A9">
          <w:pPr>
            <w:pStyle w:val="TOC2"/>
            <w:rPr>
              <w:rFonts w:asciiTheme="minorHAnsi" w:eastAsiaTheme="minorEastAsia" w:hAnsiTheme="minorHAnsi" w:cstheme="minorBidi"/>
              <w:noProof/>
              <w:sz w:val="22"/>
              <w:szCs w:val="22"/>
              <w:lang w:eastAsia="en-GB"/>
            </w:rPr>
          </w:pPr>
          <w:hyperlink w:anchor="_Toc14367837" w:history="1">
            <w:r w:rsidR="00A234D8" w:rsidRPr="00D203BE">
              <w:rPr>
                <w:rStyle w:val="Hyperlink"/>
                <w:noProof/>
              </w:rPr>
              <w:t>6.3</w:t>
            </w:r>
            <w:r w:rsidR="00A234D8">
              <w:rPr>
                <w:rFonts w:asciiTheme="minorHAnsi" w:eastAsiaTheme="minorEastAsia" w:hAnsiTheme="minorHAnsi" w:cstheme="minorBidi"/>
                <w:noProof/>
                <w:sz w:val="22"/>
                <w:szCs w:val="22"/>
                <w:lang w:eastAsia="en-GB"/>
              </w:rPr>
              <w:tab/>
            </w:r>
            <w:r w:rsidR="00A234D8" w:rsidRPr="00D203BE">
              <w:rPr>
                <w:rStyle w:val="Hyperlink"/>
                <w:noProof/>
              </w:rPr>
              <w:t>Risk management in data processing and management</w:t>
            </w:r>
            <w:r w:rsidR="00A234D8">
              <w:rPr>
                <w:noProof/>
                <w:webHidden/>
              </w:rPr>
              <w:tab/>
            </w:r>
            <w:r w:rsidR="00A234D8">
              <w:rPr>
                <w:noProof/>
                <w:webHidden/>
              </w:rPr>
              <w:fldChar w:fldCharType="begin"/>
            </w:r>
            <w:r w:rsidR="00A234D8">
              <w:rPr>
                <w:noProof/>
                <w:webHidden/>
              </w:rPr>
              <w:instrText xml:space="preserve"> PAGEREF _Toc14367837 \h </w:instrText>
            </w:r>
            <w:r w:rsidR="00A234D8">
              <w:rPr>
                <w:noProof/>
                <w:webHidden/>
              </w:rPr>
            </w:r>
            <w:r w:rsidR="00A234D8">
              <w:rPr>
                <w:noProof/>
                <w:webHidden/>
              </w:rPr>
              <w:fldChar w:fldCharType="separate"/>
            </w:r>
            <w:r w:rsidR="004946F7">
              <w:rPr>
                <w:noProof/>
                <w:webHidden/>
              </w:rPr>
              <w:t>16</w:t>
            </w:r>
            <w:r w:rsidR="00A234D8">
              <w:rPr>
                <w:noProof/>
                <w:webHidden/>
              </w:rPr>
              <w:fldChar w:fldCharType="end"/>
            </w:r>
          </w:hyperlink>
        </w:p>
        <w:p w14:paraId="079D1499" w14:textId="0E94D35A" w:rsidR="00A234D8" w:rsidRDefault="007200A9">
          <w:pPr>
            <w:pStyle w:val="TOC3"/>
            <w:rPr>
              <w:rFonts w:asciiTheme="minorHAnsi" w:eastAsiaTheme="minorEastAsia" w:hAnsiTheme="minorHAnsi" w:cstheme="minorBidi"/>
              <w:noProof/>
              <w:sz w:val="22"/>
              <w:szCs w:val="22"/>
              <w:lang w:eastAsia="en-GB"/>
            </w:rPr>
          </w:pPr>
          <w:hyperlink w:anchor="_Toc14367838" w:history="1">
            <w:r w:rsidR="00A234D8" w:rsidRPr="00D203BE">
              <w:rPr>
                <w:rStyle w:val="Hyperlink"/>
                <w:noProof/>
              </w:rPr>
              <w:t>6.3.1</w:t>
            </w:r>
            <w:r w:rsidR="00A234D8">
              <w:rPr>
                <w:rFonts w:asciiTheme="minorHAnsi" w:eastAsiaTheme="minorEastAsia" w:hAnsiTheme="minorHAnsi" w:cstheme="minorBidi"/>
                <w:noProof/>
                <w:sz w:val="22"/>
                <w:szCs w:val="22"/>
                <w:lang w:eastAsia="en-GB"/>
              </w:rPr>
              <w:tab/>
            </w:r>
            <w:r w:rsidR="00A234D8" w:rsidRPr="00D203BE">
              <w:rPr>
                <w:rStyle w:val="Hyperlink"/>
                <w:noProof/>
              </w:rPr>
              <w:t>Security and privacy risk analysis</w:t>
            </w:r>
            <w:r w:rsidR="00A234D8">
              <w:rPr>
                <w:noProof/>
                <w:webHidden/>
              </w:rPr>
              <w:tab/>
            </w:r>
            <w:r w:rsidR="00A234D8">
              <w:rPr>
                <w:noProof/>
                <w:webHidden/>
              </w:rPr>
              <w:fldChar w:fldCharType="begin"/>
            </w:r>
            <w:r w:rsidR="00A234D8">
              <w:rPr>
                <w:noProof/>
                <w:webHidden/>
              </w:rPr>
              <w:instrText xml:space="preserve"> PAGEREF _Toc14367838 \h </w:instrText>
            </w:r>
            <w:r w:rsidR="00A234D8">
              <w:rPr>
                <w:noProof/>
                <w:webHidden/>
              </w:rPr>
            </w:r>
            <w:r w:rsidR="00A234D8">
              <w:rPr>
                <w:noProof/>
                <w:webHidden/>
              </w:rPr>
              <w:fldChar w:fldCharType="separate"/>
            </w:r>
            <w:r w:rsidR="004946F7">
              <w:rPr>
                <w:noProof/>
                <w:webHidden/>
              </w:rPr>
              <w:t>16</w:t>
            </w:r>
            <w:r w:rsidR="00A234D8">
              <w:rPr>
                <w:noProof/>
                <w:webHidden/>
              </w:rPr>
              <w:fldChar w:fldCharType="end"/>
            </w:r>
          </w:hyperlink>
        </w:p>
        <w:p w14:paraId="302BEE33" w14:textId="19542242" w:rsidR="00A234D8" w:rsidRDefault="007200A9">
          <w:pPr>
            <w:pStyle w:val="TOC3"/>
            <w:rPr>
              <w:rFonts w:asciiTheme="minorHAnsi" w:eastAsiaTheme="minorEastAsia" w:hAnsiTheme="minorHAnsi" w:cstheme="minorBidi"/>
              <w:noProof/>
              <w:sz w:val="22"/>
              <w:szCs w:val="22"/>
              <w:lang w:eastAsia="en-GB"/>
            </w:rPr>
          </w:pPr>
          <w:hyperlink w:anchor="_Toc14367839" w:history="1">
            <w:r w:rsidR="00A234D8" w:rsidRPr="00D203BE">
              <w:rPr>
                <w:rStyle w:val="Hyperlink"/>
                <w:noProof/>
              </w:rPr>
              <w:t>6.3.2</w:t>
            </w:r>
            <w:r w:rsidR="00A234D8">
              <w:rPr>
                <w:rFonts w:asciiTheme="minorHAnsi" w:eastAsiaTheme="minorEastAsia" w:hAnsiTheme="minorHAnsi" w:cstheme="minorBidi"/>
                <w:noProof/>
                <w:sz w:val="22"/>
                <w:szCs w:val="22"/>
                <w:lang w:eastAsia="en-GB"/>
              </w:rPr>
              <w:tab/>
            </w:r>
            <w:r w:rsidR="00A234D8" w:rsidRPr="00D203BE">
              <w:rPr>
                <w:rStyle w:val="Hyperlink"/>
                <w:noProof/>
              </w:rPr>
              <w:t>Risk management</w:t>
            </w:r>
            <w:r w:rsidR="00A234D8">
              <w:rPr>
                <w:noProof/>
                <w:webHidden/>
              </w:rPr>
              <w:tab/>
            </w:r>
            <w:r w:rsidR="00A234D8">
              <w:rPr>
                <w:noProof/>
                <w:webHidden/>
              </w:rPr>
              <w:fldChar w:fldCharType="begin"/>
            </w:r>
            <w:r w:rsidR="00A234D8">
              <w:rPr>
                <w:noProof/>
                <w:webHidden/>
              </w:rPr>
              <w:instrText xml:space="preserve"> PAGEREF _Toc14367839 \h </w:instrText>
            </w:r>
            <w:r w:rsidR="00A234D8">
              <w:rPr>
                <w:noProof/>
                <w:webHidden/>
              </w:rPr>
            </w:r>
            <w:r w:rsidR="00A234D8">
              <w:rPr>
                <w:noProof/>
                <w:webHidden/>
              </w:rPr>
              <w:fldChar w:fldCharType="separate"/>
            </w:r>
            <w:r w:rsidR="004946F7">
              <w:rPr>
                <w:noProof/>
                <w:webHidden/>
              </w:rPr>
              <w:t>18</w:t>
            </w:r>
            <w:r w:rsidR="00A234D8">
              <w:rPr>
                <w:noProof/>
                <w:webHidden/>
              </w:rPr>
              <w:fldChar w:fldCharType="end"/>
            </w:r>
          </w:hyperlink>
        </w:p>
        <w:p w14:paraId="205DF258" w14:textId="2D472566" w:rsidR="00A234D8" w:rsidRDefault="007200A9">
          <w:pPr>
            <w:pStyle w:val="TOC3"/>
            <w:rPr>
              <w:rFonts w:asciiTheme="minorHAnsi" w:eastAsiaTheme="minorEastAsia" w:hAnsiTheme="minorHAnsi" w:cstheme="minorBidi"/>
              <w:noProof/>
              <w:sz w:val="22"/>
              <w:szCs w:val="22"/>
              <w:lang w:eastAsia="en-GB"/>
            </w:rPr>
          </w:pPr>
          <w:hyperlink w:anchor="_Toc14367840" w:history="1">
            <w:r w:rsidR="00A234D8" w:rsidRPr="00D203BE">
              <w:rPr>
                <w:rStyle w:val="Hyperlink"/>
                <w:noProof/>
              </w:rPr>
              <w:t>6.3.3</w:t>
            </w:r>
            <w:r w:rsidR="00A234D8">
              <w:rPr>
                <w:rFonts w:asciiTheme="minorHAnsi" w:eastAsiaTheme="minorEastAsia" w:hAnsiTheme="minorHAnsi" w:cstheme="minorBidi"/>
                <w:noProof/>
                <w:sz w:val="22"/>
                <w:szCs w:val="22"/>
                <w:lang w:eastAsia="en-GB"/>
              </w:rPr>
              <w:tab/>
            </w:r>
            <w:r w:rsidR="00A234D8" w:rsidRPr="00D203BE">
              <w:rPr>
                <w:rStyle w:val="Hyperlink"/>
                <w:noProof/>
              </w:rPr>
              <w:t>Guidance for organisations and ecosystems</w:t>
            </w:r>
            <w:r w:rsidR="00A234D8">
              <w:rPr>
                <w:noProof/>
                <w:webHidden/>
              </w:rPr>
              <w:tab/>
            </w:r>
            <w:r w:rsidR="00A234D8">
              <w:rPr>
                <w:noProof/>
                <w:webHidden/>
              </w:rPr>
              <w:fldChar w:fldCharType="begin"/>
            </w:r>
            <w:r w:rsidR="00A234D8">
              <w:rPr>
                <w:noProof/>
                <w:webHidden/>
              </w:rPr>
              <w:instrText xml:space="preserve"> PAGEREF _Toc14367840 \h </w:instrText>
            </w:r>
            <w:r w:rsidR="00A234D8">
              <w:rPr>
                <w:noProof/>
                <w:webHidden/>
              </w:rPr>
            </w:r>
            <w:r w:rsidR="00A234D8">
              <w:rPr>
                <w:noProof/>
                <w:webHidden/>
              </w:rPr>
              <w:fldChar w:fldCharType="separate"/>
            </w:r>
            <w:r w:rsidR="004946F7">
              <w:rPr>
                <w:noProof/>
                <w:webHidden/>
              </w:rPr>
              <w:t>20</w:t>
            </w:r>
            <w:r w:rsidR="00A234D8">
              <w:rPr>
                <w:noProof/>
                <w:webHidden/>
              </w:rPr>
              <w:fldChar w:fldCharType="end"/>
            </w:r>
          </w:hyperlink>
        </w:p>
        <w:p w14:paraId="4F26EF50" w14:textId="4B1CFDDA" w:rsidR="00A234D8" w:rsidRDefault="007200A9">
          <w:pPr>
            <w:pStyle w:val="TOC1"/>
            <w:rPr>
              <w:rFonts w:asciiTheme="minorHAnsi" w:eastAsiaTheme="minorEastAsia" w:hAnsiTheme="minorHAnsi" w:cstheme="minorBidi"/>
              <w:noProof/>
              <w:sz w:val="22"/>
              <w:szCs w:val="22"/>
              <w:lang w:eastAsia="en-GB"/>
            </w:rPr>
          </w:pPr>
          <w:hyperlink w:anchor="_Toc14367841" w:history="1">
            <w:r w:rsidR="00A234D8" w:rsidRPr="00D203BE">
              <w:rPr>
                <w:rStyle w:val="Hyperlink"/>
                <w:noProof/>
              </w:rPr>
              <w:t>7.</w:t>
            </w:r>
            <w:r w:rsidR="00A234D8">
              <w:rPr>
                <w:rFonts w:asciiTheme="minorHAnsi" w:eastAsiaTheme="minorEastAsia" w:hAnsiTheme="minorHAnsi" w:cstheme="minorBidi"/>
                <w:noProof/>
                <w:sz w:val="22"/>
                <w:szCs w:val="22"/>
                <w:lang w:eastAsia="en-GB"/>
              </w:rPr>
              <w:tab/>
            </w:r>
            <w:r w:rsidR="00A234D8" w:rsidRPr="00D203BE">
              <w:rPr>
                <w:rStyle w:val="Hyperlink"/>
                <w:noProof/>
              </w:rPr>
              <w:t>Governance framework for data processing and management</w:t>
            </w:r>
            <w:r w:rsidR="00A234D8">
              <w:rPr>
                <w:noProof/>
                <w:webHidden/>
              </w:rPr>
              <w:tab/>
            </w:r>
            <w:r w:rsidR="00A234D8">
              <w:rPr>
                <w:noProof/>
                <w:webHidden/>
              </w:rPr>
              <w:fldChar w:fldCharType="begin"/>
            </w:r>
            <w:r w:rsidR="00A234D8">
              <w:rPr>
                <w:noProof/>
                <w:webHidden/>
              </w:rPr>
              <w:instrText xml:space="preserve"> PAGEREF _Toc14367841 \h </w:instrText>
            </w:r>
            <w:r w:rsidR="00A234D8">
              <w:rPr>
                <w:noProof/>
                <w:webHidden/>
              </w:rPr>
            </w:r>
            <w:r w:rsidR="00A234D8">
              <w:rPr>
                <w:noProof/>
                <w:webHidden/>
              </w:rPr>
              <w:fldChar w:fldCharType="separate"/>
            </w:r>
            <w:r w:rsidR="004946F7">
              <w:rPr>
                <w:noProof/>
                <w:webHidden/>
              </w:rPr>
              <w:t>23</w:t>
            </w:r>
            <w:r w:rsidR="00A234D8">
              <w:rPr>
                <w:noProof/>
                <w:webHidden/>
              </w:rPr>
              <w:fldChar w:fldCharType="end"/>
            </w:r>
          </w:hyperlink>
        </w:p>
        <w:p w14:paraId="23B7A5A2" w14:textId="60DE158F" w:rsidR="00A234D8" w:rsidRDefault="007200A9">
          <w:pPr>
            <w:pStyle w:val="TOC3"/>
            <w:rPr>
              <w:rFonts w:asciiTheme="minorHAnsi" w:eastAsiaTheme="minorEastAsia" w:hAnsiTheme="minorHAnsi" w:cstheme="minorBidi"/>
              <w:noProof/>
              <w:sz w:val="22"/>
              <w:szCs w:val="22"/>
              <w:lang w:eastAsia="en-GB"/>
            </w:rPr>
          </w:pPr>
          <w:hyperlink w:anchor="_Toc14367842" w:history="1">
            <w:r w:rsidR="00A234D8" w:rsidRPr="00D203BE">
              <w:rPr>
                <w:rStyle w:val="Hyperlink"/>
                <w:noProof/>
              </w:rPr>
              <w:t>7.1</w:t>
            </w:r>
            <w:r w:rsidR="00A234D8">
              <w:rPr>
                <w:rFonts w:asciiTheme="minorHAnsi" w:eastAsiaTheme="minorEastAsia" w:hAnsiTheme="minorHAnsi" w:cstheme="minorBidi"/>
                <w:noProof/>
                <w:sz w:val="22"/>
                <w:szCs w:val="22"/>
                <w:lang w:eastAsia="en-GB"/>
              </w:rPr>
              <w:tab/>
            </w:r>
            <w:r w:rsidR="00A234D8" w:rsidRPr="00D203BE">
              <w:rPr>
                <w:rStyle w:val="Hyperlink"/>
                <w:noProof/>
              </w:rPr>
              <w:t>Pillars of data governance</w:t>
            </w:r>
            <w:r w:rsidR="00A234D8">
              <w:rPr>
                <w:noProof/>
                <w:webHidden/>
              </w:rPr>
              <w:tab/>
            </w:r>
            <w:r w:rsidR="00A234D8">
              <w:rPr>
                <w:noProof/>
                <w:webHidden/>
              </w:rPr>
              <w:fldChar w:fldCharType="begin"/>
            </w:r>
            <w:r w:rsidR="00A234D8">
              <w:rPr>
                <w:noProof/>
                <w:webHidden/>
              </w:rPr>
              <w:instrText xml:space="preserve"> PAGEREF _Toc14367842 \h </w:instrText>
            </w:r>
            <w:r w:rsidR="00A234D8">
              <w:rPr>
                <w:noProof/>
                <w:webHidden/>
              </w:rPr>
            </w:r>
            <w:r w:rsidR="00A234D8">
              <w:rPr>
                <w:noProof/>
                <w:webHidden/>
              </w:rPr>
              <w:fldChar w:fldCharType="separate"/>
            </w:r>
            <w:r w:rsidR="004946F7">
              <w:rPr>
                <w:noProof/>
                <w:webHidden/>
              </w:rPr>
              <w:t>23</w:t>
            </w:r>
            <w:r w:rsidR="00A234D8">
              <w:rPr>
                <w:noProof/>
                <w:webHidden/>
              </w:rPr>
              <w:fldChar w:fldCharType="end"/>
            </w:r>
          </w:hyperlink>
        </w:p>
        <w:p w14:paraId="5759FBF6" w14:textId="3F1BFB9F" w:rsidR="00A234D8" w:rsidRDefault="007200A9">
          <w:pPr>
            <w:pStyle w:val="TOC2"/>
            <w:rPr>
              <w:rFonts w:asciiTheme="minorHAnsi" w:eastAsiaTheme="minorEastAsia" w:hAnsiTheme="minorHAnsi" w:cstheme="minorBidi"/>
              <w:noProof/>
              <w:sz w:val="22"/>
              <w:szCs w:val="22"/>
              <w:lang w:eastAsia="en-GB"/>
            </w:rPr>
          </w:pPr>
          <w:hyperlink w:anchor="_Toc14367843" w:history="1">
            <w:r w:rsidR="00A234D8" w:rsidRPr="00D203BE">
              <w:rPr>
                <w:rStyle w:val="Hyperlink"/>
                <w:noProof/>
              </w:rPr>
              <w:t>7.2</w:t>
            </w:r>
            <w:r w:rsidR="00A234D8">
              <w:rPr>
                <w:rFonts w:asciiTheme="minorHAnsi" w:eastAsiaTheme="minorEastAsia" w:hAnsiTheme="minorHAnsi" w:cstheme="minorBidi"/>
                <w:noProof/>
                <w:sz w:val="22"/>
                <w:szCs w:val="22"/>
                <w:lang w:eastAsia="en-GB"/>
              </w:rPr>
              <w:tab/>
            </w:r>
            <w:r w:rsidR="00A234D8" w:rsidRPr="00D203BE">
              <w:rPr>
                <w:rStyle w:val="Hyperlink"/>
                <w:noProof/>
              </w:rPr>
              <w:t>Relationship between security, privacy and governance</w:t>
            </w:r>
            <w:r w:rsidR="00A234D8">
              <w:rPr>
                <w:noProof/>
                <w:webHidden/>
              </w:rPr>
              <w:tab/>
            </w:r>
            <w:r w:rsidR="00A234D8">
              <w:rPr>
                <w:noProof/>
                <w:webHidden/>
              </w:rPr>
              <w:fldChar w:fldCharType="begin"/>
            </w:r>
            <w:r w:rsidR="00A234D8">
              <w:rPr>
                <w:noProof/>
                <w:webHidden/>
              </w:rPr>
              <w:instrText xml:space="preserve"> PAGEREF _Toc14367843 \h </w:instrText>
            </w:r>
            <w:r w:rsidR="00A234D8">
              <w:rPr>
                <w:noProof/>
                <w:webHidden/>
              </w:rPr>
            </w:r>
            <w:r w:rsidR="00A234D8">
              <w:rPr>
                <w:noProof/>
                <w:webHidden/>
              </w:rPr>
              <w:fldChar w:fldCharType="separate"/>
            </w:r>
            <w:r w:rsidR="004946F7">
              <w:rPr>
                <w:noProof/>
                <w:webHidden/>
              </w:rPr>
              <w:t>24</w:t>
            </w:r>
            <w:r w:rsidR="00A234D8">
              <w:rPr>
                <w:noProof/>
                <w:webHidden/>
              </w:rPr>
              <w:fldChar w:fldCharType="end"/>
            </w:r>
          </w:hyperlink>
        </w:p>
        <w:p w14:paraId="3223EA7A" w14:textId="60DC6F1A" w:rsidR="00A234D8" w:rsidRDefault="007200A9">
          <w:pPr>
            <w:pStyle w:val="TOC2"/>
            <w:rPr>
              <w:rFonts w:asciiTheme="minorHAnsi" w:eastAsiaTheme="minorEastAsia" w:hAnsiTheme="minorHAnsi" w:cstheme="minorBidi"/>
              <w:noProof/>
              <w:sz w:val="22"/>
              <w:szCs w:val="22"/>
              <w:lang w:eastAsia="en-GB"/>
            </w:rPr>
          </w:pPr>
          <w:hyperlink w:anchor="_Toc14367844" w:history="1">
            <w:r w:rsidR="00A234D8" w:rsidRPr="00D203BE">
              <w:rPr>
                <w:rStyle w:val="Hyperlink"/>
                <w:noProof/>
              </w:rPr>
              <w:t>7.3</w:t>
            </w:r>
            <w:r w:rsidR="00A234D8">
              <w:rPr>
                <w:rFonts w:asciiTheme="minorHAnsi" w:eastAsiaTheme="minorEastAsia" w:hAnsiTheme="minorHAnsi" w:cstheme="minorBidi"/>
                <w:noProof/>
                <w:sz w:val="22"/>
                <w:szCs w:val="22"/>
                <w:lang w:eastAsia="en-GB"/>
              </w:rPr>
              <w:tab/>
            </w:r>
            <w:r w:rsidR="00A234D8" w:rsidRPr="00D203BE">
              <w:rPr>
                <w:rStyle w:val="Hyperlink"/>
                <w:noProof/>
              </w:rPr>
              <w:t>Impact of ecosystems on governance</w:t>
            </w:r>
            <w:r w:rsidR="00A234D8">
              <w:rPr>
                <w:noProof/>
                <w:webHidden/>
              </w:rPr>
              <w:tab/>
            </w:r>
            <w:r w:rsidR="00A234D8">
              <w:rPr>
                <w:noProof/>
                <w:webHidden/>
              </w:rPr>
              <w:fldChar w:fldCharType="begin"/>
            </w:r>
            <w:r w:rsidR="00A234D8">
              <w:rPr>
                <w:noProof/>
                <w:webHidden/>
              </w:rPr>
              <w:instrText xml:space="preserve"> PAGEREF _Toc14367844 \h </w:instrText>
            </w:r>
            <w:r w:rsidR="00A234D8">
              <w:rPr>
                <w:noProof/>
                <w:webHidden/>
              </w:rPr>
            </w:r>
            <w:r w:rsidR="00A234D8">
              <w:rPr>
                <w:noProof/>
                <w:webHidden/>
              </w:rPr>
              <w:fldChar w:fldCharType="separate"/>
            </w:r>
            <w:r w:rsidR="004946F7">
              <w:rPr>
                <w:noProof/>
                <w:webHidden/>
              </w:rPr>
              <w:t>26</w:t>
            </w:r>
            <w:r w:rsidR="00A234D8">
              <w:rPr>
                <w:noProof/>
                <w:webHidden/>
              </w:rPr>
              <w:fldChar w:fldCharType="end"/>
            </w:r>
          </w:hyperlink>
        </w:p>
        <w:p w14:paraId="26E7298E" w14:textId="0B506C61" w:rsidR="00A234D8" w:rsidRDefault="007200A9">
          <w:pPr>
            <w:pStyle w:val="TOC2"/>
            <w:rPr>
              <w:rFonts w:asciiTheme="minorHAnsi" w:eastAsiaTheme="minorEastAsia" w:hAnsiTheme="minorHAnsi" w:cstheme="minorBidi"/>
              <w:noProof/>
              <w:sz w:val="22"/>
              <w:szCs w:val="22"/>
              <w:lang w:eastAsia="en-GB"/>
            </w:rPr>
          </w:pPr>
          <w:hyperlink w:anchor="_Toc14367845" w:history="1">
            <w:r w:rsidR="00A234D8" w:rsidRPr="00D203BE">
              <w:rPr>
                <w:rStyle w:val="Hyperlink"/>
                <w:noProof/>
              </w:rPr>
              <w:t>7.4</w:t>
            </w:r>
            <w:r w:rsidR="00A234D8">
              <w:rPr>
                <w:rFonts w:asciiTheme="minorHAnsi" w:eastAsiaTheme="minorEastAsia" w:hAnsiTheme="minorHAnsi" w:cstheme="minorBidi"/>
                <w:noProof/>
                <w:sz w:val="22"/>
                <w:szCs w:val="22"/>
                <w:lang w:eastAsia="en-GB"/>
              </w:rPr>
              <w:tab/>
            </w:r>
            <w:r w:rsidR="00A234D8" w:rsidRPr="00D203BE">
              <w:rPr>
                <w:rStyle w:val="Hyperlink"/>
                <w:noProof/>
                <w:lang w:val="en-US"/>
              </w:rPr>
              <w:t>Governance enablers</w:t>
            </w:r>
            <w:r w:rsidR="00A234D8">
              <w:rPr>
                <w:noProof/>
                <w:webHidden/>
              </w:rPr>
              <w:tab/>
            </w:r>
            <w:r w:rsidR="00A234D8">
              <w:rPr>
                <w:noProof/>
                <w:webHidden/>
              </w:rPr>
              <w:fldChar w:fldCharType="begin"/>
            </w:r>
            <w:r w:rsidR="00A234D8">
              <w:rPr>
                <w:noProof/>
                <w:webHidden/>
              </w:rPr>
              <w:instrText xml:space="preserve"> PAGEREF _Toc14367845 \h </w:instrText>
            </w:r>
            <w:r w:rsidR="00A234D8">
              <w:rPr>
                <w:noProof/>
                <w:webHidden/>
              </w:rPr>
            </w:r>
            <w:r w:rsidR="00A234D8">
              <w:rPr>
                <w:noProof/>
                <w:webHidden/>
              </w:rPr>
              <w:fldChar w:fldCharType="separate"/>
            </w:r>
            <w:r w:rsidR="004946F7">
              <w:rPr>
                <w:noProof/>
                <w:webHidden/>
              </w:rPr>
              <w:t>29</w:t>
            </w:r>
            <w:r w:rsidR="00A234D8">
              <w:rPr>
                <w:noProof/>
                <w:webHidden/>
              </w:rPr>
              <w:fldChar w:fldCharType="end"/>
            </w:r>
          </w:hyperlink>
        </w:p>
        <w:p w14:paraId="761C7675" w14:textId="77777777" w:rsidR="00ED776D" w:rsidRDefault="00ED776D" w:rsidP="00AA662C">
          <w:pPr>
            <w:rPr>
              <w:b/>
              <w:bCs/>
              <w:noProof/>
            </w:rPr>
          </w:pPr>
        </w:p>
        <w:p w14:paraId="579D8337" w14:textId="601A903E" w:rsidR="00AA662C" w:rsidRPr="006972C7" w:rsidRDefault="00F73356" w:rsidP="00AA662C">
          <w:pPr>
            <w:sectPr w:rsidR="00AA662C" w:rsidRPr="006972C7" w:rsidSect="00ED776D">
              <w:pgSz w:w="11907" w:h="16840" w:code="9"/>
              <w:pgMar w:top="1134" w:right="1418" w:bottom="1134" w:left="1418" w:header="720" w:footer="720" w:gutter="0"/>
              <w:cols w:space="720"/>
              <w:docGrid w:linePitch="326"/>
            </w:sectPr>
          </w:pPr>
          <w:r>
            <w:rPr>
              <w:b/>
              <w:bCs/>
              <w:noProof/>
            </w:rPr>
            <w:fldChar w:fldCharType="end"/>
          </w:r>
        </w:p>
      </w:sdtContent>
    </w:sdt>
    <w:p w14:paraId="109C83C7" w14:textId="3A35F010" w:rsidR="006972C7" w:rsidRDefault="006972C7" w:rsidP="006972C7">
      <w:pPr>
        <w:pStyle w:val="Reptitle"/>
        <w:jc w:val="left"/>
        <w:rPr>
          <w:bCs/>
          <w:lang w:val="en-IN" w:eastAsia="ja-JP"/>
        </w:rPr>
      </w:pPr>
      <w:r>
        <w:rPr>
          <w:bCs/>
          <w:lang w:val="en-IN" w:eastAsia="ja-JP"/>
        </w:rPr>
        <w:lastRenderedPageBreak/>
        <w:t>Technical Report D4.1</w:t>
      </w:r>
    </w:p>
    <w:p w14:paraId="50BFC200" w14:textId="49A66C7B" w:rsidR="00AA662C" w:rsidRPr="00F06651" w:rsidRDefault="00B849B7" w:rsidP="00137D4C">
      <w:pPr>
        <w:pStyle w:val="Reptitle"/>
        <w:rPr>
          <w:lang w:eastAsia="ko-KR"/>
        </w:rPr>
      </w:pPr>
      <w:r w:rsidRPr="00B849B7">
        <w:rPr>
          <w:bCs/>
          <w:lang w:val="en-IN" w:eastAsia="ja-JP"/>
        </w:rPr>
        <w:t>Framework for security, privacy</w:t>
      </w:r>
      <w:r w:rsidR="00797756">
        <w:rPr>
          <w:bCs/>
          <w:lang w:val="en-IN" w:eastAsia="ja-JP"/>
        </w:rPr>
        <w:t>, risk</w:t>
      </w:r>
      <w:r w:rsidRPr="00B849B7">
        <w:rPr>
          <w:bCs/>
          <w:lang w:val="en-IN" w:eastAsia="ja-JP"/>
        </w:rPr>
        <w:t xml:space="preserve"> and governance in data processing and management</w:t>
      </w:r>
    </w:p>
    <w:p w14:paraId="333F045C" w14:textId="54A2BEC8" w:rsidR="0061423E" w:rsidRPr="003C24F4" w:rsidRDefault="0061423E" w:rsidP="00A957D5">
      <w:pPr>
        <w:pStyle w:val="Heading1"/>
        <w:keepLines w:val="0"/>
        <w:numPr>
          <w:ilvl w:val="0"/>
          <w:numId w:val="13"/>
        </w:numPr>
        <w:overflowPunct/>
        <w:autoSpaceDE/>
        <w:autoSpaceDN/>
        <w:adjustRightInd/>
        <w:spacing w:before="240" w:after="60"/>
        <w:textAlignment w:val="auto"/>
        <w:rPr>
          <w:szCs w:val="24"/>
          <w:lang w:bidi="ar-DZ"/>
        </w:rPr>
      </w:pPr>
      <w:bookmarkStart w:id="16" w:name="_Toc401158818"/>
      <w:bookmarkStart w:id="17" w:name="_Toc401159823"/>
      <w:bookmarkStart w:id="18" w:name="_Toc527647388"/>
      <w:bookmarkStart w:id="19" w:name="_Toc14367819"/>
      <w:r w:rsidRPr="003C24F4">
        <w:rPr>
          <w:szCs w:val="24"/>
          <w:lang w:bidi="ar-DZ"/>
        </w:rPr>
        <w:t>Scope</w:t>
      </w:r>
      <w:bookmarkEnd w:id="16"/>
      <w:bookmarkEnd w:id="17"/>
      <w:bookmarkEnd w:id="18"/>
      <w:bookmarkEnd w:id="19"/>
    </w:p>
    <w:p w14:paraId="7232B6DB" w14:textId="6345D216" w:rsidR="00797756" w:rsidRPr="003C24F4" w:rsidRDefault="00797756" w:rsidP="003C24F4">
      <w:pPr>
        <w:jc w:val="both"/>
        <w:rPr>
          <w:color w:val="000000"/>
        </w:rPr>
      </w:pPr>
      <w:bookmarkStart w:id="20" w:name="_Toc401158819"/>
      <w:bookmarkStart w:id="21" w:name="_Toc401159824"/>
      <w:bookmarkStart w:id="22" w:name="_Toc527647389"/>
      <w:r w:rsidRPr="003C24F4">
        <w:rPr>
          <w:color w:val="000000"/>
        </w:rPr>
        <w:t xml:space="preserve">Recognising the heterogeneity of actors, interests, applications and dynamics within, and the rapid evolution of, the </w:t>
      </w:r>
      <w:r w:rsidR="00335C2E" w:rsidRPr="003C24F4">
        <w:rPr>
          <w:color w:val="000000"/>
        </w:rPr>
        <w:t xml:space="preserve">data processing and management </w:t>
      </w:r>
      <w:r w:rsidRPr="003C24F4">
        <w:rPr>
          <w:color w:val="000000"/>
        </w:rPr>
        <w:t xml:space="preserve">for </w:t>
      </w:r>
      <w:r w:rsidR="00335C2E" w:rsidRPr="003C24F4">
        <w:rPr>
          <w:color w:val="000000"/>
        </w:rPr>
        <w:t>smart cities and communities</w:t>
      </w:r>
      <w:r w:rsidRPr="003C24F4">
        <w:rPr>
          <w:color w:val="000000"/>
        </w:rPr>
        <w:t xml:space="preserve"> ecosystem, this technical report: </w:t>
      </w:r>
    </w:p>
    <w:p w14:paraId="1E9DF2D6" w14:textId="530B55DD" w:rsidR="00797756" w:rsidRPr="003C24F4" w:rsidRDefault="00797756" w:rsidP="003C24F4">
      <w:pPr>
        <w:pStyle w:val="ListParagraph"/>
        <w:numPr>
          <w:ilvl w:val="0"/>
          <w:numId w:val="1"/>
        </w:numPr>
        <w:spacing w:after="0"/>
        <w:ind w:left="357" w:hanging="357"/>
        <w:jc w:val="left"/>
        <w:rPr>
          <w:rFonts w:ascii="Times New Roman" w:eastAsia="Times New Roman" w:hAnsi="Times New Roman" w:cs="Times New Roman"/>
          <w:color w:val="000000"/>
          <w:sz w:val="24"/>
          <w:szCs w:val="24"/>
          <w:lang w:eastAsia="en-GB"/>
        </w:rPr>
      </w:pPr>
      <w:r w:rsidRPr="003C24F4">
        <w:rPr>
          <w:rFonts w:ascii="Times New Roman" w:eastAsia="Times New Roman" w:hAnsi="Times New Roman" w:cs="Times New Roman"/>
          <w:color w:val="000000"/>
          <w:sz w:val="24"/>
          <w:szCs w:val="24"/>
          <w:lang w:eastAsia="en-GB"/>
        </w:rPr>
        <w:t>explains concerns for security and privacy for data processing and management in IoT and Smart Cities and Communities, </w:t>
      </w:r>
    </w:p>
    <w:p w14:paraId="2C79B836" w14:textId="5AB1034B" w:rsidR="00797756" w:rsidRPr="003C24F4" w:rsidRDefault="00797756" w:rsidP="00797756">
      <w:pPr>
        <w:pStyle w:val="ListParagraph"/>
        <w:numPr>
          <w:ilvl w:val="0"/>
          <w:numId w:val="1"/>
        </w:numPr>
        <w:spacing w:before="100" w:beforeAutospacing="1" w:after="100" w:afterAutospacing="1"/>
        <w:jc w:val="left"/>
        <w:rPr>
          <w:rFonts w:ascii="Times New Roman" w:eastAsia="Times New Roman" w:hAnsi="Times New Roman" w:cs="Times New Roman"/>
          <w:color w:val="000000"/>
          <w:sz w:val="24"/>
          <w:szCs w:val="24"/>
          <w:lang w:eastAsia="en-GB"/>
        </w:rPr>
      </w:pPr>
      <w:r w:rsidRPr="003C24F4">
        <w:rPr>
          <w:rFonts w:ascii="Times New Roman" w:eastAsia="Times New Roman" w:hAnsi="Times New Roman" w:cs="Times New Roman"/>
          <w:color w:val="000000"/>
          <w:sz w:val="24"/>
          <w:szCs w:val="24"/>
          <w:lang w:eastAsia="en-GB"/>
        </w:rPr>
        <w:t>describes the multi-dimensional viewpoint for security and privacy in data processing and management, and their impact on processes applied by IoT and Smart Cities and Communities stakeholders</w:t>
      </w:r>
    </w:p>
    <w:p w14:paraId="549CB97F" w14:textId="53D830A2" w:rsidR="00797756" w:rsidRPr="003C24F4" w:rsidRDefault="00797756" w:rsidP="00797756">
      <w:pPr>
        <w:pStyle w:val="ListParagraph"/>
        <w:numPr>
          <w:ilvl w:val="0"/>
          <w:numId w:val="1"/>
        </w:numPr>
        <w:spacing w:before="100" w:beforeAutospacing="1" w:after="100" w:afterAutospacing="1"/>
        <w:jc w:val="left"/>
        <w:rPr>
          <w:rFonts w:ascii="Times New Roman" w:eastAsia="Times New Roman" w:hAnsi="Times New Roman" w:cs="Times New Roman"/>
          <w:color w:val="000000"/>
          <w:sz w:val="24"/>
          <w:szCs w:val="24"/>
          <w:lang w:eastAsia="en-GB"/>
        </w:rPr>
      </w:pPr>
      <w:r w:rsidRPr="003C24F4">
        <w:rPr>
          <w:rFonts w:ascii="Times New Roman" w:eastAsia="Times New Roman" w:hAnsi="Times New Roman" w:cs="Times New Roman"/>
          <w:color w:val="000000"/>
          <w:sz w:val="24"/>
          <w:szCs w:val="24"/>
          <w:lang w:eastAsia="en-GB"/>
        </w:rPr>
        <w:t>describe</w:t>
      </w:r>
      <w:r w:rsidR="003C24F4">
        <w:rPr>
          <w:rFonts w:ascii="Times New Roman" w:eastAsia="Times New Roman" w:hAnsi="Times New Roman" w:cs="Times New Roman"/>
          <w:color w:val="000000"/>
          <w:sz w:val="24"/>
          <w:szCs w:val="24"/>
          <w:lang w:eastAsia="en-GB"/>
        </w:rPr>
        <w:t>s</w:t>
      </w:r>
      <w:r w:rsidRPr="003C24F4">
        <w:rPr>
          <w:rFonts w:ascii="Times New Roman" w:eastAsia="Times New Roman" w:hAnsi="Times New Roman" w:cs="Times New Roman"/>
          <w:color w:val="000000"/>
          <w:sz w:val="24"/>
          <w:szCs w:val="24"/>
          <w:lang w:eastAsia="en-GB"/>
        </w:rPr>
        <w:t xml:space="preserve"> the risk management processes for data processing and management in IoT and Smart Cities and Communities</w:t>
      </w:r>
      <w:r w:rsidR="00335C2E" w:rsidRPr="003C24F4">
        <w:rPr>
          <w:rFonts w:ascii="Times New Roman" w:eastAsia="Times New Roman" w:hAnsi="Times New Roman" w:cs="Times New Roman"/>
          <w:color w:val="000000"/>
          <w:sz w:val="24"/>
          <w:szCs w:val="24"/>
          <w:lang w:eastAsia="en-GB"/>
        </w:rPr>
        <w:t>, and </w:t>
      </w:r>
      <w:r w:rsidRPr="003C24F4">
        <w:rPr>
          <w:rFonts w:ascii="Times New Roman" w:eastAsia="Times New Roman" w:hAnsi="Times New Roman" w:cs="Times New Roman"/>
          <w:color w:val="000000"/>
          <w:sz w:val="24"/>
          <w:szCs w:val="24"/>
          <w:lang w:eastAsia="en-GB"/>
        </w:rPr>
        <w:t> </w:t>
      </w:r>
    </w:p>
    <w:p w14:paraId="19DB1E47" w14:textId="3BB00484" w:rsidR="00797756" w:rsidRDefault="00797756" w:rsidP="001039C5">
      <w:pPr>
        <w:pStyle w:val="ListParagraph"/>
        <w:numPr>
          <w:ilvl w:val="0"/>
          <w:numId w:val="1"/>
        </w:numPr>
        <w:spacing w:before="100" w:beforeAutospacing="1" w:after="100" w:afterAutospacing="1"/>
        <w:jc w:val="left"/>
        <w:rPr>
          <w:rFonts w:ascii="Times New Roman" w:eastAsia="Times New Roman" w:hAnsi="Times New Roman" w:cs="Times New Roman"/>
          <w:color w:val="000000"/>
          <w:sz w:val="24"/>
          <w:szCs w:val="24"/>
          <w:lang w:eastAsia="en-GB"/>
        </w:rPr>
      </w:pPr>
      <w:r w:rsidRPr="003C24F4">
        <w:rPr>
          <w:rFonts w:ascii="Times New Roman" w:eastAsia="Times New Roman" w:hAnsi="Times New Roman" w:cs="Times New Roman"/>
          <w:color w:val="000000"/>
          <w:sz w:val="24"/>
          <w:szCs w:val="24"/>
          <w:lang w:eastAsia="en-GB"/>
        </w:rPr>
        <w:t>describes a governance framework for data processing and management,</w:t>
      </w:r>
    </w:p>
    <w:p w14:paraId="6AAA012F" w14:textId="77777777" w:rsidR="002D3380" w:rsidRPr="002D3380" w:rsidRDefault="002D3380" w:rsidP="002D3380">
      <w:pPr>
        <w:rPr>
          <w:bCs/>
          <w:lang w:val="en-IN" w:eastAsia="zh-CN"/>
        </w:rPr>
      </w:pPr>
    </w:p>
    <w:p w14:paraId="251F65A1" w14:textId="4BF75883" w:rsidR="0061423E" w:rsidRPr="00467172" w:rsidRDefault="0061423E" w:rsidP="00A957D5">
      <w:pPr>
        <w:pStyle w:val="Heading1"/>
        <w:keepLines w:val="0"/>
        <w:numPr>
          <w:ilvl w:val="0"/>
          <w:numId w:val="13"/>
        </w:numPr>
        <w:overflowPunct/>
        <w:autoSpaceDE/>
        <w:autoSpaceDN/>
        <w:adjustRightInd/>
        <w:spacing w:before="240" w:after="60"/>
        <w:textAlignment w:val="auto"/>
        <w:rPr>
          <w:lang w:bidi="ar-DZ"/>
        </w:rPr>
      </w:pPr>
      <w:bookmarkStart w:id="23" w:name="_Toc14367820"/>
      <w:r w:rsidRPr="00467172">
        <w:rPr>
          <w:lang w:bidi="ar-DZ"/>
        </w:rPr>
        <w:t>References</w:t>
      </w:r>
      <w:bookmarkEnd w:id="20"/>
      <w:bookmarkEnd w:id="21"/>
      <w:bookmarkEnd w:id="22"/>
      <w:bookmarkEnd w:id="23"/>
    </w:p>
    <w:p w14:paraId="087E869F" w14:textId="601BC964" w:rsidR="00A772E6" w:rsidRPr="00A772E6" w:rsidRDefault="00A772E6" w:rsidP="00131514">
      <w:pPr>
        <w:ind w:left="2880" w:hanging="2880"/>
      </w:pPr>
      <w:r w:rsidRPr="00A772E6">
        <w:rPr>
          <w:color w:val="000000"/>
        </w:rPr>
        <w:t xml:space="preserve">[FG-DPM TS D0.1] </w:t>
      </w:r>
      <w:r>
        <w:rPr>
          <w:color w:val="000000"/>
        </w:rPr>
        <w:tab/>
      </w:r>
      <w:r w:rsidRPr="00A772E6">
        <w:rPr>
          <w:color w:val="000000"/>
        </w:rPr>
        <w:t>Draft Technical Specifications D0.1 “Data Processing and Management for IoT and Smart Cities and Communities: Vocabulary”.</w:t>
      </w:r>
    </w:p>
    <w:p w14:paraId="520131CC" w14:textId="40C83826" w:rsidR="001039C5" w:rsidRPr="007E5AC7" w:rsidRDefault="00131514" w:rsidP="007E5AC7">
      <w:pPr>
        <w:ind w:left="2880" w:hanging="2880"/>
        <w:rPr>
          <w:color w:val="000000"/>
        </w:rPr>
      </w:pPr>
      <w:r w:rsidRPr="007E5AC7">
        <w:rPr>
          <w:color w:val="000000"/>
        </w:rPr>
        <w:t>[</w:t>
      </w:r>
      <w:r w:rsidR="001039C5" w:rsidRPr="007E5AC7">
        <w:rPr>
          <w:color w:val="000000"/>
        </w:rPr>
        <w:t>IEC Guide 120</w:t>
      </w:r>
      <w:r w:rsidRPr="007E5AC7">
        <w:rPr>
          <w:color w:val="000000"/>
        </w:rPr>
        <w:t xml:space="preserve">: </w:t>
      </w:r>
      <w:r w:rsidR="001039C5" w:rsidRPr="007E5AC7">
        <w:rPr>
          <w:color w:val="000000"/>
        </w:rPr>
        <w:t>2018</w:t>
      </w:r>
      <w:r w:rsidRPr="007E5AC7">
        <w:rPr>
          <w:color w:val="000000"/>
        </w:rPr>
        <w:t>]</w:t>
      </w:r>
      <w:r w:rsidRPr="007E5AC7">
        <w:rPr>
          <w:color w:val="000000"/>
        </w:rPr>
        <w:tab/>
        <w:t>Security aspects - Guidelines for their inclusion in publications</w:t>
      </w:r>
    </w:p>
    <w:p w14:paraId="2AA09B0D" w14:textId="02CECEC1" w:rsidR="001039C5" w:rsidRPr="00693286" w:rsidRDefault="00131514" w:rsidP="00693286">
      <w:r w:rsidRPr="00693286">
        <w:t>[</w:t>
      </w:r>
      <w:r w:rsidR="001039C5" w:rsidRPr="00693286">
        <w:t>ISO 16091</w:t>
      </w:r>
      <w:r w:rsidRPr="00693286">
        <w:t>]</w:t>
      </w:r>
      <w:r w:rsidRPr="00693286">
        <w:tab/>
      </w:r>
      <w:r w:rsidRPr="00693286">
        <w:tab/>
      </w:r>
      <w:r w:rsidRPr="00693286">
        <w:tab/>
        <w:t>Space systems -- Integrated logistic support</w:t>
      </w:r>
    </w:p>
    <w:p w14:paraId="29935A21" w14:textId="089D030F" w:rsidR="00131514" w:rsidRPr="00455822" w:rsidRDefault="00455822" w:rsidP="00131514">
      <w:pPr>
        <w:rPr>
          <w:bCs/>
        </w:rPr>
      </w:pPr>
      <w:r w:rsidRPr="00455822">
        <w:rPr>
          <w:rFonts w:eastAsia="Malgun Gothic"/>
          <w:bCs/>
          <w:szCs w:val="20"/>
          <w:lang w:val="en-GB" w:eastAsia="en-US"/>
        </w:rPr>
        <w:t>[ISO 29100]</w:t>
      </w:r>
      <w:r>
        <w:rPr>
          <w:rFonts w:eastAsia="Malgun Gothic"/>
          <w:bCs/>
          <w:szCs w:val="20"/>
          <w:lang w:val="en-GB" w:eastAsia="en-US"/>
        </w:rPr>
        <w:tab/>
      </w:r>
      <w:r>
        <w:rPr>
          <w:rFonts w:eastAsia="Malgun Gothic"/>
          <w:bCs/>
          <w:szCs w:val="20"/>
          <w:lang w:val="en-GB" w:eastAsia="en-US"/>
        </w:rPr>
        <w:tab/>
      </w:r>
      <w:r>
        <w:rPr>
          <w:rFonts w:eastAsia="Malgun Gothic"/>
          <w:bCs/>
          <w:szCs w:val="20"/>
          <w:lang w:val="en-GB" w:eastAsia="en-US"/>
        </w:rPr>
        <w:tab/>
        <w:t>Information technology-Security techniques-privacy framework</w:t>
      </w:r>
      <w:r>
        <w:rPr>
          <w:rFonts w:ascii="Arial" w:hAnsi="Arial" w:cs="Arial"/>
          <w:color w:val="545454"/>
          <w:shd w:val="clear" w:color="auto" w:fill="FFFFFF"/>
        </w:rPr>
        <w:t> </w:t>
      </w:r>
    </w:p>
    <w:p w14:paraId="3E2B98D8" w14:textId="583DB72E" w:rsidR="00131514" w:rsidRDefault="00455822" w:rsidP="001039C5">
      <w:r>
        <w:t>[</w:t>
      </w:r>
      <w:r w:rsidR="00131514">
        <w:t>ISO 31000</w:t>
      </w:r>
      <w:r>
        <w:t>]</w:t>
      </w:r>
      <w:r>
        <w:tab/>
      </w:r>
      <w:r>
        <w:tab/>
      </w:r>
      <w:r>
        <w:tab/>
        <w:t>Risk management</w:t>
      </w:r>
    </w:p>
    <w:p w14:paraId="7A0724F7" w14:textId="44D1BCB3" w:rsidR="001039C5" w:rsidRDefault="00455822" w:rsidP="001039C5">
      <w:r>
        <w:t>[</w:t>
      </w:r>
      <w:r w:rsidR="001039C5">
        <w:t>ISO/IEC 20547-3</w:t>
      </w:r>
      <w:r>
        <w:t>]</w:t>
      </w:r>
      <w:r w:rsidR="001039C5">
        <w:t xml:space="preserve"> </w:t>
      </w:r>
      <w:r>
        <w:tab/>
      </w:r>
      <w:r>
        <w:tab/>
      </w:r>
      <w:r w:rsidR="001039C5">
        <w:t>Big data Reference Architecture</w:t>
      </w:r>
    </w:p>
    <w:p w14:paraId="51A4472B" w14:textId="5AFFBBE3" w:rsidR="002D3380" w:rsidRPr="00455822" w:rsidRDefault="00455822" w:rsidP="00455822">
      <w:pPr>
        <w:ind w:left="2880" w:hanging="2880"/>
      </w:pPr>
      <w:r w:rsidRPr="00455822">
        <w:t>[</w:t>
      </w:r>
      <w:r w:rsidR="002D3380" w:rsidRPr="00455822">
        <w:t>ISO/IEC 27000</w:t>
      </w:r>
      <w:r w:rsidRPr="00455822">
        <w:t>]</w:t>
      </w:r>
      <w:r w:rsidR="002D3380" w:rsidRPr="00455822">
        <w:t xml:space="preserve"> </w:t>
      </w:r>
      <w:r w:rsidRPr="00455822">
        <w:tab/>
      </w:r>
      <w:r w:rsidR="002D3380" w:rsidRPr="00455822">
        <w:t>Information security management systems — Overview and vocabulary</w:t>
      </w:r>
    </w:p>
    <w:p w14:paraId="15F414A4" w14:textId="5B90A0F8" w:rsidR="00131514" w:rsidRDefault="005D72E9" w:rsidP="002D3380">
      <w:r>
        <w:t>[</w:t>
      </w:r>
      <w:r w:rsidR="00131514" w:rsidRPr="00BF4245">
        <w:t>ISO/IEC 27001</w:t>
      </w:r>
      <w:r>
        <w:t>]</w:t>
      </w:r>
      <w:r w:rsidR="00131514" w:rsidRPr="00BF4245">
        <w:t xml:space="preserve"> </w:t>
      </w:r>
      <w:r w:rsidR="00455822">
        <w:tab/>
      </w:r>
      <w:r w:rsidR="00455822">
        <w:tab/>
        <w:t>Information security management</w:t>
      </w:r>
    </w:p>
    <w:p w14:paraId="2E1999DC" w14:textId="3E31EB2E" w:rsidR="005D72E9" w:rsidRPr="005D72E9" w:rsidRDefault="00455822" w:rsidP="00131514">
      <w:r w:rsidRPr="005D72E9">
        <w:t>[</w:t>
      </w:r>
      <w:r w:rsidR="00131514" w:rsidRPr="005D72E9">
        <w:t>ISO/IEC 27002</w:t>
      </w:r>
      <w:r w:rsidRPr="005D72E9">
        <w:t>]</w:t>
      </w:r>
      <w:r w:rsidR="00131514" w:rsidRPr="005D72E9">
        <w:t xml:space="preserve"> </w:t>
      </w:r>
      <w:r w:rsidRPr="005D72E9">
        <w:tab/>
      </w:r>
      <w:r w:rsidRPr="005D72E9">
        <w:tab/>
      </w:r>
      <w:r w:rsidR="00131514" w:rsidRPr="005D72E9">
        <w:t>Code of practice for information security controls</w:t>
      </w:r>
    </w:p>
    <w:p w14:paraId="7775FB6D" w14:textId="5A49A3DE" w:rsidR="005D72E9" w:rsidRPr="005D72E9" w:rsidRDefault="005D72E9" w:rsidP="002D3380">
      <w:r w:rsidRPr="005D72E9">
        <w:t>[</w:t>
      </w:r>
      <w:r w:rsidR="00131514">
        <w:t>ISO/IEC 27005</w:t>
      </w:r>
      <w:r>
        <w:t xml:space="preserve">] </w:t>
      </w:r>
      <w:r>
        <w:tab/>
      </w:r>
      <w:r>
        <w:tab/>
        <w:t>Information Security Risk Management</w:t>
      </w:r>
    </w:p>
    <w:p w14:paraId="512BEBED" w14:textId="21F0401C" w:rsidR="005D72E9" w:rsidRDefault="005D72E9" w:rsidP="005D72E9">
      <w:pPr>
        <w:ind w:left="2880" w:hanging="2880"/>
      </w:pPr>
      <w:r>
        <w:t>[</w:t>
      </w:r>
      <w:r w:rsidR="00131514" w:rsidRPr="00BF4245">
        <w:t>ISO/IEC 27552</w:t>
      </w:r>
      <w:r>
        <w:t>]</w:t>
      </w:r>
      <w:r>
        <w:tab/>
        <w:t>Extension to ISO/IEC 27001 and ISO/IEC 27002 for privacy information management – Requirements and guidelines</w:t>
      </w:r>
    </w:p>
    <w:p w14:paraId="73C2B715" w14:textId="4814E3E3" w:rsidR="001039C5" w:rsidRDefault="005D72E9" w:rsidP="005D72E9">
      <w:pPr>
        <w:ind w:left="2880" w:hanging="2880"/>
      </w:pPr>
      <w:r w:rsidRPr="005D72E9">
        <w:t>[</w:t>
      </w:r>
      <w:r w:rsidR="002D3380" w:rsidRPr="005D72E9">
        <w:t>ISO/IEC 29100</w:t>
      </w:r>
      <w:r w:rsidRPr="005D72E9">
        <w:t>]</w:t>
      </w:r>
      <w:r w:rsidR="002D3380" w:rsidRPr="005D72E9">
        <w:t xml:space="preserve"> </w:t>
      </w:r>
      <w:r w:rsidRPr="005D72E9">
        <w:tab/>
        <w:t>P</w:t>
      </w:r>
      <w:r w:rsidR="002D3380" w:rsidRPr="005D72E9">
        <w:t>rivacy framework</w:t>
      </w:r>
    </w:p>
    <w:p w14:paraId="60B67846" w14:textId="4B7F364A" w:rsidR="001039C5" w:rsidRDefault="005D72E9" w:rsidP="001039C5">
      <w:r>
        <w:t>[</w:t>
      </w:r>
      <w:r w:rsidR="001039C5">
        <w:t>ISO/IEC 30141</w:t>
      </w:r>
      <w:r>
        <w:t>]</w:t>
      </w:r>
      <w:r w:rsidR="001039C5">
        <w:t xml:space="preserve"> </w:t>
      </w:r>
      <w:r>
        <w:tab/>
      </w:r>
      <w:r>
        <w:tab/>
      </w:r>
      <w:r w:rsidR="001039C5">
        <w:t>IoT Reference Architecture</w:t>
      </w:r>
    </w:p>
    <w:p w14:paraId="573A5E6F" w14:textId="4A0AD1C7" w:rsidR="001039C5" w:rsidRDefault="005D72E9" w:rsidP="001039C5">
      <w:r>
        <w:t>[</w:t>
      </w:r>
      <w:r w:rsidR="001039C5">
        <w:t xml:space="preserve">ISO/IEC </w:t>
      </w:r>
      <w:r w:rsidR="001039C5" w:rsidRPr="005A2A60">
        <w:t>30145-1</w:t>
      </w:r>
      <w:r>
        <w:t>]</w:t>
      </w:r>
      <w:r w:rsidR="001039C5">
        <w:t xml:space="preserve"> </w:t>
      </w:r>
      <w:r>
        <w:tab/>
      </w:r>
      <w:r>
        <w:tab/>
      </w:r>
      <w:r w:rsidR="001039C5" w:rsidRPr="005A2A60">
        <w:t xml:space="preserve">Smart City ICT </w:t>
      </w:r>
      <w:r w:rsidR="001039C5">
        <w:t>R</w:t>
      </w:r>
      <w:r w:rsidR="001039C5" w:rsidRPr="005A2A60">
        <w:t>eference Framework: Smart City Business</w:t>
      </w:r>
    </w:p>
    <w:p w14:paraId="5192DBAF" w14:textId="55B9B100" w:rsidR="005D72E9" w:rsidRDefault="005D72E9" w:rsidP="00436FA1">
      <w:pPr>
        <w:ind w:left="2880" w:hanging="2880"/>
      </w:pPr>
      <w:r>
        <w:t>[</w:t>
      </w:r>
      <w:r w:rsidR="00131514">
        <w:t>ISO/IEC 30182: 2017</w:t>
      </w:r>
      <w:r>
        <w:t>]</w:t>
      </w:r>
      <w:r>
        <w:tab/>
        <w:t>Smart city concept model – Guidance for establishing a model for data interoperability</w:t>
      </w:r>
      <w:r>
        <w:tab/>
      </w:r>
    </w:p>
    <w:p w14:paraId="7ED52FA1" w14:textId="455FE808" w:rsidR="002D3380" w:rsidRDefault="00455822" w:rsidP="001039C5">
      <w:r>
        <w:t>[ISO/IEC AWI 30145-1]</w:t>
      </w:r>
      <w:r>
        <w:tab/>
      </w:r>
      <w:r w:rsidRPr="00455822">
        <w:rPr>
          <w:rFonts w:eastAsia="Malgun Gothic"/>
          <w:bCs/>
          <w:szCs w:val="20"/>
          <w:lang w:val="en-GB" w:eastAsia="en-US"/>
        </w:rPr>
        <w:t>Information technology -- Smart City ICT reference framework</w:t>
      </w:r>
    </w:p>
    <w:p w14:paraId="015B5C25" w14:textId="47C400CF" w:rsidR="001039C5" w:rsidRDefault="00611EEC" w:rsidP="001039C5">
      <w:r>
        <w:t>[</w:t>
      </w:r>
      <w:r w:rsidR="001039C5" w:rsidRPr="00B734F8">
        <w:t>ISO/Guide 73:2009</w:t>
      </w:r>
      <w:r>
        <w:t>]</w:t>
      </w:r>
      <w:r w:rsidR="001039C5" w:rsidRPr="00B734F8">
        <w:t xml:space="preserve"> </w:t>
      </w:r>
      <w:r>
        <w:tab/>
      </w:r>
      <w:r>
        <w:tab/>
      </w:r>
      <w:r w:rsidR="001039C5" w:rsidRPr="00B734F8">
        <w:t>Risk management — Vocabulary</w:t>
      </w:r>
    </w:p>
    <w:p w14:paraId="4C61ADFB" w14:textId="0E143F96" w:rsidR="00131514" w:rsidRPr="00611EEC" w:rsidRDefault="00611EEC" w:rsidP="00131514">
      <w:r w:rsidRPr="00611EEC">
        <w:t>[</w:t>
      </w:r>
      <w:r w:rsidR="00131514" w:rsidRPr="00611EEC">
        <w:t>ISO/IEC/IEEE 15288</w:t>
      </w:r>
      <w:r w:rsidRPr="00611EEC">
        <w:t>]</w:t>
      </w:r>
      <w:r w:rsidR="00131514" w:rsidRPr="00611EEC">
        <w:t xml:space="preserve"> </w:t>
      </w:r>
      <w:r w:rsidRPr="00611EEC">
        <w:tab/>
      </w:r>
      <w:r w:rsidR="00131514" w:rsidRPr="00611EEC">
        <w:t>Systems and software engineering — System life cycle processes</w:t>
      </w:r>
    </w:p>
    <w:p w14:paraId="69A3CFA4" w14:textId="57E1AACF" w:rsidR="00131514" w:rsidRDefault="005D72E9" w:rsidP="001039C5">
      <w:r w:rsidRPr="005D72E9">
        <w:t xml:space="preserve">[ISO/IEC PRF TR 27550] </w:t>
      </w:r>
      <w:r>
        <w:tab/>
      </w:r>
      <w:r w:rsidRPr="005D72E9">
        <w:t>Privacy engineering for system life cycle processes</w:t>
      </w:r>
    </w:p>
    <w:p w14:paraId="6E691005" w14:textId="5A5317EB" w:rsidR="001039C5" w:rsidRDefault="00611EEC" w:rsidP="001039C5">
      <w:r>
        <w:t>[</w:t>
      </w:r>
      <w:r w:rsidR="001039C5" w:rsidRPr="00F80477">
        <w:t>ITU</w:t>
      </w:r>
      <w:r w:rsidR="001039C5">
        <w:t xml:space="preserve"> directory</w:t>
      </w:r>
      <w:r>
        <w:t>]</w:t>
      </w:r>
      <w:r>
        <w:tab/>
      </w:r>
      <w:r>
        <w:tab/>
        <w:t>I</w:t>
      </w:r>
      <w:r w:rsidRPr="00611EEC">
        <w:t>ntegrated Database ITU Terms and Definitions</w:t>
      </w:r>
    </w:p>
    <w:p w14:paraId="02421AEF" w14:textId="2E27E56D" w:rsidR="001039C5" w:rsidRDefault="00611EEC" w:rsidP="00611EEC">
      <w:pPr>
        <w:ind w:left="2880" w:hanging="2880"/>
      </w:pPr>
      <w:r>
        <w:t>[</w:t>
      </w:r>
      <w:r w:rsidR="001039C5" w:rsidRPr="002C05F7">
        <w:t>ITU-R M.1224</w:t>
      </w:r>
      <w:r>
        <w:t>]</w:t>
      </w:r>
      <w:r>
        <w:tab/>
      </w:r>
      <w:r w:rsidRPr="00611EEC">
        <w:t>Vocabulary of terms for International Mobile Telecommunications (IMT) </w:t>
      </w:r>
    </w:p>
    <w:p w14:paraId="516A9E27" w14:textId="3417E9CF" w:rsidR="001039C5" w:rsidRDefault="00611EEC" w:rsidP="00611EEC">
      <w:pPr>
        <w:ind w:left="2880" w:hanging="2880"/>
      </w:pPr>
      <w:r>
        <w:lastRenderedPageBreak/>
        <w:t>[</w:t>
      </w:r>
      <w:r w:rsidR="001039C5" w:rsidRPr="00827C71">
        <w:t>ITU-T X. 1040 (10/2017)</w:t>
      </w:r>
      <w:r>
        <w:t xml:space="preserve">] </w:t>
      </w:r>
      <w:r>
        <w:tab/>
      </w:r>
      <w:r w:rsidRPr="00611EEC">
        <w:t>Security reference architecture for lifecycle management of e-commerce business data</w:t>
      </w:r>
    </w:p>
    <w:p w14:paraId="4F9888E6" w14:textId="14717DF9" w:rsidR="001039C5" w:rsidRDefault="00611EEC" w:rsidP="00611EEC">
      <w:pPr>
        <w:ind w:left="2880" w:hanging="2880"/>
      </w:pPr>
      <w:r>
        <w:t>[</w:t>
      </w:r>
      <w:r w:rsidR="001039C5" w:rsidRPr="00F80477">
        <w:t>ITU-T X. 1601 (10/2015)</w:t>
      </w:r>
      <w:r>
        <w:t>]</w:t>
      </w:r>
      <w:r>
        <w:tab/>
      </w:r>
      <w:r w:rsidRPr="00611EEC">
        <w:t>Security framework for cloud computing </w:t>
      </w:r>
    </w:p>
    <w:p w14:paraId="2AC7154D" w14:textId="4DEDBA7B" w:rsidR="00611EEC" w:rsidRDefault="00611EEC" w:rsidP="00611EEC">
      <w:pPr>
        <w:ind w:left="2880" w:hanging="2880"/>
      </w:pPr>
      <w:r>
        <w:t>[</w:t>
      </w:r>
      <w:r w:rsidR="001039C5" w:rsidRPr="00827C71">
        <w:t>ITU-T Y. 2060 (06/2012)</w:t>
      </w:r>
      <w:r>
        <w:t>]</w:t>
      </w:r>
      <w:r>
        <w:tab/>
      </w:r>
      <w:r w:rsidRPr="00611EEC">
        <w:t>Overview of the Internet of things</w:t>
      </w:r>
    </w:p>
    <w:p w14:paraId="3A51EB8C" w14:textId="03203336" w:rsidR="00D4647F" w:rsidRDefault="00D4647F" w:rsidP="00611EEC"/>
    <w:p w14:paraId="055942A9" w14:textId="77777777" w:rsidR="00825617" w:rsidRPr="00A772E6" w:rsidRDefault="00825617" w:rsidP="00611EEC"/>
    <w:p w14:paraId="1DD6A100" w14:textId="60692DFF" w:rsidR="0061423E" w:rsidRDefault="0061423E" w:rsidP="00A957D5">
      <w:pPr>
        <w:pStyle w:val="Heading1"/>
        <w:keepLines w:val="0"/>
        <w:numPr>
          <w:ilvl w:val="0"/>
          <w:numId w:val="13"/>
        </w:numPr>
        <w:overflowPunct/>
        <w:autoSpaceDE/>
        <w:autoSpaceDN/>
        <w:adjustRightInd/>
        <w:spacing w:before="240" w:after="60"/>
        <w:textAlignment w:val="auto"/>
        <w:rPr>
          <w:lang w:bidi="ar-DZ"/>
        </w:rPr>
      </w:pPr>
      <w:bookmarkStart w:id="24" w:name="_Toc401158820"/>
      <w:bookmarkStart w:id="25" w:name="_Toc401159825"/>
      <w:bookmarkStart w:id="26" w:name="_Toc527647390"/>
      <w:bookmarkStart w:id="27" w:name="_Toc14367821"/>
      <w:r>
        <w:rPr>
          <w:lang w:bidi="ar-DZ"/>
        </w:rPr>
        <w:t>Terms and definitions</w:t>
      </w:r>
      <w:bookmarkEnd w:id="24"/>
      <w:bookmarkEnd w:id="25"/>
      <w:bookmarkEnd w:id="26"/>
      <w:bookmarkEnd w:id="27"/>
    </w:p>
    <w:p w14:paraId="4DEB30B3" w14:textId="551256E8" w:rsidR="0061423E" w:rsidRDefault="00E94C15" w:rsidP="0061423E">
      <w:pPr>
        <w:pStyle w:val="Heading2"/>
        <w:keepLines w:val="0"/>
        <w:numPr>
          <w:ilvl w:val="1"/>
          <w:numId w:val="0"/>
        </w:numPr>
        <w:tabs>
          <w:tab w:val="num" w:pos="576"/>
        </w:tabs>
        <w:overflowPunct/>
        <w:autoSpaceDE/>
        <w:autoSpaceDN/>
        <w:adjustRightInd/>
        <w:spacing w:after="60"/>
        <w:ind w:left="576" w:hanging="576"/>
        <w:textAlignment w:val="auto"/>
        <w:rPr>
          <w:lang w:bidi="ar-DZ"/>
        </w:rPr>
      </w:pPr>
      <w:bookmarkStart w:id="28" w:name="_Toc401158821"/>
      <w:bookmarkStart w:id="29" w:name="_Toc401159826"/>
      <w:bookmarkStart w:id="30" w:name="_Toc527647391"/>
      <w:bookmarkStart w:id="31" w:name="_Toc14367822"/>
      <w:r>
        <w:rPr>
          <w:lang w:bidi="ar-DZ"/>
        </w:rPr>
        <w:t>3</w:t>
      </w:r>
      <w:r w:rsidR="00913E6A">
        <w:rPr>
          <w:lang w:bidi="ar-DZ"/>
        </w:rPr>
        <w:t xml:space="preserve">.1 </w:t>
      </w:r>
      <w:r w:rsidR="007A7DBA">
        <w:rPr>
          <w:lang w:bidi="ar-DZ"/>
        </w:rPr>
        <w:tab/>
      </w:r>
      <w:r w:rsidR="0061423E">
        <w:rPr>
          <w:lang w:bidi="ar-DZ"/>
        </w:rPr>
        <w:t>Terms defined elsewhere</w:t>
      </w:r>
      <w:bookmarkEnd w:id="28"/>
      <w:bookmarkEnd w:id="29"/>
      <w:bookmarkEnd w:id="30"/>
      <w:bookmarkEnd w:id="31"/>
    </w:p>
    <w:p w14:paraId="52B8299A" w14:textId="77777777" w:rsidR="0061423E" w:rsidRDefault="0061423E" w:rsidP="0061423E">
      <w:r w:rsidRPr="0078001F">
        <w:t xml:space="preserve">This </w:t>
      </w:r>
      <w:r>
        <w:t>Technical Report</w:t>
      </w:r>
      <w:r w:rsidRPr="0078001F">
        <w:t xml:space="preserve"> uses the following terms defined elsewhere</w:t>
      </w:r>
      <w:r>
        <w:t>:</w:t>
      </w:r>
    </w:p>
    <w:p w14:paraId="7E20EC55" w14:textId="0CEC9D4B" w:rsidR="0061423E" w:rsidRDefault="00E94C15" w:rsidP="0061423E">
      <w:r>
        <w:rPr>
          <w:b/>
          <w:bCs/>
        </w:rPr>
        <w:t>3</w:t>
      </w:r>
      <w:r w:rsidR="0061423E" w:rsidRPr="009635CB">
        <w:rPr>
          <w:b/>
          <w:bCs/>
        </w:rPr>
        <w:t>.1.</w:t>
      </w:r>
      <w:r w:rsidR="0061423E" w:rsidRPr="009635CB">
        <w:rPr>
          <w:b/>
          <w:bCs/>
        </w:rPr>
        <w:fldChar w:fldCharType="begin"/>
      </w:r>
      <w:r w:rsidR="0061423E" w:rsidRPr="009635CB">
        <w:rPr>
          <w:b/>
          <w:bCs/>
        </w:rPr>
        <w:instrText xml:space="preserve"> SEQ DEF31 </w:instrText>
      </w:r>
      <w:r w:rsidR="0061423E" w:rsidRPr="009635CB">
        <w:rPr>
          <w:b/>
          <w:bCs/>
        </w:rPr>
        <w:fldChar w:fldCharType="separate"/>
      </w:r>
      <w:r w:rsidR="004946F7">
        <w:rPr>
          <w:b/>
          <w:bCs/>
          <w:noProof/>
        </w:rPr>
        <w:t>1</w:t>
      </w:r>
      <w:r w:rsidR="0061423E" w:rsidRPr="009635CB">
        <w:rPr>
          <w:b/>
          <w:bCs/>
        </w:rPr>
        <w:fldChar w:fldCharType="end"/>
      </w:r>
      <w:r w:rsidR="0061423E" w:rsidRPr="009635CB">
        <w:rPr>
          <w:b/>
          <w:bCs/>
        </w:rPr>
        <w:tab/>
      </w:r>
      <w:r w:rsidR="00A2369F">
        <w:rPr>
          <w:b/>
          <w:bCs/>
        </w:rPr>
        <w:t xml:space="preserve">Data </w:t>
      </w:r>
      <w:r w:rsidR="00A2369F" w:rsidRPr="00B03881">
        <w:t xml:space="preserve">[ISO 16091, 2018]: Information represented in a manner suitable for automatic processing </w:t>
      </w:r>
    </w:p>
    <w:p w14:paraId="50176E97" w14:textId="78C0A4A9" w:rsidR="0061423E" w:rsidRDefault="00E94C15" w:rsidP="0061423E">
      <w:r>
        <w:rPr>
          <w:b/>
          <w:bCs/>
        </w:rPr>
        <w:t>3</w:t>
      </w:r>
      <w:r w:rsidR="0061423E" w:rsidRPr="009635CB">
        <w:rPr>
          <w:b/>
          <w:bCs/>
        </w:rPr>
        <w:t>.1.</w:t>
      </w:r>
      <w:r w:rsidR="0061423E" w:rsidRPr="009635CB">
        <w:rPr>
          <w:b/>
          <w:bCs/>
        </w:rPr>
        <w:fldChar w:fldCharType="begin"/>
      </w:r>
      <w:r w:rsidR="0061423E" w:rsidRPr="009635CB">
        <w:rPr>
          <w:b/>
          <w:bCs/>
        </w:rPr>
        <w:instrText xml:space="preserve"> SEQ DEF31 </w:instrText>
      </w:r>
      <w:r w:rsidR="0061423E" w:rsidRPr="009635CB">
        <w:rPr>
          <w:b/>
          <w:bCs/>
        </w:rPr>
        <w:fldChar w:fldCharType="separate"/>
      </w:r>
      <w:r w:rsidR="004946F7">
        <w:rPr>
          <w:b/>
          <w:bCs/>
          <w:noProof/>
        </w:rPr>
        <w:t>2</w:t>
      </w:r>
      <w:r w:rsidR="0061423E" w:rsidRPr="009635CB">
        <w:rPr>
          <w:b/>
          <w:bCs/>
        </w:rPr>
        <w:fldChar w:fldCharType="end"/>
      </w:r>
      <w:r w:rsidR="0061423E" w:rsidRPr="009635CB">
        <w:rPr>
          <w:b/>
          <w:bCs/>
        </w:rPr>
        <w:tab/>
      </w:r>
      <w:r w:rsidR="00870C2B" w:rsidRPr="00870C2B">
        <w:rPr>
          <w:b/>
          <w:bCs/>
        </w:rPr>
        <w:t>Data breach</w:t>
      </w:r>
      <w:r w:rsidR="00870C2B" w:rsidRPr="009635CB">
        <w:rPr>
          <w:b/>
          <w:bCs/>
        </w:rPr>
        <w:t xml:space="preserve"> </w:t>
      </w:r>
      <w:r w:rsidR="0061423E" w:rsidRPr="009635CB">
        <w:rPr>
          <w:b/>
          <w:bCs/>
        </w:rPr>
        <w:t>[</w:t>
      </w:r>
      <w:r w:rsidR="00870C2B" w:rsidRPr="00F80477">
        <w:t>ITU</w:t>
      </w:r>
      <w:r w:rsidR="00870C2B">
        <w:t xml:space="preserve"> directory</w:t>
      </w:r>
      <w:r w:rsidR="0061423E" w:rsidRPr="009635CB">
        <w:rPr>
          <w:b/>
          <w:bCs/>
        </w:rPr>
        <w:t>]:</w:t>
      </w:r>
      <w:r w:rsidR="0061423E">
        <w:t xml:space="preserve"> </w:t>
      </w:r>
      <w:r w:rsidR="00450252">
        <w:t>A c</w:t>
      </w:r>
      <w:r w:rsidR="00870C2B" w:rsidRPr="002C05F7">
        <w:t>ompromise of security that leads to the accidental or unlawful destruction, loss, alteration, unauthorized disclosure of, or access to protected data transmitted, stored, or otherwise processed.</w:t>
      </w:r>
    </w:p>
    <w:p w14:paraId="2FB3AA7F" w14:textId="3B55DDB3" w:rsidR="000464DD" w:rsidRDefault="00E94C15" w:rsidP="0061423E">
      <w:r>
        <w:rPr>
          <w:b/>
          <w:bCs/>
        </w:rPr>
        <w:t>3</w:t>
      </w:r>
      <w:r w:rsidR="00450252" w:rsidRPr="00450252">
        <w:rPr>
          <w:b/>
          <w:bCs/>
        </w:rPr>
        <w:t>.1.3 Data controller</w:t>
      </w:r>
      <w:r w:rsidR="00450252">
        <w:t xml:space="preserve"> [</w:t>
      </w:r>
      <w:r w:rsidR="00450252" w:rsidRPr="00F80477">
        <w:t>ITU-T X. 1601 (10/2015)]</w:t>
      </w:r>
      <w:r w:rsidR="00450252">
        <w:t xml:space="preserve">: </w:t>
      </w:r>
      <w:r w:rsidR="00450252" w:rsidRPr="00A759FE">
        <w:t>A person who (either alone or jointly or in common with other persons) determines the purposes for which and the manner in which any personal data are, or are to be, processed</w:t>
      </w:r>
      <w:r w:rsidR="000464DD">
        <w:t>.</w:t>
      </w:r>
    </w:p>
    <w:p w14:paraId="2FF1C7E2" w14:textId="56CA5147" w:rsidR="00C44B02" w:rsidRDefault="00E94C15" w:rsidP="0061423E">
      <w:r>
        <w:rPr>
          <w:b/>
          <w:bCs/>
        </w:rPr>
        <w:t>3</w:t>
      </w:r>
      <w:r w:rsidR="00C44B02" w:rsidRPr="00C44B02">
        <w:rPr>
          <w:b/>
          <w:bCs/>
        </w:rPr>
        <w:t>.1.</w:t>
      </w:r>
      <w:r>
        <w:rPr>
          <w:b/>
          <w:bCs/>
        </w:rPr>
        <w:t>4</w:t>
      </w:r>
      <w:r w:rsidR="00C44B02" w:rsidRPr="00C44B02">
        <w:rPr>
          <w:b/>
          <w:bCs/>
        </w:rPr>
        <w:t xml:space="preserve"> Data integrity</w:t>
      </w:r>
      <w:r w:rsidR="00C44B02">
        <w:t xml:space="preserve"> [</w:t>
      </w:r>
      <w:r w:rsidR="00C44B02" w:rsidRPr="002C05F7">
        <w:t>ITU-R M.1224</w:t>
      </w:r>
      <w:r w:rsidR="00C44B02">
        <w:t xml:space="preserve">]: </w:t>
      </w:r>
      <w:r w:rsidR="00C44B02" w:rsidRPr="002C05F7">
        <w:t>The property that the data has not been altered or destroyed in an unauthorized manner</w:t>
      </w:r>
      <w:r w:rsidR="00C44B02">
        <w:t>.</w:t>
      </w:r>
    </w:p>
    <w:p w14:paraId="042F52C0" w14:textId="62C504CB" w:rsidR="00C44B02" w:rsidRDefault="008949C8" w:rsidP="0061423E">
      <w:r>
        <w:rPr>
          <w:b/>
          <w:bCs/>
        </w:rPr>
        <w:t>3</w:t>
      </w:r>
      <w:r w:rsidR="009B6602" w:rsidRPr="00434BAE">
        <w:rPr>
          <w:b/>
          <w:bCs/>
        </w:rPr>
        <w:t>.1.</w:t>
      </w:r>
      <w:r w:rsidR="00E94C15">
        <w:rPr>
          <w:b/>
          <w:bCs/>
        </w:rPr>
        <w:t>5</w:t>
      </w:r>
      <w:r w:rsidR="009B6602">
        <w:t xml:space="preserve"> </w:t>
      </w:r>
      <w:r w:rsidR="00434BAE" w:rsidRPr="00434BAE">
        <w:rPr>
          <w:b/>
          <w:bCs/>
        </w:rPr>
        <w:t>Data processor</w:t>
      </w:r>
      <w:r w:rsidR="00434BAE">
        <w:t xml:space="preserve"> [</w:t>
      </w:r>
      <w:r w:rsidR="00434BAE" w:rsidRPr="00F80477">
        <w:t>ITU-T X. 1601 (10/2015)]</w:t>
      </w:r>
      <w:r w:rsidR="00434BAE">
        <w:t xml:space="preserve">: </w:t>
      </w:r>
      <w:r w:rsidR="00434BAE" w:rsidRPr="00A759FE">
        <w:t>In relation to personal data, this means any person (other than an employee of the data controller) who processes the data on behalf of the data controller.</w:t>
      </w:r>
    </w:p>
    <w:p w14:paraId="6B585A0A" w14:textId="4FB48660" w:rsidR="00E94C15" w:rsidRDefault="008949C8" w:rsidP="0061423E">
      <w:r>
        <w:rPr>
          <w:b/>
          <w:bCs/>
        </w:rPr>
        <w:t>3</w:t>
      </w:r>
      <w:r w:rsidR="00E94C15" w:rsidRPr="00B03881">
        <w:rPr>
          <w:b/>
          <w:bCs/>
        </w:rPr>
        <w:t xml:space="preserve">.1.6 </w:t>
      </w:r>
      <w:r w:rsidR="00E94C15" w:rsidRPr="00E94C15">
        <w:rPr>
          <w:b/>
          <w:bCs/>
        </w:rPr>
        <w:t>Ecosystem</w:t>
      </w:r>
      <w:r w:rsidR="00E94C15">
        <w:t xml:space="preserve"> [D0.1]: A network of interconnecting organisations, </w:t>
      </w:r>
      <w:r w:rsidR="00E94C15" w:rsidRPr="00CA4E7B">
        <w:t>, forming a distributed, adaptive, open socio-technical system with properties of self-organisation, scalability and sustainability. Digital ecosystem models are informed by knowledge of natural ecosystems, especially for aspects related to competition and collaboration among diverse entities</w:t>
      </w:r>
      <w:r w:rsidR="00E94C15">
        <w:t>.</w:t>
      </w:r>
    </w:p>
    <w:p w14:paraId="76BECAE5" w14:textId="173681CC" w:rsidR="00A76D93" w:rsidRPr="00B03881" w:rsidRDefault="008949C8" w:rsidP="00B03881">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lang w:val="en-GB" w:eastAsia="en-US"/>
        </w:rPr>
      </w:pPr>
      <w:r>
        <w:rPr>
          <w:b/>
          <w:bCs/>
        </w:rPr>
        <w:t>3</w:t>
      </w:r>
      <w:r w:rsidR="007B7E1C" w:rsidRPr="00363426">
        <w:rPr>
          <w:b/>
          <w:bCs/>
        </w:rPr>
        <w:t>.1.7 Governance</w:t>
      </w:r>
      <w:r w:rsidR="007B7E1C">
        <w:t xml:space="preserve"> [</w:t>
      </w:r>
      <w:r w:rsidR="00096169">
        <w:t xml:space="preserve">adapted from, </w:t>
      </w:r>
      <w:hyperlink r:id="rId16" w:history="1">
        <w:r w:rsidR="00096169" w:rsidRPr="00B03881">
          <w:rPr>
            <w:rStyle w:val="Hyperlink"/>
          </w:rPr>
          <w:t>http://www.ibe.unesco.org/en/geqaf/technical-notes/concept-governance</w:t>
        </w:r>
      </w:hyperlink>
      <w:r w:rsidR="007B7E1C">
        <w:t xml:space="preserve">]: </w:t>
      </w:r>
      <w:r w:rsidR="00363426" w:rsidRPr="00363426">
        <w:rPr>
          <w:iCs/>
        </w:rPr>
        <w:t>set</w:t>
      </w:r>
      <w:r w:rsidR="00363426">
        <w:rPr>
          <w:iCs/>
        </w:rPr>
        <w:t>s</w:t>
      </w:r>
      <w:r w:rsidR="00363426" w:rsidRPr="00363426">
        <w:rPr>
          <w:iCs/>
        </w:rPr>
        <w:t xml:space="preserve"> the parameters under which management operates</w:t>
      </w:r>
      <w:r w:rsidR="004C2A74">
        <w:rPr>
          <w:iCs/>
        </w:rPr>
        <w:t>,</w:t>
      </w:r>
      <w:r w:rsidR="00363426" w:rsidRPr="00363426">
        <w:rPr>
          <w:iCs/>
        </w:rPr>
        <w:t xml:space="preserve"> </w:t>
      </w:r>
      <w:r w:rsidR="004C2A74">
        <w:rPr>
          <w:iCs/>
        </w:rPr>
        <w:t>including</w:t>
      </w:r>
      <w:r w:rsidR="00363426" w:rsidRPr="00363426">
        <w:rPr>
          <w:iCs/>
        </w:rPr>
        <w:t xml:space="preserve"> how power is distributed and shared, how policies are formulated, priorities set and stakeholders made accountable. </w:t>
      </w:r>
    </w:p>
    <w:p w14:paraId="3198556A" w14:textId="31F6357C" w:rsidR="007B7E1C" w:rsidRDefault="00A76D93" w:rsidP="0061423E">
      <w:r>
        <w:rPr>
          <w:iCs/>
        </w:rPr>
        <w:t xml:space="preserve">Note: </w:t>
      </w:r>
      <w:r w:rsidR="00363426" w:rsidRPr="00363426">
        <w:rPr>
          <w:iCs/>
        </w:rPr>
        <w:t>Governance is about the definition of the strategic vision and direction, the formulation of</w:t>
      </w:r>
      <w:r w:rsidR="00363426">
        <w:rPr>
          <w:iCs/>
        </w:rPr>
        <w:t xml:space="preserve"> the</w:t>
      </w:r>
      <w:r w:rsidR="00363426" w:rsidRPr="00363426">
        <w:rPr>
          <w:iCs/>
        </w:rPr>
        <w:t xml:space="preserve"> high-level goals and policies of an organisation and the overseeing of its management.</w:t>
      </w:r>
    </w:p>
    <w:p w14:paraId="310BC95D" w14:textId="4BD2ACDC" w:rsidR="00CB6797" w:rsidRDefault="008949C8" w:rsidP="00CB6797">
      <w:r>
        <w:rPr>
          <w:b/>
          <w:bCs/>
        </w:rPr>
        <w:t>3</w:t>
      </w:r>
      <w:r w:rsidR="004C2A74" w:rsidRPr="00B03881">
        <w:rPr>
          <w:b/>
          <w:bCs/>
        </w:rPr>
        <w:t>.1.8 Internet of Things</w:t>
      </w:r>
      <w:r w:rsidR="004C2A74">
        <w:t xml:space="preserve"> [</w:t>
      </w:r>
      <w:r w:rsidR="004C2A74" w:rsidRPr="00827C71">
        <w:t>Source: ITU-T Y. 2060 (06/2012)</w:t>
      </w:r>
      <w:r w:rsidR="004C2A74">
        <w:t xml:space="preserve">]: </w:t>
      </w:r>
      <w:r w:rsidR="00CB6797" w:rsidRPr="00A759FE">
        <w:t>A global infrastructure for the information society, enabling advanced services by interconnecting (physical and virtual) things based on existing and evolving interoperable information and communication technologies.</w:t>
      </w:r>
    </w:p>
    <w:p w14:paraId="2C38C230" w14:textId="77777777" w:rsidR="00CB6797" w:rsidRDefault="00CB6797" w:rsidP="00CB6797">
      <w:r w:rsidRPr="00A759FE">
        <w:t>NOTE 1 – Through the exploitation of identification, data capture, processing and communication capabilities, the IoT makes full use of things to offer services to all kinds of applications, whilst ensuring that security and privacy requirements are fulfilled.</w:t>
      </w:r>
    </w:p>
    <w:p w14:paraId="65F7B5CA" w14:textId="187E7745" w:rsidR="004C2A74" w:rsidRDefault="00CB6797" w:rsidP="00CB6797">
      <w:r w:rsidRPr="00A759FE">
        <w:t>NOTE 2 – From a broader perspective, the IoT can be perceived as a vision with technological and societal implications.</w:t>
      </w:r>
    </w:p>
    <w:p w14:paraId="7C0F85A3" w14:textId="31BABA2F" w:rsidR="00363426" w:rsidRDefault="008949C8" w:rsidP="0061423E">
      <w:r>
        <w:rPr>
          <w:b/>
          <w:bCs/>
        </w:rPr>
        <w:t>3</w:t>
      </w:r>
      <w:r w:rsidR="00363426" w:rsidRPr="00363426">
        <w:rPr>
          <w:b/>
          <w:bCs/>
        </w:rPr>
        <w:t>.1.</w:t>
      </w:r>
      <w:r>
        <w:rPr>
          <w:b/>
          <w:bCs/>
        </w:rPr>
        <w:t>9</w:t>
      </w:r>
      <w:r w:rsidR="00363426" w:rsidRPr="00363426">
        <w:rPr>
          <w:b/>
          <w:bCs/>
        </w:rPr>
        <w:t xml:space="preserve"> Management</w:t>
      </w:r>
      <w:r w:rsidR="00363426">
        <w:t xml:space="preserve"> [</w:t>
      </w:r>
      <w:hyperlink r:id="rId17" w:history="1">
        <w:r w:rsidR="00CB6797" w:rsidRPr="002F70FA">
          <w:rPr>
            <w:rStyle w:val="Hyperlink"/>
          </w:rPr>
          <w:t>http://www.ibe.unesco.org/en/geqaf/technical-notes/concept-governance</w:t>
        </w:r>
      </w:hyperlink>
      <w:r w:rsidR="00363426">
        <w:t xml:space="preserve">]: </w:t>
      </w:r>
      <w:r w:rsidR="00363426" w:rsidRPr="00363426">
        <w:t xml:space="preserve">Management is about running </w:t>
      </w:r>
      <w:r w:rsidR="00363426">
        <w:t>operations</w:t>
      </w:r>
      <w:r w:rsidR="00363426" w:rsidRPr="00363426">
        <w:t xml:space="preserve"> according to the </w:t>
      </w:r>
      <w:r>
        <w:t xml:space="preserve">established </w:t>
      </w:r>
      <w:r w:rsidR="00363426" w:rsidRPr="00363426">
        <w:t>vision and policies, mak</w:t>
      </w:r>
      <w:r w:rsidR="00363426">
        <w:t>ing</w:t>
      </w:r>
      <w:r w:rsidR="00363426" w:rsidRPr="00363426">
        <w:t xml:space="preserve"> operational decisions, and interfac</w:t>
      </w:r>
      <w:r w:rsidR="00363426">
        <w:t>ing</w:t>
      </w:r>
      <w:r w:rsidR="00363426" w:rsidRPr="00363426">
        <w:t xml:space="preserve"> with governance bodies to allow for supervision.</w:t>
      </w:r>
    </w:p>
    <w:p w14:paraId="19970E7B" w14:textId="77777777" w:rsidR="00A76D93" w:rsidRDefault="008949C8" w:rsidP="0061423E">
      <w:r>
        <w:rPr>
          <w:b/>
          <w:bCs/>
        </w:rPr>
        <w:t xml:space="preserve">3.1.10 </w:t>
      </w:r>
      <w:r w:rsidRPr="001D6CB4">
        <w:rPr>
          <w:b/>
          <w:bCs/>
        </w:rPr>
        <w:t>Personal data</w:t>
      </w:r>
      <w:r>
        <w:rPr>
          <w:b/>
          <w:bCs/>
        </w:rPr>
        <w:t xml:space="preserve"> [D0.1]</w:t>
      </w:r>
      <w:r w:rsidRPr="001D6CB4">
        <w:rPr>
          <w:b/>
          <w:bCs/>
        </w:rPr>
        <w:t>:</w:t>
      </w:r>
      <w:r>
        <w:t xml:space="preserve"> </w:t>
      </w:r>
      <w:r w:rsidR="00A76D93">
        <w:t>A</w:t>
      </w:r>
      <w:r w:rsidRPr="00827C71">
        <w:t xml:space="preserve">ny information relating to an identified or identifiable natural person (‘Data subject’); </w:t>
      </w:r>
    </w:p>
    <w:p w14:paraId="45F2FAB1" w14:textId="2E806B58" w:rsidR="008949C8" w:rsidRDefault="00A76D93" w:rsidP="0061423E">
      <w:pPr>
        <w:rPr>
          <w:shd w:val="clear" w:color="auto" w:fill="FFFFFF"/>
        </w:rPr>
      </w:pPr>
      <w:r>
        <w:t xml:space="preserve">Note: </w:t>
      </w:r>
      <w:r w:rsidR="008949C8" w:rsidRPr="00827C71">
        <w:t>an identifiable person is one who can be identified, directly or indirectly, in particular by reference to an identification number or to one or more factors specific to his physical, physiological, mental, economic, cultural or social identity.</w:t>
      </w:r>
    </w:p>
    <w:p w14:paraId="1C3CC629" w14:textId="25EA023E" w:rsidR="00096169" w:rsidRDefault="00096169" w:rsidP="0061423E">
      <w:r>
        <w:rPr>
          <w:b/>
          <w:bCs/>
        </w:rPr>
        <w:t>3</w:t>
      </w:r>
      <w:r w:rsidR="0013245D" w:rsidRPr="00661B4A">
        <w:rPr>
          <w:b/>
          <w:bCs/>
        </w:rPr>
        <w:t>.1.1</w:t>
      </w:r>
      <w:r>
        <w:rPr>
          <w:b/>
          <w:bCs/>
        </w:rPr>
        <w:t>1</w:t>
      </w:r>
      <w:r w:rsidR="0013245D" w:rsidRPr="00661B4A">
        <w:rPr>
          <w:b/>
          <w:bCs/>
        </w:rPr>
        <w:t xml:space="preserve"> Privacy by default</w:t>
      </w:r>
      <w:r w:rsidR="0013245D">
        <w:t xml:space="preserve"> [</w:t>
      </w:r>
      <w:r>
        <w:t xml:space="preserve">adapted from </w:t>
      </w:r>
      <w:r w:rsidR="0013245D">
        <w:t xml:space="preserve">GDPR, Article 25.2]: </w:t>
      </w:r>
      <w:r w:rsidR="0013245D" w:rsidRPr="00827C71">
        <w:t>The implement</w:t>
      </w:r>
      <w:r w:rsidR="0013245D">
        <w:t>ation of</w:t>
      </w:r>
      <w:r w:rsidR="0013245D" w:rsidRPr="00827C71">
        <w:t xml:space="preserve"> appropriate technical and organisational measures for ensuring that, by default, only personal data which are necessary for each specific purpose of the processing are processed. </w:t>
      </w:r>
    </w:p>
    <w:p w14:paraId="2456BDFB" w14:textId="406E9612" w:rsidR="001D6CB4" w:rsidRDefault="00096169" w:rsidP="0061423E">
      <w:r>
        <w:lastRenderedPageBreak/>
        <w:t xml:space="preserve">Note: </w:t>
      </w:r>
      <w:r w:rsidR="0013245D" w:rsidRPr="00827C71">
        <w:t>Th</w:t>
      </w:r>
      <w:r>
        <w:t>is</w:t>
      </w:r>
      <w:r w:rsidR="0013245D" w:rsidRPr="00827C71">
        <w:t xml:space="preserve"> applies to the amount of personal data collected, the extent of their processing, the period of their storage and their accessibility. In particular, such measures ensure that by default personal data are not made accessible</w:t>
      </w:r>
      <w:r w:rsidR="0013245D">
        <w:t>,</w:t>
      </w:r>
      <w:r w:rsidR="0013245D" w:rsidRPr="00827C71">
        <w:t xml:space="preserve"> without the individual’s intervention</w:t>
      </w:r>
      <w:r w:rsidR="0013245D">
        <w:t>,</w:t>
      </w:r>
      <w:r w:rsidR="0013245D" w:rsidRPr="00827C71">
        <w:t xml:space="preserve"> to an indefinite number of persons</w:t>
      </w:r>
      <w:r w:rsidR="00D53C03">
        <w:t>.</w:t>
      </w:r>
    </w:p>
    <w:p w14:paraId="416A6737" w14:textId="537DABD9" w:rsidR="00D53C03" w:rsidRDefault="00096169" w:rsidP="0061423E">
      <w:r>
        <w:rPr>
          <w:b/>
          <w:bCs/>
        </w:rPr>
        <w:t>3</w:t>
      </w:r>
      <w:r w:rsidR="00D53C03" w:rsidRPr="00D53C03">
        <w:rPr>
          <w:b/>
          <w:bCs/>
        </w:rPr>
        <w:t>.1.1</w:t>
      </w:r>
      <w:r>
        <w:rPr>
          <w:b/>
          <w:bCs/>
        </w:rPr>
        <w:t>2</w:t>
      </w:r>
      <w:r w:rsidR="00D53C03" w:rsidRPr="00D53C03">
        <w:rPr>
          <w:b/>
          <w:bCs/>
        </w:rPr>
        <w:t xml:space="preserve"> Privacy by design</w:t>
      </w:r>
      <w:r w:rsidR="00D53C03">
        <w:t xml:space="preserve"> [</w:t>
      </w:r>
      <w:r>
        <w:t xml:space="preserve">adapted from </w:t>
      </w:r>
      <w:r w:rsidR="00D53C03">
        <w:t>GDPR, Article 25.1]: A m</w:t>
      </w:r>
      <w:r w:rsidR="00D53C03" w:rsidRPr="00827C71">
        <w:t>ethodology according to which</w:t>
      </w:r>
      <w:r>
        <w:t>,</w:t>
      </w:r>
      <w:r w:rsidR="00D53C03" w:rsidRPr="00827C71">
        <w:t xml:space="preserve"> </w:t>
      </w:r>
      <w:r w:rsidR="00D53C03">
        <w:t>t</w:t>
      </w:r>
      <w:r w:rsidR="00D53C03" w:rsidRPr="00827C71">
        <w:t xml:space="preserve">aking into account the state of the art, the cost of implementation and the nature, scope, context and purposes of processing as well as the risks of varying likelihood and severity for rights and freedoms of persons posed by the processing, at the time of the determination of the means for processing and at the time of the processing itself, </w:t>
      </w:r>
      <w:r>
        <w:t xml:space="preserve">the </w:t>
      </w:r>
      <w:r w:rsidR="00D53C03" w:rsidRPr="00827C71">
        <w:t>implement</w:t>
      </w:r>
      <w:r>
        <w:t>ation of</w:t>
      </w:r>
      <w:r w:rsidR="00D53C03" w:rsidRPr="00827C71">
        <w:t xml:space="preserve"> appropriate technical and organisational measures, such as pseudonymisation, which are designed to implement data-protection principles, such as data minimisation in an effective manner and </w:t>
      </w:r>
      <w:r>
        <w:t>the</w:t>
      </w:r>
      <w:r w:rsidR="00D53C03" w:rsidRPr="00827C71">
        <w:t xml:space="preserve"> integrat</w:t>
      </w:r>
      <w:r>
        <w:t>ion of</w:t>
      </w:r>
      <w:r w:rsidR="00D53C03" w:rsidRPr="00827C71">
        <w:t xml:space="preserve"> the necessary safeguards into the processing in order to meet </w:t>
      </w:r>
      <w:r w:rsidR="00D53C03">
        <w:t>regulatory</w:t>
      </w:r>
      <w:r w:rsidR="00D53C03" w:rsidRPr="00827C71">
        <w:t xml:space="preserve"> requirements and to protect the rights of data subjects</w:t>
      </w:r>
      <w:r w:rsidR="00D53C03">
        <w:t>.</w:t>
      </w:r>
    </w:p>
    <w:p w14:paraId="6E0F7F19" w14:textId="37DBCB3E" w:rsidR="00041BD0" w:rsidRDefault="005D2976" w:rsidP="00041BD0">
      <w:r>
        <w:rPr>
          <w:b/>
          <w:bCs/>
        </w:rPr>
        <w:t>3</w:t>
      </w:r>
      <w:r w:rsidR="00041BD0" w:rsidRPr="00041BD0">
        <w:rPr>
          <w:b/>
          <w:bCs/>
        </w:rPr>
        <w:t>.1.1</w:t>
      </w:r>
      <w:r>
        <w:rPr>
          <w:b/>
          <w:bCs/>
        </w:rPr>
        <w:t>3</w:t>
      </w:r>
      <w:r w:rsidR="00041BD0" w:rsidRPr="00041BD0">
        <w:rPr>
          <w:b/>
          <w:bCs/>
        </w:rPr>
        <w:t xml:space="preserve"> Risk</w:t>
      </w:r>
      <w:r w:rsidR="00041BD0">
        <w:t xml:space="preserve"> [ISO 31000]: E</w:t>
      </w:r>
      <w:r w:rsidR="00041BD0" w:rsidRPr="00B734F8">
        <w:t>ffect of uncertainty on objectives</w:t>
      </w:r>
      <w:r w:rsidR="00041BD0">
        <w:t>.</w:t>
      </w:r>
    </w:p>
    <w:p w14:paraId="59017276" w14:textId="4CF5A63D" w:rsidR="00DC7D5C" w:rsidRDefault="005D2976" w:rsidP="00041BD0">
      <w:r>
        <w:rPr>
          <w:b/>
          <w:bCs/>
        </w:rPr>
        <w:t>3</w:t>
      </w:r>
      <w:r w:rsidR="00DC7D5C" w:rsidRPr="00DC7D5C">
        <w:rPr>
          <w:b/>
          <w:bCs/>
        </w:rPr>
        <w:t>.1.</w:t>
      </w:r>
      <w:r>
        <w:rPr>
          <w:b/>
          <w:bCs/>
        </w:rPr>
        <w:t>14</w:t>
      </w:r>
      <w:r w:rsidR="00DC7D5C" w:rsidRPr="00DC7D5C">
        <w:rPr>
          <w:b/>
          <w:bCs/>
        </w:rPr>
        <w:t xml:space="preserve"> Risk appetite</w:t>
      </w:r>
      <w:r w:rsidR="00DC7D5C">
        <w:t xml:space="preserve"> [</w:t>
      </w:r>
      <w:r w:rsidR="00DC7D5C" w:rsidRPr="00B734F8">
        <w:t>ISO/Guide 73:2009(en) Risk management — Vocabulary</w:t>
      </w:r>
      <w:r w:rsidR="00DC7D5C">
        <w:t>]: A</w:t>
      </w:r>
      <w:r w:rsidR="00DC7D5C" w:rsidRPr="002B5BC0">
        <w:t>mount and type of risk that an organization is willing to pursue or retain</w:t>
      </w:r>
      <w:r w:rsidR="00DC7D5C">
        <w:t>.</w:t>
      </w:r>
    </w:p>
    <w:p w14:paraId="0A10EDDD" w14:textId="497C0E73" w:rsidR="00096169" w:rsidRDefault="00096169" w:rsidP="00041BD0">
      <w:r w:rsidRPr="00561038">
        <w:rPr>
          <w:b/>
          <w:bCs/>
        </w:rPr>
        <w:t>3.1.</w:t>
      </w:r>
      <w:r w:rsidR="00561038">
        <w:rPr>
          <w:b/>
          <w:bCs/>
        </w:rPr>
        <w:t>15</w:t>
      </w:r>
      <w:r w:rsidRPr="00561038">
        <w:rPr>
          <w:b/>
          <w:bCs/>
        </w:rPr>
        <w:t xml:space="preserve"> Security</w:t>
      </w:r>
      <w:r>
        <w:t xml:space="preserve"> [IEC Guide 120, 12018]: Condition that results from the establishment and maintenance of protective measures that ensure a state of inviolability from hostile acts or influences.</w:t>
      </w:r>
    </w:p>
    <w:p w14:paraId="2415127F" w14:textId="25F02974" w:rsidR="00DC7D5C" w:rsidRDefault="005D2976" w:rsidP="00041BD0">
      <w:r>
        <w:rPr>
          <w:b/>
          <w:bCs/>
        </w:rPr>
        <w:t>3</w:t>
      </w:r>
      <w:r w:rsidR="00DC7D5C" w:rsidRPr="00DC7D5C">
        <w:rPr>
          <w:b/>
          <w:bCs/>
        </w:rPr>
        <w:t>.1.</w:t>
      </w:r>
      <w:r>
        <w:rPr>
          <w:b/>
          <w:bCs/>
        </w:rPr>
        <w:t>1</w:t>
      </w:r>
      <w:r w:rsidR="00561038">
        <w:rPr>
          <w:b/>
          <w:bCs/>
        </w:rPr>
        <w:t>6</w:t>
      </w:r>
      <w:r w:rsidR="00DC7D5C" w:rsidRPr="00DC7D5C">
        <w:rPr>
          <w:b/>
          <w:bCs/>
        </w:rPr>
        <w:t xml:space="preserve"> Sensitive data</w:t>
      </w:r>
      <w:r w:rsidR="00DC7D5C">
        <w:t xml:space="preserve"> [</w:t>
      </w:r>
      <w:r w:rsidR="00DC7D5C" w:rsidRPr="00827C71">
        <w:t>ITU-T X. 1040 (10/2017)</w:t>
      </w:r>
      <w:r w:rsidR="00DC7D5C">
        <w:t xml:space="preserve">]: </w:t>
      </w:r>
      <w:r w:rsidR="00DC7D5C" w:rsidRPr="00A759FE">
        <w:t>Data with potentially harmful effects in the event of disclosure or misus</w:t>
      </w:r>
      <w:r w:rsidR="00DC7D5C" w:rsidRPr="007B458E">
        <w:t>e</w:t>
      </w:r>
      <w:r w:rsidR="00B2375A">
        <w:t>.</w:t>
      </w:r>
    </w:p>
    <w:p w14:paraId="4671ABA9" w14:textId="1D8EF3D8" w:rsidR="00096169" w:rsidRDefault="00096169" w:rsidP="00041BD0">
      <w:r w:rsidRPr="00B03881">
        <w:rPr>
          <w:b/>
          <w:bCs/>
        </w:rPr>
        <w:t>3.1.</w:t>
      </w:r>
      <w:r w:rsidR="00B03881">
        <w:rPr>
          <w:b/>
          <w:bCs/>
        </w:rPr>
        <w:t>1</w:t>
      </w:r>
      <w:r w:rsidR="00561038">
        <w:rPr>
          <w:b/>
          <w:bCs/>
        </w:rPr>
        <w:t>7</w:t>
      </w:r>
      <w:r w:rsidRPr="00B03881">
        <w:rPr>
          <w:b/>
          <w:bCs/>
        </w:rPr>
        <w:t xml:space="preserve"> Smart cities and communities</w:t>
      </w:r>
      <w:r>
        <w:t xml:space="preserve"> </w:t>
      </w:r>
      <w:r w:rsidRPr="00561038">
        <w:rPr>
          <w:b/>
          <w:bCs/>
        </w:rPr>
        <w:t>(SC&amp;C)</w:t>
      </w:r>
      <w:r>
        <w:t xml:space="preserve"> [D0.1]: The </w:t>
      </w:r>
      <w:r w:rsidRPr="00D21997">
        <w:t>effective integration of physical, digital and human systems in the built environment to deliver a sustainable, prosperous and inclusive future for citizens</w:t>
      </w:r>
      <w:r>
        <w:t>.</w:t>
      </w:r>
    </w:p>
    <w:p w14:paraId="3B8AB1D2" w14:textId="7668DD2D" w:rsidR="00096169" w:rsidRDefault="00096169" w:rsidP="00041BD0">
      <w:r>
        <w:t>Note: This definition aligns with the definition of smart city in [b-ISO/IEC 30182: 2017] and with the recommendation from the IEC/ISO/ITU Smart City terminology coordination task team.</w:t>
      </w:r>
    </w:p>
    <w:p w14:paraId="13107C58" w14:textId="77777777" w:rsidR="00684A23" w:rsidRDefault="00684A23" w:rsidP="0061423E"/>
    <w:p w14:paraId="2DFA7E7C" w14:textId="3B9CE1AA" w:rsidR="0061423E" w:rsidRPr="009635CB" w:rsidRDefault="005D2976" w:rsidP="0061423E">
      <w:pPr>
        <w:pStyle w:val="Heading2"/>
        <w:keepLines w:val="0"/>
        <w:numPr>
          <w:ilvl w:val="1"/>
          <w:numId w:val="0"/>
        </w:numPr>
        <w:tabs>
          <w:tab w:val="num" w:pos="576"/>
        </w:tabs>
        <w:overflowPunct/>
        <w:autoSpaceDE/>
        <w:autoSpaceDN/>
        <w:adjustRightInd/>
        <w:spacing w:after="60"/>
        <w:ind w:left="576" w:hanging="576"/>
        <w:textAlignment w:val="auto"/>
        <w:rPr>
          <w:lang w:bidi="ar-DZ"/>
        </w:rPr>
      </w:pPr>
      <w:bookmarkStart w:id="32" w:name="_Toc401158822"/>
      <w:bookmarkStart w:id="33" w:name="_Toc401159827"/>
      <w:bookmarkStart w:id="34" w:name="_Toc527647392"/>
      <w:bookmarkStart w:id="35" w:name="_Toc14367823"/>
      <w:r>
        <w:rPr>
          <w:lang w:bidi="ar-DZ"/>
        </w:rPr>
        <w:t>3</w:t>
      </w:r>
      <w:r w:rsidR="00913E6A">
        <w:rPr>
          <w:lang w:bidi="ar-DZ"/>
        </w:rPr>
        <w:t xml:space="preserve">.2 </w:t>
      </w:r>
      <w:r w:rsidR="007A7DBA">
        <w:rPr>
          <w:lang w:bidi="ar-DZ"/>
        </w:rPr>
        <w:tab/>
      </w:r>
      <w:r w:rsidR="0061423E">
        <w:rPr>
          <w:lang w:bidi="ar-DZ"/>
        </w:rPr>
        <w:t>Terms defined here</w:t>
      </w:r>
      <w:bookmarkEnd w:id="32"/>
      <w:bookmarkEnd w:id="33"/>
      <w:bookmarkEnd w:id="34"/>
      <w:bookmarkEnd w:id="35"/>
    </w:p>
    <w:p w14:paraId="7DD31689" w14:textId="77777777" w:rsidR="0061423E" w:rsidRPr="00650EC2" w:rsidRDefault="0061423E" w:rsidP="0061423E">
      <w:r w:rsidRPr="0078001F">
        <w:t xml:space="preserve">This </w:t>
      </w:r>
      <w:r>
        <w:t>Technical Report</w:t>
      </w:r>
      <w:r w:rsidRPr="0078001F">
        <w:t xml:space="preserve"> defines the following terms</w:t>
      </w:r>
      <w:r>
        <w:t>:</w:t>
      </w:r>
    </w:p>
    <w:p w14:paraId="26148E84" w14:textId="0C82ECA9" w:rsidR="0061423E" w:rsidRDefault="005D2976" w:rsidP="0061423E">
      <w:r>
        <w:rPr>
          <w:b/>
          <w:bCs/>
        </w:rPr>
        <w:t>3</w:t>
      </w:r>
      <w:r w:rsidR="0061423E" w:rsidRPr="009635CB">
        <w:rPr>
          <w:b/>
          <w:bCs/>
        </w:rPr>
        <w:t>.</w:t>
      </w:r>
      <w:r w:rsidR="00913E6A">
        <w:rPr>
          <w:b/>
          <w:bCs/>
        </w:rPr>
        <w:t>2</w:t>
      </w:r>
      <w:r w:rsidR="0061423E" w:rsidRPr="009635CB">
        <w:rPr>
          <w:b/>
          <w:bCs/>
        </w:rPr>
        <w:t>.</w:t>
      </w:r>
      <w:r w:rsidR="0061423E" w:rsidRPr="009635CB">
        <w:rPr>
          <w:b/>
          <w:bCs/>
        </w:rPr>
        <w:fldChar w:fldCharType="begin"/>
      </w:r>
      <w:r w:rsidR="0061423E" w:rsidRPr="009635CB">
        <w:rPr>
          <w:b/>
          <w:bCs/>
        </w:rPr>
        <w:instrText xml:space="preserve"> SEQ D</w:instrText>
      </w:r>
      <w:r w:rsidR="0061423E">
        <w:rPr>
          <w:b/>
          <w:bCs/>
        </w:rPr>
        <w:instrText>EF32</w:instrText>
      </w:r>
      <w:r w:rsidR="0061423E" w:rsidRPr="009635CB">
        <w:rPr>
          <w:b/>
          <w:bCs/>
        </w:rPr>
        <w:instrText xml:space="preserve"> </w:instrText>
      </w:r>
      <w:r w:rsidR="0061423E" w:rsidRPr="009635CB">
        <w:rPr>
          <w:b/>
          <w:bCs/>
        </w:rPr>
        <w:fldChar w:fldCharType="separate"/>
      </w:r>
      <w:r w:rsidR="004946F7">
        <w:rPr>
          <w:b/>
          <w:bCs/>
          <w:noProof/>
        </w:rPr>
        <w:t>1</w:t>
      </w:r>
      <w:r w:rsidR="0061423E" w:rsidRPr="009635CB">
        <w:rPr>
          <w:b/>
          <w:bCs/>
        </w:rPr>
        <w:fldChar w:fldCharType="end"/>
      </w:r>
      <w:r w:rsidR="0061423E" w:rsidRPr="009635CB">
        <w:rPr>
          <w:b/>
          <w:bCs/>
        </w:rPr>
        <w:tab/>
      </w:r>
      <w:r w:rsidR="00913E6A" w:rsidRPr="00913E6A">
        <w:rPr>
          <w:b/>
          <w:bCs/>
        </w:rPr>
        <w:t>Collection limitation</w:t>
      </w:r>
      <w:r w:rsidR="0061423E" w:rsidRPr="009635CB">
        <w:rPr>
          <w:b/>
          <w:bCs/>
        </w:rPr>
        <w:t>:</w:t>
      </w:r>
      <w:r w:rsidR="0061423E">
        <w:t xml:space="preserve"> </w:t>
      </w:r>
      <w:r w:rsidR="00913E6A" w:rsidRPr="00F80477">
        <w:t xml:space="preserve">The collection of personal information </w:t>
      </w:r>
      <w:r w:rsidR="00A2369F">
        <w:t xml:space="preserve">that </w:t>
      </w:r>
      <w:r w:rsidR="00870C2B">
        <w:t>is</w:t>
      </w:r>
      <w:r w:rsidR="00913E6A" w:rsidRPr="00F80477">
        <w:t xml:space="preserve"> fair, lawful and </w:t>
      </w:r>
      <w:r w:rsidR="00A2369F">
        <w:t xml:space="preserve">that is </w:t>
      </w:r>
      <w:r w:rsidR="00913E6A" w:rsidRPr="00F80477">
        <w:t>limited to that which is necessary for the specific purposes;</w:t>
      </w:r>
    </w:p>
    <w:p w14:paraId="44141857" w14:textId="2C820FD5" w:rsidR="00561038" w:rsidRDefault="005D2976" w:rsidP="0061423E">
      <w:r>
        <w:rPr>
          <w:b/>
          <w:bCs/>
        </w:rPr>
        <w:t>3</w:t>
      </w:r>
      <w:r w:rsidR="0061423E" w:rsidRPr="009635CB">
        <w:rPr>
          <w:b/>
          <w:bCs/>
        </w:rPr>
        <w:t>.</w:t>
      </w:r>
      <w:r w:rsidR="00913E6A">
        <w:rPr>
          <w:b/>
          <w:bCs/>
        </w:rPr>
        <w:t>2</w:t>
      </w:r>
      <w:r w:rsidR="0061423E" w:rsidRPr="009635CB">
        <w:rPr>
          <w:b/>
          <w:bCs/>
        </w:rPr>
        <w:t>.</w:t>
      </w:r>
      <w:r w:rsidR="0061423E" w:rsidRPr="009635CB">
        <w:rPr>
          <w:b/>
          <w:bCs/>
        </w:rPr>
        <w:fldChar w:fldCharType="begin"/>
      </w:r>
      <w:r w:rsidR="0061423E" w:rsidRPr="009635CB">
        <w:rPr>
          <w:b/>
          <w:bCs/>
        </w:rPr>
        <w:instrText xml:space="preserve"> SEQ D</w:instrText>
      </w:r>
      <w:r w:rsidR="0061423E">
        <w:rPr>
          <w:b/>
          <w:bCs/>
        </w:rPr>
        <w:instrText>EF32</w:instrText>
      </w:r>
      <w:r w:rsidR="0061423E" w:rsidRPr="009635CB">
        <w:rPr>
          <w:b/>
          <w:bCs/>
        </w:rPr>
        <w:instrText xml:space="preserve"> </w:instrText>
      </w:r>
      <w:r w:rsidR="0061423E" w:rsidRPr="009635CB">
        <w:rPr>
          <w:b/>
          <w:bCs/>
        </w:rPr>
        <w:fldChar w:fldCharType="separate"/>
      </w:r>
      <w:r w:rsidR="004946F7">
        <w:rPr>
          <w:b/>
          <w:bCs/>
          <w:noProof/>
        </w:rPr>
        <w:t>2</w:t>
      </w:r>
      <w:r w:rsidR="0061423E" w:rsidRPr="009635CB">
        <w:rPr>
          <w:b/>
          <w:bCs/>
        </w:rPr>
        <w:fldChar w:fldCharType="end"/>
      </w:r>
      <w:r w:rsidR="0061423E" w:rsidRPr="009635CB">
        <w:rPr>
          <w:b/>
          <w:bCs/>
        </w:rPr>
        <w:tab/>
      </w:r>
      <w:r w:rsidR="009B6602" w:rsidRPr="009B6602">
        <w:rPr>
          <w:b/>
          <w:bCs/>
        </w:rPr>
        <w:t>Data minimization</w:t>
      </w:r>
      <w:r w:rsidR="0061423E" w:rsidRPr="009635CB">
        <w:rPr>
          <w:b/>
          <w:bCs/>
        </w:rPr>
        <w:t>:</w:t>
      </w:r>
      <w:r w:rsidR="0061423E">
        <w:t xml:space="preserve"> </w:t>
      </w:r>
      <w:r w:rsidR="009B6602" w:rsidRPr="00F80477">
        <w:t xml:space="preserve">The collection of </w:t>
      </w:r>
      <w:r w:rsidR="00561038">
        <w:t>personal data</w:t>
      </w:r>
      <w:r w:rsidR="009B6602" w:rsidRPr="00F80477">
        <w:t xml:space="preserve"> </w:t>
      </w:r>
      <w:r w:rsidR="00561038">
        <w:t>that is</w:t>
      </w:r>
      <w:r w:rsidR="009B6602" w:rsidRPr="00F80477">
        <w:t xml:space="preserve"> kept to a strict minimum. </w:t>
      </w:r>
    </w:p>
    <w:p w14:paraId="3CDCB6C7" w14:textId="79F4718F" w:rsidR="001D6CB4" w:rsidRDefault="00561038" w:rsidP="0061423E">
      <w:r>
        <w:t xml:space="preserve">Note: </w:t>
      </w:r>
      <w:r w:rsidR="009B6602" w:rsidRPr="00F80477">
        <w:t>The design of programs, information and communication technologies, and systems begin</w:t>
      </w:r>
      <w:r>
        <w:t>s</w:t>
      </w:r>
      <w:r w:rsidR="009B6602" w:rsidRPr="00F80477">
        <w:t xml:space="preserve"> with non-identifiable interactions and transactions, as the default. Wherever possible, identifiability, observability and likability of personal information </w:t>
      </w:r>
      <w:r>
        <w:t>is</w:t>
      </w:r>
      <w:r w:rsidR="009B6602" w:rsidRPr="00F80477">
        <w:t xml:space="preserve"> minimized.</w:t>
      </w:r>
    </w:p>
    <w:p w14:paraId="4C18D06F" w14:textId="3EBD45A3" w:rsidR="00096169" w:rsidRDefault="005D2976" w:rsidP="0061423E">
      <w:r>
        <w:rPr>
          <w:b/>
          <w:bCs/>
        </w:rPr>
        <w:t>3</w:t>
      </w:r>
      <w:r w:rsidR="00CB012D" w:rsidRPr="00CB012D">
        <w:rPr>
          <w:b/>
          <w:bCs/>
        </w:rPr>
        <w:t>.2.</w:t>
      </w:r>
      <w:r>
        <w:rPr>
          <w:b/>
          <w:bCs/>
        </w:rPr>
        <w:t>3</w:t>
      </w:r>
      <w:r w:rsidR="00CB012D" w:rsidRPr="00CB012D">
        <w:rPr>
          <w:b/>
          <w:bCs/>
        </w:rPr>
        <w:t xml:space="preserve"> Purpose specification</w:t>
      </w:r>
      <w:r w:rsidR="00CB012D">
        <w:t xml:space="preserve">: </w:t>
      </w:r>
      <w:r w:rsidR="00CB012D" w:rsidRPr="00827C71">
        <w:t xml:space="preserve">Purpose for which personal information is collected, used, retained and disclosed </w:t>
      </w:r>
      <w:r w:rsidR="00096169">
        <w:t>that is</w:t>
      </w:r>
      <w:r w:rsidR="00CB012D" w:rsidRPr="00827C71">
        <w:t xml:space="preserve"> communicated to the individual (data subject) at or before the time the information is collected. </w:t>
      </w:r>
    </w:p>
    <w:p w14:paraId="7BD34701" w14:textId="68E3DBEB" w:rsidR="00CB012D" w:rsidRDefault="00096169" w:rsidP="0061423E">
      <w:r>
        <w:t xml:space="preserve">Note: </w:t>
      </w:r>
      <w:r w:rsidR="00CB012D" w:rsidRPr="00827C71">
        <w:t>Specified purposes should be clear, limited and relevant to the circumstances.</w:t>
      </w:r>
    </w:p>
    <w:p w14:paraId="41BEB3EE" w14:textId="7F825F6B" w:rsidR="00B2375A" w:rsidRDefault="00B2375A" w:rsidP="0061423E"/>
    <w:p w14:paraId="4FFF99C9" w14:textId="1549E717" w:rsidR="0061423E" w:rsidRDefault="0061423E" w:rsidP="00A957D5">
      <w:pPr>
        <w:pStyle w:val="Heading1"/>
        <w:keepLines w:val="0"/>
        <w:numPr>
          <w:ilvl w:val="0"/>
          <w:numId w:val="13"/>
        </w:numPr>
        <w:overflowPunct/>
        <w:autoSpaceDE/>
        <w:autoSpaceDN/>
        <w:adjustRightInd/>
        <w:spacing w:before="240" w:after="60"/>
        <w:textAlignment w:val="auto"/>
        <w:rPr>
          <w:lang w:bidi="ar-DZ"/>
        </w:rPr>
      </w:pPr>
      <w:bookmarkStart w:id="36" w:name="_Toc401158823"/>
      <w:bookmarkStart w:id="37" w:name="_Toc401159828"/>
      <w:bookmarkStart w:id="38" w:name="_Toc527647393"/>
      <w:bookmarkStart w:id="39" w:name="_Toc14367824"/>
      <w:r w:rsidRPr="00467172">
        <w:rPr>
          <w:lang w:bidi="ar-DZ"/>
        </w:rPr>
        <w:t>Abbreviations</w:t>
      </w:r>
      <w:bookmarkEnd w:id="36"/>
      <w:bookmarkEnd w:id="37"/>
      <w:bookmarkEnd w:id="38"/>
      <w:bookmarkEnd w:id="39"/>
    </w:p>
    <w:p w14:paraId="68D3EBF0" w14:textId="250F4D1A" w:rsidR="00913E6A" w:rsidRDefault="00913E6A" w:rsidP="00913E6A">
      <w:pPr>
        <w:rPr>
          <w:lang w:bidi="ar-DZ"/>
        </w:rPr>
      </w:pPr>
    </w:p>
    <w:p w14:paraId="5B171FC3" w14:textId="715FEEA7" w:rsidR="00F83C31" w:rsidRDefault="00F83C31" w:rsidP="00913E6A">
      <w:pPr>
        <w:pStyle w:val="definition"/>
      </w:pPr>
      <w:r>
        <w:t>AI:</w:t>
      </w:r>
      <w:r>
        <w:tab/>
        <w:t>Artificial intelligence</w:t>
      </w:r>
    </w:p>
    <w:p w14:paraId="55A49CFE" w14:textId="085360A0" w:rsidR="005D2976" w:rsidRDefault="005D2976" w:rsidP="00913E6A">
      <w:pPr>
        <w:pStyle w:val="definition"/>
      </w:pPr>
      <w:r>
        <w:t>DPM:</w:t>
      </w:r>
      <w:r>
        <w:tab/>
        <w:t>Data processing and management</w:t>
      </w:r>
    </w:p>
    <w:p w14:paraId="01AE9998" w14:textId="2A9C84BB" w:rsidR="00F83C31" w:rsidRPr="006A128F" w:rsidRDefault="00F83C31" w:rsidP="00913E6A">
      <w:pPr>
        <w:pStyle w:val="definition"/>
      </w:pPr>
      <w:r>
        <w:t>EU:</w:t>
      </w:r>
      <w:r>
        <w:tab/>
        <w:t>European Union</w:t>
      </w:r>
    </w:p>
    <w:p w14:paraId="29034E80" w14:textId="5E832992" w:rsidR="005D2976" w:rsidRDefault="005D2976" w:rsidP="00913E6A">
      <w:pPr>
        <w:pStyle w:val="definition"/>
      </w:pPr>
      <w:r>
        <w:t>ICT:</w:t>
      </w:r>
      <w:r>
        <w:tab/>
        <w:t>Information and communications technology</w:t>
      </w:r>
    </w:p>
    <w:p w14:paraId="68DEAD70" w14:textId="3C853AD8" w:rsidR="005D2976" w:rsidRDefault="005D2976" w:rsidP="00913E6A">
      <w:pPr>
        <w:pStyle w:val="definition"/>
      </w:pPr>
      <w:r>
        <w:t>IoT:</w:t>
      </w:r>
      <w:r>
        <w:tab/>
        <w:t>Internet of Things</w:t>
      </w:r>
    </w:p>
    <w:p w14:paraId="346AA4DC" w14:textId="2C5F5361" w:rsidR="00913E6A" w:rsidRDefault="00913E6A" w:rsidP="001039C5">
      <w:pPr>
        <w:ind w:left="2552" w:hanging="2552"/>
      </w:pPr>
      <w:r>
        <w:t>GDPR:</w:t>
      </w:r>
      <w:r w:rsidR="001039C5">
        <w:tab/>
      </w:r>
      <w:r w:rsidR="001039C5" w:rsidRPr="001039C5">
        <w:rPr>
          <w:rFonts w:eastAsia="Batang"/>
          <w:lang w:val="it-IT" w:eastAsia="zh-CN"/>
        </w:rPr>
        <w:t xml:space="preserve">Regulation (EU) 2016/679 of the European Parliament and of the Council of 27 April 2016 on the protection of natural persons with regard </w:t>
      </w:r>
      <w:r w:rsidR="001039C5" w:rsidRPr="001039C5">
        <w:rPr>
          <w:rFonts w:eastAsia="Batang"/>
          <w:lang w:val="it-IT" w:eastAsia="zh-CN"/>
        </w:rPr>
        <w:lastRenderedPageBreak/>
        <w:t>to the processing of personal data and on the free movement of such data, and repealing Directive 95/46/EC (General Data Protection Regulation)</w:t>
      </w:r>
      <w:r w:rsidR="001039C5" w:rsidRPr="001039C5">
        <w:rPr>
          <w:rFonts w:ascii="Helvetica Neue" w:hAnsi="Helvetica Neue"/>
          <w:color w:val="444444"/>
          <w:sz w:val="21"/>
          <w:szCs w:val="21"/>
          <w:shd w:val="clear" w:color="auto" w:fill="FFFFFF"/>
        </w:rPr>
        <w:t> </w:t>
      </w:r>
    </w:p>
    <w:p w14:paraId="570D9C09" w14:textId="2D88BB12" w:rsidR="00913E6A" w:rsidRDefault="00913E6A" w:rsidP="003D6119">
      <w:pPr>
        <w:pStyle w:val="definition"/>
      </w:pPr>
      <w:r>
        <w:t>ISO:</w:t>
      </w:r>
      <w:r>
        <w:tab/>
        <w:t>International Organization for Standardization</w:t>
      </w:r>
    </w:p>
    <w:p w14:paraId="0A9A9C0C" w14:textId="519CC78F" w:rsidR="005D2976" w:rsidRDefault="005D2976" w:rsidP="003B6434">
      <w:pPr>
        <w:pStyle w:val="definition"/>
      </w:pPr>
      <w:r>
        <w:t>SC&amp;C</w:t>
      </w:r>
      <w:r w:rsidR="00F83C31">
        <w:t>:</w:t>
      </w:r>
      <w:r>
        <w:tab/>
        <w:t>Smart cities and communities</w:t>
      </w:r>
    </w:p>
    <w:p w14:paraId="4D1361EB" w14:textId="0AC188C9" w:rsidR="00F83C31" w:rsidRPr="00A72795" w:rsidRDefault="00F83C31" w:rsidP="00F83C31">
      <w:pPr>
        <w:ind w:left="2552" w:hanging="2552"/>
        <w:rPr>
          <w:sz w:val="18"/>
          <w:szCs w:val="18"/>
        </w:rPr>
      </w:pPr>
      <w:r w:rsidRPr="00E44EE9">
        <w:t>TVRA</w:t>
      </w:r>
      <w:r>
        <w:t>:</w:t>
      </w:r>
      <w:r>
        <w:tab/>
      </w:r>
      <w:r w:rsidRPr="00F83C31">
        <w:rPr>
          <w:rFonts w:eastAsia="Batang"/>
          <w:lang w:val="it-IT" w:eastAsia="zh-CN"/>
        </w:rPr>
        <w:t>Threat, Vulnerability and Risk Analysis</w:t>
      </w:r>
    </w:p>
    <w:p w14:paraId="6B9D2B9C" w14:textId="01280BB7" w:rsidR="00F83C31" w:rsidRDefault="00F83C31" w:rsidP="00F83C31">
      <w:pPr>
        <w:pStyle w:val="definition"/>
      </w:pPr>
      <w:r w:rsidRPr="008513E6">
        <w:t>WIPO</w:t>
      </w:r>
      <w:r>
        <w:t>:</w:t>
      </w:r>
      <w:r>
        <w:tab/>
        <w:t>World Intellectual Property Organization</w:t>
      </w:r>
    </w:p>
    <w:p w14:paraId="7856180F" w14:textId="77777777" w:rsidR="009F29DB" w:rsidRDefault="009F29DB" w:rsidP="00F83C31">
      <w:pPr>
        <w:pStyle w:val="definition"/>
      </w:pPr>
    </w:p>
    <w:p w14:paraId="77A43450" w14:textId="71BA208B" w:rsidR="0039732A" w:rsidRDefault="0039732A" w:rsidP="00A957D5">
      <w:pPr>
        <w:pStyle w:val="Heading1"/>
        <w:keepLines w:val="0"/>
        <w:numPr>
          <w:ilvl w:val="0"/>
          <w:numId w:val="13"/>
        </w:numPr>
        <w:overflowPunct/>
        <w:autoSpaceDE/>
        <w:autoSpaceDN/>
        <w:adjustRightInd/>
        <w:spacing w:before="240" w:after="60"/>
        <w:textAlignment w:val="auto"/>
      </w:pPr>
      <w:bookmarkStart w:id="40" w:name="_Toc14367825"/>
      <w:r>
        <w:t>Security, privacy, risk and governance in data processing and management in the internet of things and smart cities and communities</w:t>
      </w:r>
      <w:bookmarkEnd w:id="40"/>
    </w:p>
    <w:p w14:paraId="689B305A" w14:textId="6914E577" w:rsidR="0039732A" w:rsidRDefault="0039732A" w:rsidP="0039732A">
      <w:pPr>
        <w:pStyle w:val="Heading2"/>
      </w:pPr>
      <w:bookmarkStart w:id="41" w:name="_Toc14367826"/>
      <w:r>
        <w:t xml:space="preserve">5.1 </w:t>
      </w:r>
      <w:r w:rsidR="007D3683">
        <w:tab/>
      </w:r>
      <w:r>
        <w:t>Security concerns</w:t>
      </w:r>
      <w:bookmarkEnd w:id="41"/>
    </w:p>
    <w:p w14:paraId="249AE52F" w14:textId="38B403CA" w:rsidR="0039732A" w:rsidRPr="00EA1128" w:rsidRDefault="0039732A" w:rsidP="00722CF5">
      <w:pPr>
        <w:jc w:val="both"/>
      </w:pPr>
      <w:r>
        <w:t>Data s</w:t>
      </w:r>
      <w:r w:rsidRPr="00EA1128">
        <w:t>ecurity is a fundamental concern within smart</w:t>
      </w:r>
      <w:r>
        <w:t xml:space="preserve"> and sustainable</w:t>
      </w:r>
      <w:r w:rsidRPr="00EA1128">
        <w:t xml:space="preserve"> cities as technological developments </w:t>
      </w:r>
      <w:r w:rsidRPr="003F09A6">
        <w:t>present new and often still unsolved pr</w:t>
      </w:r>
      <w:r w:rsidRPr="006A128F">
        <w:t>oblems for smart cities. The growing body of data collected</w:t>
      </w:r>
      <w:r w:rsidRPr="00EA1128">
        <w:t xml:space="preserve"> demands for specific capabilities and capacities in order to manage data streams coming from different sources. Data need to be managed and processed properly in order to maximize their value</w:t>
      </w:r>
      <w:r>
        <w:t xml:space="preserve"> (both for citizens and for cities)</w:t>
      </w:r>
      <w:r w:rsidRPr="00EA1128">
        <w:t xml:space="preserve"> in a secure manner. The large and interconnected network of devices generate issues ranging from social surveillance to vulnerabilities in the technical infrastructures to attacks (for instance in the case of traffic systems)</w:t>
      </w:r>
      <w:r w:rsidRPr="00EA1128">
        <w:rPr>
          <w:rStyle w:val="FootnoteReference"/>
        </w:rPr>
        <w:footnoteReference w:id="1"/>
      </w:r>
      <w:r w:rsidRPr="00EA1128">
        <w:t xml:space="preserve">. </w:t>
      </w:r>
      <w:r>
        <w:t>In many parts of the world, policy makers and legislators are trying to address security issues also by improving the existing legal framework on liabilities. For instance</w:t>
      </w:r>
      <w:r w:rsidR="00722CF5">
        <w:t>,</w:t>
      </w:r>
      <w:r>
        <w:t xml:space="preserve"> the European Commission is considering whether there is a need to revise the EU Directive on Product Liability in order to tackle legal problems arising from IoT, robotics and autonomous capabilities. In Japan, the Japanese Council on Investments has approved a set of guidelines on autonomous cars which are one the first legal framework at global level on this issue. As far as data security is concerned, c</w:t>
      </w:r>
      <w:r w:rsidRPr="00EA1128">
        <w:t xml:space="preserve">ities are therefore called to preventive action in order to detect and map possible security threats in advance and act accordingly. Threats may also affect data integrity, confidentiality and accessibility. Violations of data security can therefore compromise the entire system and also the trust of citizens that without security will not trust the solutions deployed by cities. </w:t>
      </w:r>
      <w:r>
        <w:t>A minimum set of agreed security standards and practices for IoT products will be required and their developments will have to be based on a firm understanding of the risk that such systems pose today.</w:t>
      </w:r>
    </w:p>
    <w:p w14:paraId="6556F28C" w14:textId="77777777" w:rsidR="0039732A" w:rsidRDefault="0039732A" w:rsidP="00722CF5">
      <w:pPr>
        <w:jc w:val="both"/>
      </w:pPr>
      <w:r>
        <w:t>From the point of view of DPM in smart cities, data security must be ensured continuously entire the domain and throughout the life-cycle of the data in question. In order to guarantee security there should be no gaps in either protection or accountability. The protection of security here is also particularly relevant for the protection of privacy, as without the first the protection of the second cannot be guaranteed. Within the existing framework, cities should particularly be consistent with standards that have been developed for instance those on smart city business process framework (ISO 30145-1) which defines a specific process on safety, security and resilience which follows the following principles:</w:t>
      </w:r>
    </w:p>
    <w:p w14:paraId="53A3C0B8" w14:textId="77777777" w:rsidR="0039732A" w:rsidRDefault="0039732A" w:rsidP="0039732A">
      <w:pPr>
        <w:pStyle w:val="bullet0"/>
        <w:numPr>
          <w:ilvl w:val="0"/>
          <w:numId w:val="1"/>
        </w:numPr>
        <w:tabs>
          <w:tab w:val="num" w:pos="1342"/>
        </w:tabs>
        <w:ind w:left="714" w:hanging="357"/>
      </w:pPr>
      <w:r>
        <w:t>holistic approach</w:t>
      </w:r>
    </w:p>
    <w:p w14:paraId="4C254735" w14:textId="77777777" w:rsidR="0039732A" w:rsidRDefault="0039732A" w:rsidP="0039732A">
      <w:pPr>
        <w:pStyle w:val="bullet0"/>
        <w:numPr>
          <w:ilvl w:val="0"/>
          <w:numId w:val="1"/>
        </w:numPr>
        <w:tabs>
          <w:tab w:val="num" w:pos="1342"/>
        </w:tabs>
        <w:ind w:left="714" w:hanging="357"/>
      </w:pPr>
      <w:r>
        <w:t>aggregation data from multiple sources to manage safety, security and resilience</w:t>
      </w:r>
    </w:p>
    <w:p w14:paraId="4D299977" w14:textId="77777777" w:rsidR="0039732A" w:rsidRDefault="0039732A" w:rsidP="0039732A">
      <w:pPr>
        <w:pStyle w:val="bullet0"/>
        <w:numPr>
          <w:ilvl w:val="0"/>
          <w:numId w:val="1"/>
        </w:numPr>
        <w:tabs>
          <w:tab w:val="num" w:pos="1342"/>
        </w:tabs>
        <w:ind w:left="714" w:hanging="357"/>
      </w:pPr>
      <w:r>
        <w:t>elaboration of deployment of data privacy standards</w:t>
      </w:r>
    </w:p>
    <w:p w14:paraId="4FF14292" w14:textId="77777777" w:rsidR="0039732A" w:rsidRDefault="0039732A" w:rsidP="0039732A">
      <w:pPr>
        <w:pStyle w:val="bullet0"/>
        <w:numPr>
          <w:ilvl w:val="0"/>
          <w:numId w:val="1"/>
        </w:numPr>
        <w:tabs>
          <w:tab w:val="num" w:pos="1342"/>
        </w:tabs>
        <w:ind w:left="714" w:hanging="357"/>
      </w:pPr>
      <w:r>
        <w:t>separation between critical and non-critical services of the city so that services can be engineered accordingly</w:t>
      </w:r>
    </w:p>
    <w:p w14:paraId="7593BACB" w14:textId="77777777" w:rsidR="0039732A" w:rsidRDefault="0039732A" w:rsidP="0039732A">
      <w:pPr>
        <w:pStyle w:val="bullet0"/>
        <w:numPr>
          <w:ilvl w:val="0"/>
          <w:numId w:val="1"/>
        </w:numPr>
        <w:tabs>
          <w:tab w:val="num" w:pos="1342"/>
        </w:tabs>
        <w:ind w:left="714" w:hanging="357"/>
      </w:pPr>
      <w:r>
        <w:t>disaster recovery plans that are regularly tested</w:t>
      </w:r>
      <w:r>
        <w:rPr>
          <w:rStyle w:val="FootnoteReference"/>
        </w:rPr>
        <w:footnoteReference w:id="2"/>
      </w:r>
      <w:r>
        <w:t>.</w:t>
      </w:r>
    </w:p>
    <w:p w14:paraId="21A1A5E2" w14:textId="6C086C0A" w:rsidR="009434EF" w:rsidRPr="00CC413D" w:rsidRDefault="0039732A" w:rsidP="00722CF5">
      <w:pPr>
        <w:jc w:val="both"/>
      </w:pPr>
      <w:r w:rsidRPr="00CC413D">
        <w:lastRenderedPageBreak/>
        <w:t>The diversity of deployed devices in smart cities makes therefore security a multi-dimensional problem. Other principles provide that smart cities should support the harmonised cyber-security framework, man</w:t>
      </w:r>
      <w:r w:rsidR="00E80112" w:rsidRPr="00CC413D">
        <w:t>u</w:t>
      </w:r>
      <w:r w:rsidRPr="00CC413D">
        <w:t>facturers and solution vendors should integrate security in their products</w:t>
      </w:r>
      <w:r w:rsidRPr="008D42DD">
        <w:rPr>
          <w:vertAlign w:val="superscript"/>
        </w:rPr>
        <w:footnoteReference w:id="3"/>
      </w:r>
      <w:r w:rsidRPr="00CC413D">
        <w:t>.If appropriate standards will not be developed it will become increasingly more difficult to encourage end-users to rely on IoT solutions.</w:t>
      </w:r>
    </w:p>
    <w:p w14:paraId="057218AD" w14:textId="2F2272D1" w:rsidR="00E80112" w:rsidRDefault="00E80112" w:rsidP="00E80112">
      <w:pPr>
        <w:pStyle w:val="Heading2"/>
      </w:pPr>
      <w:bookmarkStart w:id="42" w:name="_Toc14367827"/>
      <w:r>
        <w:t>5.2</w:t>
      </w:r>
      <w:r w:rsidRPr="00EC2A42">
        <w:tab/>
      </w:r>
      <w:r>
        <w:t>Privacy and data protection concerns</w:t>
      </w:r>
      <w:bookmarkEnd w:id="42"/>
    </w:p>
    <w:p w14:paraId="0529521C" w14:textId="6F9758BC" w:rsidR="00E80112" w:rsidRDefault="00E80112" w:rsidP="00722CF5">
      <w:pPr>
        <w:jc w:val="both"/>
      </w:pPr>
      <w:r>
        <w:t>Data protection within the context of smart cities can be seen from different points of view. First of all, one has to bear in mind that when we look at smart cities they are subject to different legislation in many parts of the world and therefore their regulation is not uniform. If we take into account the European situation, starting from a user-centred point of view, and taking into account the GDPR, we can derive important principles of significant importance for smart cities</w:t>
      </w:r>
      <w:r>
        <w:rPr>
          <w:rStyle w:val="FootnoteReference"/>
        </w:rPr>
        <w:footnoteReference w:id="4"/>
      </w:r>
      <w:r>
        <w:t>.  The GDPR enshrines a set of fundamental principles and norms that are always to be taken into account in the context of smart cities. Among them: lawfulness; fairness; transparency; purpose limitation; Data minimisation; accuracy; storage limitation; integrity and accountability. The GDPR also provides detailed norms for the collection of consent. The GDPR is more prescriptive when it comes to the conditions for consent, however the new rules transpose into law what was already required by certain supervisory authorities. According to article 4(11) of the GDPR consent means any “freely given, specific, informed, and unambiguous indication of the data subject’s wishes by which he or she, by statement or by clear affirmative action, signifies agreement to the processing of personal data relating to him or her”. The GDPR also details the requirement for the processing of personal data of underage persons and processing of special categories of data. The GDPR sets out obligations provides for obligations towards the facilitation of the exercise of the data subject’s right to information such as access to personal data, rectification and erasure, right to data portability. The legal provisions also enable the data subject to restrict processing of his data under certain circumstances and detail processes for objection and seeks to protect the individual vis-à-vis automated decision</w:t>
      </w:r>
      <w:r w:rsidR="00722CF5">
        <w:t>-</w:t>
      </w:r>
      <w:r>
        <w:t>making mechanisms.</w:t>
      </w:r>
    </w:p>
    <w:p w14:paraId="1D3FA490" w14:textId="77777777" w:rsidR="00E80112" w:rsidRDefault="00E80112" w:rsidP="00E80112">
      <w:r>
        <w:t>The GDPR will require smart cities:</w:t>
      </w:r>
    </w:p>
    <w:p w14:paraId="2D98D81E" w14:textId="321B4E19" w:rsidR="00E80112" w:rsidRDefault="00E80112" w:rsidP="00E80112">
      <w:pPr>
        <w:pStyle w:val="bullet0"/>
        <w:numPr>
          <w:ilvl w:val="0"/>
          <w:numId w:val="1"/>
        </w:numPr>
        <w:tabs>
          <w:tab w:val="num" w:pos="1342"/>
        </w:tabs>
        <w:ind w:left="714" w:hanging="357"/>
      </w:pPr>
      <w:r>
        <w:t xml:space="preserve">the use of </w:t>
      </w:r>
      <w:r w:rsidR="008D42DD">
        <w:t>p</w:t>
      </w:r>
      <w:r>
        <w:t>rivacy by design, privacy by default and the use of the Privacy Impact Assessment in the design and management of ICT solutions using personal data</w:t>
      </w:r>
    </w:p>
    <w:p w14:paraId="5BA7CC64" w14:textId="16FF23BA" w:rsidR="00E80112" w:rsidRDefault="00E80112" w:rsidP="00E80112">
      <w:pPr>
        <w:pStyle w:val="bullet0"/>
        <w:numPr>
          <w:ilvl w:val="0"/>
          <w:numId w:val="1"/>
        </w:numPr>
        <w:tabs>
          <w:tab w:val="num" w:pos="1342"/>
        </w:tabs>
        <w:ind w:left="714" w:hanging="357"/>
      </w:pPr>
      <w:r>
        <w:t>the appointment of data protection officers</w:t>
      </w:r>
    </w:p>
    <w:p w14:paraId="4F58FBD5" w14:textId="7AC6A7AB" w:rsidR="00E80112" w:rsidRDefault="00E80112" w:rsidP="00E80112">
      <w:r>
        <w:t xml:space="preserve">We have basic principles to implement </w:t>
      </w:r>
      <w:r w:rsidR="008D42DD">
        <w:t>privacy by design</w:t>
      </w:r>
      <w:r>
        <w:t xml:space="preserve"> measures within smart cities. Here we have different options:</w:t>
      </w:r>
    </w:p>
    <w:p w14:paraId="23C1FC9D" w14:textId="77777777" w:rsidR="00E80112" w:rsidRDefault="00E80112" w:rsidP="00E80112">
      <w:pPr>
        <w:pStyle w:val="bullet0"/>
        <w:numPr>
          <w:ilvl w:val="0"/>
          <w:numId w:val="1"/>
        </w:numPr>
        <w:tabs>
          <w:tab w:val="num" w:pos="1342"/>
        </w:tabs>
        <w:ind w:left="714" w:hanging="357"/>
      </w:pPr>
      <w:r>
        <w:t>Ann Cavoukian seven principles: proactive not reactive; privacy as default setting, privacy by design, positive sum, security, transparency, user-centric</w:t>
      </w:r>
    </w:p>
    <w:p w14:paraId="6404CB87" w14:textId="77777777" w:rsidR="00E80112" w:rsidRDefault="00E80112" w:rsidP="00E80112">
      <w:pPr>
        <w:pStyle w:val="bullet0"/>
        <w:numPr>
          <w:ilvl w:val="0"/>
          <w:numId w:val="1"/>
        </w:numPr>
        <w:tabs>
          <w:tab w:val="num" w:pos="1342"/>
        </w:tabs>
        <w:ind w:left="714" w:hanging="357"/>
      </w:pPr>
      <w:r>
        <w:t>ISO 29100 standard: consent and choice, purpose, collection limitation, data minimization, use limitation, accuracy and quality, openness/transparency/notice/, individual participation and access, accountability, security</w:t>
      </w:r>
    </w:p>
    <w:p w14:paraId="2700F899" w14:textId="77777777" w:rsidR="00E80112" w:rsidRDefault="00E80112" w:rsidP="00E80112">
      <w:pPr>
        <w:pStyle w:val="bullet0"/>
        <w:numPr>
          <w:ilvl w:val="0"/>
          <w:numId w:val="1"/>
        </w:numPr>
        <w:tabs>
          <w:tab w:val="num" w:pos="1342"/>
        </w:tabs>
        <w:ind w:left="714" w:hanging="357"/>
      </w:pPr>
      <w:r>
        <w:t xml:space="preserve">Other jurisdictions are also developing legislation focused at protecting privacy. For instance Japan approved the </w:t>
      </w:r>
      <w:r w:rsidRPr="00A759FE">
        <w:rPr>
          <w:i/>
        </w:rPr>
        <w:t>Act on the Protection of Personal Information</w:t>
      </w:r>
      <w:r>
        <w:t xml:space="preserve"> which entered into force on May 30</w:t>
      </w:r>
      <w:r w:rsidRPr="00A759FE">
        <w:rPr>
          <w:vertAlign w:val="superscript"/>
        </w:rPr>
        <w:t>th</w:t>
      </w:r>
      <w:r>
        <w:t xml:space="preserve"> 2017</w:t>
      </w:r>
      <w:r>
        <w:rPr>
          <w:rStyle w:val="FootnoteReference"/>
        </w:rPr>
        <w:footnoteReference w:id="5"/>
      </w:r>
      <w:r>
        <w:t xml:space="preserve">. The new law created the Personal Information Protection Commission, expands the scope and definition of the notion of “personal information” also by adding the new category of “Sensitive Personal Information”. Under the Act information handlers are </w:t>
      </w:r>
      <w:r>
        <w:lastRenderedPageBreak/>
        <w:t>required to take necessary and appropriate measures to ensure the security of personal information. The measures that will be deemed appropriate to the case will depend on the nature, scope, context and purpose of use or processing of personal data and also the risks for rights and freedoms of individuals. In other parts of the world several countries are developing personal data protection legislations. For instance, there is nounified approach in the African continent where some countries have comprehensive personal data protection legislations and others have no legislation or contitutional protection. There are 14 countries which have enacted data protection legislation and the African Union has adopted the AU Convention on Cybersecurity and Data protection which still has to enter into force</w:t>
      </w:r>
      <w:r>
        <w:rPr>
          <w:rStyle w:val="FootnoteReference"/>
        </w:rPr>
        <w:footnoteReference w:id="6"/>
      </w:r>
      <w:r>
        <w:t>.  Also in South America different countries have enacted data protection laws: Argentina</w:t>
      </w:r>
      <w:r>
        <w:rPr>
          <w:rStyle w:val="FootnoteReference"/>
        </w:rPr>
        <w:footnoteReference w:id="7"/>
      </w:r>
      <w:r>
        <w:t>; Costa Rica</w:t>
      </w:r>
      <w:r>
        <w:rPr>
          <w:rStyle w:val="FootnoteReference"/>
        </w:rPr>
        <w:footnoteReference w:id="8"/>
      </w:r>
      <w:r>
        <w:t>; Mexico</w:t>
      </w:r>
      <w:r>
        <w:rPr>
          <w:rStyle w:val="FootnoteReference"/>
        </w:rPr>
        <w:footnoteReference w:id="9"/>
      </w:r>
      <w:r>
        <w:t>; Perù</w:t>
      </w:r>
      <w:r>
        <w:rPr>
          <w:rStyle w:val="FootnoteReference"/>
        </w:rPr>
        <w:footnoteReference w:id="10"/>
      </w:r>
      <w:r>
        <w:t>; Uruguay</w:t>
      </w:r>
      <w:r>
        <w:rPr>
          <w:rStyle w:val="FootnoteReference"/>
        </w:rPr>
        <w:footnoteReference w:id="11"/>
      </w:r>
      <w:r>
        <w:t>. Brazil has approved a comprehensive data protection on August 14th 2018 to boost the adoption of IoT solutions and the development of smart cities in the country</w:t>
      </w:r>
      <w:r>
        <w:rPr>
          <w:rStyle w:val="FootnoteReference"/>
        </w:rPr>
        <w:footnoteReference w:id="12"/>
      </w:r>
      <w:r>
        <w:t>. The law has become effective in February 2018. Key features of this new law are: the establishment of a national data protection authority, the introduction of the data protection officer, legal basis for data processing, consent requirements, notification of data breaches,  privacy by design and privacy impact assessment, data transfer restrictions.</w:t>
      </w:r>
    </w:p>
    <w:p w14:paraId="6B4DD767" w14:textId="77777777" w:rsidR="00E80112" w:rsidRDefault="00E80112" w:rsidP="00F31B37">
      <w:pPr>
        <w:jc w:val="both"/>
      </w:pPr>
      <w:r>
        <w:t>As we can see, many states are developing laws and regulations aimed at protecting the privacy of individuals. Privacy and data security-failures, in fact, are to be considered as one of the most important problem that can occur in smart cities. As the most important component in the development of smart cities are data and their use, one has to be particularly careful in their management, in fact: “IoT landscape heavily leverage on personal data to deliver services and increase consumers’ welfare, personal data protection and security are key elements in the “value creation chain” of  IoT”</w:t>
      </w:r>
      <w:r>
        <w:rPr>
          <w:rStyle w:val="FootnoteReference"/>
        </w:rPr>
        <w:footnoteReference w:id="13"/>
      </w:r>
      <w:r>
        <w:t>. In this scenario the use of IoT devices in smart cities is not new, but makes more complex the subject’s control over his own personal data and becomes more difficult to identify the legal grounds for personal data processing. The presence of multiple devices, data sources and entities processing personal data has also an effect on the acquisition of the data subject’s consent which in the context of smart cities, under EU law, may constitute a legal basis for personal data processing of IoT deployments. There is therefore a direct relationship between IoT architectures in smart cities and privacy protection and this is the reason why an approach of privacy by design should be encouraged.</w:t>
      </w:r>
    </w:p>
    <w:p w14:paraId="244D71BF" w14:textId="6E6C4969" w:rsidR="00E80112" w:rsidRDefault="00E80112" w:rsidP="00F31B37">
      <w:pPr>
        <w:jc w:val="both"/>
      </w:pPr>
      <w:r>
        <w:t>According to the GDPR, which is probably the most advanced legislation at the global level, many cities will need to comply with legal accountability obligations to European Data protection law. As data controllers, cities will be required to implement appropriate technical and organizational measures to ensure and be able to demonstrate that data processing is performed in accordance with the GDPR, and review and update those measures when necessary. In each case cities will be called to evaluate which measures will be appropriate. This will depend on the nature, scope, context and purpose of the processing and also the risks for rights and freedoms of individuals. Regulators around the word are also embracing the concept of accountability as a key principle in data process management (privacy regulators in Canada, Hong Kong, Australia have issued “</w:t>
      </w:r>
      <w:r w:rsidRPr="00515F28">
        <w:rPr>
          <w:i/>
        </w:rPr>
        <w:t>Accou</w:t>
      </w:r>
      <w:r w:rsidR="00F31B37">
        <w:rPr>
          <w:i/>
        </w:rPr>
        <w:t>n</w:t>
      </w:r>
      <w:r w:rsidRPr="00515F28">
        <w:rPr>
          <w:i/>
        </w:rPr>
        <w:t>tability Guides</w:t>
      </w:r>
      <w:r>
        <w:t>” or “</w:t>
      </w:r>
      <w:r w:rsidRPr="00515F28">
        <w:rPr>
          <w:i/>
        </w:rPr>
        <w:t>Privacy Governance Frameworks</w:t>
      </w:r>
      <w:r>
        <w:t>” in order to assist the private sector).</w:t>
      </w:r>
    </w:p>
    <w:p w14:paraId="149A7B1F" w14:textId="4A117272" w:rsidR="00E80112" w:rsidRPr="00E80112" w:rsidRDefault="00E80112" w:rsidP="00F31B37">
      <w:pPr>
        <w:jc w:val="both"/>
      </w:pPr>
      <w:r>
        <w:t xml:space="preserve">Basic frameworks to deal with IoT solutions, also in the context of smart cities, have been recently elaborated.  Hyper-connectivity in fact entails a great deal of risks and calls for the development of a </w:t>
      </w:r>
      <w:r>
        <w:lastRenderedPageBreak/>
        <w:t>proper legal framework. The regulatory ecosystem of course will vary according to the different kind of activities in place. For what may concern data protection and privacy the Article 29 Working party has specifically raised the issue of privacy and security issues raised by the IoT.</w:t>
      </w:r>
    </w:p>
    <w:p w14:paraId="1C9FBB2F" w14:textId="77777777" w:rsidR="0039732A" w:rsidRPr="0039732A" w:rsidRDefault="0039732A" w:rsidP="00F31B37"/>
    <w:p w14:paraId="2365482F" w14:textId="11506CD1" w:rsidR="00E80112" w:rsidRDefault="008D0332" w:rsidP="008D0332">
      <w:pPr>
        <w:pStyle w:val="Heading2"/>
        <w:numPr>
          <w:ilvl w:val="1"/>
          <w:numId w:val="13"/>
        </w:numPr>
      </w:pPr>
      <w:bookmarkStart w:id="43" w:name="_Toc14367828"/>
      <w:bookmarkStart w:id="44" w:name="_Toc4629840"/>
      <w:r>
        <w:t>Risk issues in data processing and management</w:t>
      </w:r>
      <w:bookmarkEnd w:id="43"/>
    </w:p>
    <w:p w14:paraId="38A8D8B9" w14:textId="1B88C56C" w:rsidR="00F31B37" w:rsidRDefault="00AE3B9A" w:rsidP="00F31B37">
      <w:pPr>
        <w:jc w:val="both"/>
      </w:pPr>
      <w:r>
        <w:t>M</w:t>
      </w:r>
      <w:r w:rsidRPr="0062767A">
        <w:t xml:space="preserve">any unknown unknowns </w:t>
      </w:r>
      <w:r>
        <w:t xml:space="preserve">stem from </w:t>
      </w:r>
      <w:r w:rsidRPr="0062767A">
        <w:t>data manage</w:t>
      </w:r>
      <w:r>
        <w:t>ment</w:t>
      </w:r>
      <w:r w:rsidRPr="0062767A">
        <w:t xml:space="preserve"> and process</w:t>
      </w:r>
      <w:r>
        <w:t>ing in IoT and SC</w:t>
      </w:r>
      <w:r w:rsidR="007946C5">
        <w:t>&amp;</w:t>
      </w:r>
      <w:r>
        <w:t>C, with a direct impact on t</w:t>
      </w:r>
      <w:r w:rsidRPr="0062767A">
        <w:t xml:space="preserve">he </w:t>
      </w:r>
      <w:r>
        <w:t xml:space="preserve">ecosystems’s </w:t>
      </w:r>
      <w:r w:rsidRPr="0062767A">
        <w:t>resilience and stability.</w:t>
      </w:r>
      <w:r w:rsidR="00F31B37">
        <w:t xml:space="preserve"> </w:t>
      </w:r>
      <w:r>
        <w:t xml:space="preserve">As said in the following quote: </w:t>
      </w:r>
    </w:p>
    <w:p w14:paraId="1B0540B7" w14:textId="58B52713" w:rsidR="00AE3B9A" w:rsidRPr="00292ADD" w:rsidRDefault="00AE3B9A" w:rsidP="00F31B37">
      <w:pPr>
        <w:jc w:val="both"/>
      </w:pPr>
      <w:r w:rsidRPr="00292ADD">
        <w:t>“Security</w:t>
      </w:r>
      <w:r>
        <w:t xml:space="preserve"> </w:t>
      </w:r>
      <w:r w:rsidRPr="00292ADD">
        <w:t>is</w:t>
      </w:r>
      <w:r>
        <w:t xml:space="preserve"> </w:t>
      </w:r>
      <w:r w:rsidRPr="00292ADD">
        <w:t>hard.</w:t>
      </w:r>
      <w:r>
        <w:t xml:space="preserve">  </w:t>
      </w:r>
      <w:r w:rsidRPr="00292ADD">
        <w:t>Even</w:t>
      </w:r>
      <w:r>
        <w:t xml:space="preserve"> </w:t>
      </w:r>
      <w:r w:rsidRPr="00292ADD">
        <w:t>in</w:t>
      </w:r>
      <w:r>
        <w:t xml:space="preserve"> </w:t>
      </w:r>
      <w:r w:rsidRPr="00292ADD">
        <w:t>small</w:t>
      </w:r>
      <w:r>
        <w:t xml:space="preserve"> </w:t>
      </w:r>
      <w:r w:rsidRPr="00292ADD">
        <w:t>organizations</w:t>
      </w:r>
      <w:r>
        <w:t xml:space="preserve"> </w:t>
      </w:r>
      <w:r w:rsidRPr="00292ADD">
        <w:t>with</w:t>
      </w:r>
      <w:r>
        <w:t xml:space="preserve"> </w:t>
      </w:r>
      <w:r w:rsidRPr="00292ADD">
        <w:t>well­understood</w:t>
      </w:r>
      <w:r>
        <w:t xml:space="preserve"> </w:t>
      </w:r>
      <w:r w:rsidRPr="00292ADD">
        <w:t>network</w:t>
      </w:r>
      <w:r>
        <w:t xml:space="preserve"> </w:t>
      </w:r>
      <w:r w:rsidRPr="00292ADD">
        <w:t>infrastructures,</w:t>
      </w:r>
      <w:r>
        <w:t xml:space="preserve"> </w:t>
      </w:r>
      <w:r w:rsidRPr="00292ADD">
        <w:t>keepi</w:t>
      </w:r>
      <w:r>
        <w:t>n</w:t>
      </w:r>
      <w:r w:rsidRPr="00292ADD">
        <w:t>g</w:t>
      </w:r>
      <w:r>
        <w:t xml:space="preserve"> </w:t>
      </w:r>
      <w:r w:rsidRPr="00292ADD">
        <w:t>intruders</w:t>
      </w:r>
      <w:r>
        <w:t xml:space="preserve"> </w:t>
      </w:r>
      <w:r w:rsidRPr="00292ADD">
        <w:t>out</w:t>
      </w:r>
      <w:r>
        <w:t xml:space="preserve"> </w:t>
      </w:r>
      <w:r w:rsidRPr="00292ADD">
        <w:t>cannot</w:t>
      </w:r>
      <w:r>
        <w:t xml:space="preserve"> </w:t>
      </w:r>
      <w:r w:rsidRPr="00292ADD">
        <w:t>be</w:t>
      </w:r>
      <w:r>
        <w:t xml:space="preserve"> </w:t>
      </w:r>
      <w:r w:rsidRPr="00292ADD">
        <w:t>guaranteed.</w:t>
      </w:r>
      <w:r>
        <w:t xml:space="preserve"> </w:t>
      </w:r>
      <w:r w:rsidRPr="00292ADD">
        <w:t>Imagine</w:t>
      </w:r>
      <w:r>
        <w:t xml:space="preserve"> </w:t>
      </w:r>
      <w:r w:rsidRPr="00292ADD">
        <w:t>a</w:t>
      </w:r>
      <w:r>
        <w:t xml:space="preserve"> </w:t>
      </w:r>
      <w:r w:rsidRPr="00292ADD">
        <w:t>large,</w:t>
      </w:r>
      <w:r>
        <w:t xml:space="preserve"> </w:t>
      </w:r>
      <w:r w:rsidRPr="00292ADD">
        <w:t>diverse</w:t>
      </w:r>
      <w:r>
        <w:t xml:space="preserve"> </w:t>
      </w:r>
      <w:r w:rsidRPr="00292ADD">
        <w:t>infrastructure</w:t>
      </w:r>
      <w:r>
        <w:t xml:space="preserve"> </w:t>
      </w:r>
      <w:r w:rsidRPr="00292ADD">
        <w:t>where</w:t>
      </w:r>
      <w:r>
        <w:t xml:space="preserve"> </w:t>
      </w:r>
      <w:r w:rsidRPr="00292ADD">
        <w:t>a</w:t>
      </w:r>
      <w:r>
        <w:t xml:space="preserve"> </w:t>
      </w:r>
      <w:r w:rsidRPr="00292ADD">
        <w:t>variety</w:t>
      </w:r>
      <w:r>
        <w:t xml:space="preserve"> </w:t>
      </w:r>
      <w:r w:rsidRPr="00292ADD">
        <w:t>of</w:t>
      </w:r>
      <w:r>
        <w:t xml:space="preserve"> </w:t>
      </w:r>
      <w:r w:rsidRPr="00292ADD">
        <w:t>bureaucracies</w:t>
      </w:r>
      <w:r>
        <w:t xml:space="preserve"> </w:t>
      </w:r>
      <w:r w:rsidRPr="00292ADD">
        <w:t>and</w:t>
      </w:r>
      <w:r>
        <w:t xml:space="preserve"> </w:t>
      </w:r>
      <w:r w:rsidRPr="00292ADD">
        <w:t>critical</w:t>
      </w:r>
      <w:r>
        <w:t xml:space="preserve"> </w:t>
      </w:r>
      <w:r w:rsidRPr="00292ADD">
        <w:t>infrastructure</w:t>
      </w:r>
      <w:r>
        <w:t xml:space="preserve"> </w:t>
      </w:r>
      <w:r w:rsidRPr="00292ADD">
        <w:t>components</w:t>
      </w:r>
      <w:r>
        <w:t xml:space="preserve"> </w:t>
      </w:r>
      <w:r w:rsidRPr="00292ADD">
        <w:t>share</w:t>
      </w:r>
      <w:r>
        <w:t xml:space="preserve"> </w:t>
      </w:r>
      <w:r w:rsidRPr="00292ADD">
        <w:t>complex</w:t>
      </w:r>
      <w:r>
        <w:t xml:space="preserve"> </w:t>
      </w:r>
      <w:r w:rsidRPr="00292ADD">
        <w:t>interconnections</w:t>
      </w:r>
      <w:r>
        <w:t xml:space="preserve"> </w:t>
      </w:r>
      <w:r w:rsidRPr="00292ADD">
        <w:t>with,</w:t>
      </w:r>
      <w:r>
        <w:t xml:space="preserve"> </w:t>
      </w:r>
      <w:r w:rsidRPr="00292ADD">
        <w:t>perhaps,</w:t>
      </w:r>
      <w:r>
        <w:t xml:space="preserve"> </w:t>
      </w:r>
      <w:r w:rsidRPr="00292ADD">
        <w:t>no</w:t>
      </w:r>
      <w:r>
        <w:t xml:space="preserve"> </w:t>
      </w:r>
      <w:r w:rsidRPr="00292ADD">
        <w:t>overarching</w:t>
      </w:r>
      <w:r>
        <w:t xml:space="preserve"> </w:t>
      </w:r>
      <w:r w:rsidRPr="00292ADD">
        <w:t>cybersecurity</w:t>
      </w:r>
      <w:r>
        <w:t xml:space="preserve"> </w:t>
      </w:r>
      <w:r w:rsidRPr="00292ADD">
        <w:t>architecture.</w:t>
      </w:r>
      <w:r>
        <w:t xml:space="preserve"> </w:t>
      </w:r>
      <w:r w:rsidRPr="00292ADD">
        <w:t>This</w:t>
      </w:r>
      <w:r>
        <w:t xml:space="preserve"> </w:t>
      </w:r>
      <w:r w:rsidRPr="00292ADD">
        <w:t>is</w:t>
      </w:r>
      <w:r>
        <w:t xml:space="preserve"> </w:t>
      </w:r>
      <w:r w:rsidRPr="00292ADD">
        <w:t>what</w:t>
      </w:r>
      <w:r>
        <w:t xml:space="preserve"> </w:t>
      </w:r>
      <w:r w:rsidRPr="00292ADD">
        <w:t>your</w:t>
      </w:r>
      <w:r>
        <w:t xml:space="preserve"> </w:t>
      </w:r>
      <w:r w:rsidRPr="00292ADD">
        <w:t>city</w:t>
      </w:r>
      <w:r>
        <w:t xml:space="preserve"> </w:t>
      </w:r>
      <w:r w:rsidRPr="00292ADD">
        <w:t>probably</w:t>
      </w:r>
      <w:r>
        <w:t xml:space="preserve"> </w:t>
      </w:r>
      <w:r w:rsidRPr="00292ADD">
        <w:t>faces.”</w:t>
      </w:r>
      <w:r w:rsidRPr="00292ADD">
        <w:rPr>
          <w:rStyle w:val="FootnoteReference"/>
        </w:rPr>
        <w:footnoteReference w:id="14"/>
      </w:r>
    </w:p>
    <w:p w14:paraId="28467D16" w14:textId="202645F5" w:rsidR="00AE3B9A" w:rsidRPr="00210AF1" w:rsidRDefault="00AE3B9A" w:rsidP="00210AF1">
      <w:pPr>
        <w:jc w:val="both"/>
      </w:pPr>
      <w:r>
        <w:t>This uncertainty generates a variety of risks that should be identified and managed through a risk management process to ensure a safe development of cities. To this purpose, e</w:t>
      </w:r>
      <w:r w:rsidRPr="0062767A">
        <w:t>xisting standards and methodologies</w:t>
      </w:r>
      <w:r w:rsidR="00F31B37">
        <w:rPr>
          <w:rStyle w:val="FootnoteReference"/>
        </w:rPr>
        <w:footnoteReference w:id="15"/>
      </w:r>
      <w:r w:rsidRPr="0062767A">
        <w:t xml:space="preserve"> could be adapted to the specific needs, contexts and complexities of cities, communities and projects.</w:t>
      </w:r>
      <w:r w:rsidR="00F31B37">
        <w:t xml:space="preserve"> </w:t>
      </w:r>
      <w:r>
        <w:t>Among these risks, privacy and security represent a significant threat. But as shown in Figure 16, a</w:t>
      </w:r>
      <w:r>
        <w:rPr>
          <w:color w:val="A6A6A6" w:themeColor="background1" w:themeShade="A6"/>
        </w:rPr>
        <w:t xml:space="preserve"> </w:t>
      </w:r>
      <w:r w:rsidRPr="00F31B37">
        <w:t xml:space="preserve">new paradigm </w:t>
      </w:r>
      <w:r w:rsidRPr="0062767A">
        <w:t>call</w:t>
      </w:r>
      <w:r>
        <w:t>s</w:t>
      </w:r>
      <w:r w:rsidRPr="0062767A">
        <w:t xml:space="preserve"> for faster implementation of a</w:t>
      </w:r>
      <w:r>
        <w:t xml:space="preserve"> dynamic</w:t>
      </w:r>
      <w:r w:rsidRPr="0062767A">
        <w:t xml:space="preserve"> risk management approach,</w:t>
      </w:r>
      <w:r>
        <w:t xml:space="preserve"> able to </w:t>
      </w:r>
      <w:r w:rsidRPr="0062767A">
        <w:t>anticipat</w:t>
      </w:r>
      <w:r>
        <w:t>e</w:t>
      </w:r>
      <w:r w:rsidRPr="0062767A">
        <w:t xml:space="preserve"> risks</w:t>
      </w:r>
      <w:r>
        <w:t>, cyber risks</w:t>
      </w:r>
      <w:r w:rsidRPr="0062767A">
        <w:t xml:space="preserve"> and threats </w:t>
      </w:r>
      <w:r>
        <w:t>through an</w:t>
      </w:r>
      <w:r w:rsidRPr="0062767A">
        <w:t xml:space="preserve"> ongoing </w:t>
      </w:r>
      <w:r>
        <w:t xml:space="preserve">process. </w:t>
      </w:r>
    </w:p>
    <w:p w14:paraId="33396B17" w14:textId="77777777" w:rsidR="00AE3B9A" w:rsidRDefault="00AE3B9A" w:rsidP="00AE3B9A">
      <w:pPr>
        <w:pStyle w:val="bullet0"/>
        <w:tabs>
          <w:tab w:val="clear" w:pos="1342"/>
        </w:tabs>
        <w:ind w:left="0" w:firstLine="0"/>
        <w:rPr>
          <w:b/>
          <w:bCs/>
          <w:lang w:val="en-US"/>
        </w:rPr>
      </w:pPr>
      <w:r w:rsidRPr="002F70FA">
        <w:rPr>
          <w:b/>
          <w:bCs/>
          <w:u w:val="single"/>
          <w:lang w:val="en-US"/>
        </w:rPr>
        <w:t>Data-based decisions</w:t>
      </w:r>
    </w:p>
    <w:p w14:paraId="3CD42EAD" w14:textId="416A2550" w:rsidR="00BF0EE7" w:rsidRDefault="00AE3B9A" w:rsidP="00210AF1">
      <w:pPr>
        <w:jc w:val="both"/>
      </w:pPr>
      <w:r w:rsidRPr="0062767A">
        <w:t>Smart cities entail a growing number of data-based decisions related to a wide range of topics (energy, traffic, tax, safety, insurance, etc.) and stakeholders (citizens, cities, companies, etc.) hoping for effective, fair and unbiased decisions that will result in operational efficiency, sustainable economic growth and social justice. The efficiency of the decision-making process depends on technical and non-technical parameters such as algorithms, data quality and governance – each of which could be a source of bias or error. What, then, are the economic, social or environmental consequences of wrong decisions, bias or errors due to poor quality data, misinterpretation or an inability to use the data effectively?</w:t>
      </w:r>
    </w:p>
    <w:p w14:paraId="0B7E0173" w14:textId="77777777" w:rsidR="00AE3B9A" w:rsidRPr="00FE11E7" w:rsidRDefault="00AE3B9A" w:rsidP="00BF0EE7">
      <w:pPr>
        <w:pStyle w:val="bullet0"/>
        <w:ind w:left="0" w:firstLine="0"/>
        <w:rPr>
          <w:lang w:val="en-US"/>
        </w:rPr>
      </w:pPr>
      <w:r w:rsidRPr="002F70FA">
        <w:rPr>
          <w:b/>
          <w:bCs/>
          <w:lang w:val="en-US"/>
        </w:rPr>
        <w:t>New business models</w:t>
      </w:r>
    </w:p>
    <w:p w14:paraId="7C0A4B6D" w14:textId="77777777" w:rsidR="00AE3B9A" w:rsidRDefault="00AE3B9A" w:rsidP="00210AF1">
      <w:pPr>
        <w:tabs>
          <w:tab w:val="left" w:pos="4500"/>
        </w:tabs>
        <w:spacing w:before="60" w:after="60"/>
        <w:jc w:val="both"/>
      </w:pPr>
      <w:r w:rsidRPr="007C40DB">
        <w:t>The business models of a growing number of companies rely on data.  We can then wonder i</w:t>
      </w:r>
      <w:r>
        <w:t>f</w:t>
      </w:r>
      <w:r w:rsidRPr="007C40DB">
        <w:t xml:space="preserve"> th</w:t>
      </w:r>
      <w:r>
        <w:t>ose</w:t>
      </w:r>
      <w:r w:rsidRPr="007C40DB">
        <w:t xml:space="preserve"> business models are resilient to face </w:t>
      </w:r>
      <w:r>
        <w:t xml:space="preserve">data issues and </w:t>
      </w:r>
      <w:r w:rsidRPr="007C40DB">
        <w:t>uncertainty linked to new technologies (blockchain, AI…)</w:t>
      </w:r>
      <w:r>
        <w:t>, if</w:t>
      </w:r>
      <w:r w:rsidRPr="008513E6">
        <w:t xml:space="preserve"> people (citizen, civil servant, business employees…) skills adjusted to the actual and future needs induced by digitalization</w:t>
      </w:r>
      <w:r>
        <w:rPr>
          <w:rStyle w:val="FootnoteReference"/>
        </w:rPr>
        <w:footnoteReference w:id="16"/>
      </w:r>
      <w:r>
        <w:t xml:space="preserve">, and in a more general manner, if corporate governance adapted to the changing economic world. </w:t>
      </w:r>
    </w:p>
    <w:p w14:paraId="31FC8CB5" w14:textId="77777777" w:rsidR="00AE3B9A" w:rsidRDefault="00AE3B9A" w:rsidP="00210AF1">
      <w:pPr>
        <w:tabs>
          <w:tab w:val="left" w:pos="4500"/>
        </w:tabs>
        <w:spacing w:before="60" w:after="60"/>
        <w:jc w:val="both"/>
      </w:pPr>
      <w:r>
        <w:t>D</w:t>
      </w:r>
      <w:r w:rsidRPr="008513E6">
        <w:t>igitalization</w:t>
      </w:r>
      <w:r>
        <w:t xml:space="preserve"> also</w:t>
      </w:r>
      <w:r w:rsidRPr="008513E6">
        <w:rPr>
          <w:sz w:val="22"/>
          <w:szCs w:val="22"/>
        </w:rPr>
        <w:t xml:space="preserve"> </w:t>
      </w:r>
      <w:r w:rsidRPr="008513E6">
        <w:t>challenges the valuation models that shape corporate finance. The WIPO study shows that today</w:t>
      </w:r>
      <w:r>
        <w:t>,</w:t>
      </w:r>
      <w:r w:rsidRPr="008513E6">
        <w:t xml:space="preserve"> almost a third of the value chain is based on intangible capital</w:t>
      </w:r>
      <w:r w:rsidRPr="003E2937">
        <w:rPr>
          <w:vertAlign w:val="superscript"/>
        </w:rPr>
        <w:footnoteReference w:id="17"/>
      </w:r>
      <w:r w:rsidRPr="008513E6">
        <w:t xml:space="preserve">, including databases, digital skills, technology, tools flexibility, data management process, ability to extract value from data and in a general way, anything that represents a know-how or an advance in the field of data management. </w:t>
      </w:r>
      <w:r>
        <w:t>Are</w:t>
      </w:r>
      <w:r w:rsidRPr="008513E6">
        <w:t xml:space="preserve"> business models and valuation</w:t>
      </w:r>
      <w:r>
        <w:t xml:space="preserve"> resilient</w:t>
      </w:r>
      <w:r w:rsidRPr="008513E6">
        <w:t xml:space="preserve"> in this new era of technology</w:t>
      </w:r>
      <w:r>
        <w:t>?</w:t>
      </w:r>
      <w:r w:rsidRPr="008513E6">
        <w:t xml:space="preserve"> What are the consequences on business models and valuation of </w:t>
      </w:r>
      <w:r>
        <w:t xml:space="preserve">wrong decisions or </w:t>
      </w:r>
      <w:r w:rsidRPr="008513E6">
        <w:t xml:space="preserve">errors due to poor </w:t>
      </w:r>
      <w:r w:rsidRPr="008513E6">
        <w:lastRenderedPageBreak/>
        <w:t xml:space="preserve">quality data and inability to properly use the data? </w:t>
      </w:r>
      <w:r>
        <w:t xml:space="preserve">What are the consequences of data </w:t>
      </w:r>
      <w:r w:rsidRPr="00BD7555">
        <w:t>issues on</w:t>
      </w:r>
      <w:r w:rsidRPr="00E55387">
        <w:t xml:space="preserve"> customer relationship and reputation</w:t>
      </w:r>
      <w:r w:rsidRPr="00E55387">
        <w:rPr>
          <w:vertAlign w:val="superscript"/>
        </w:rPr>
        <w:footnoteReference w:id="18"/>
      </w:r>
      <w:r w:rsidRPr="00E55387">
        <w:t>? Are companies able to maintain high reporting capabilities / ability to capture the big picture of their activities within the interconnected environment generated by smart cities and IoT?</w:t>
      </w:r>
    </w:p>
    <w:p w14:paraId="40AEDC30" w14:textId="7A575F19" w:rsidR="00AE3B9A" w:rsidRDefault="00AE3B9A" w:rsidP="00210AF1">
      <w:pPr>
        <w:widowControl w:val="0"/>
        <w:jc w:val="both"/>
      </w:pPr>
      <w:r>
        <w:t xml:space="preserve">Moreover, the actual concentration of the global economy around a limited number of services, hardware and technology providers raises the questions of concentration risk, and of </w:t>
      </w:r>
      <w:r w:rsidR="00210AF1">
        <w:t>technological</w:t>
      </w:r>
      <w:r>
        <w:t xml:space="preserve"> and</w:t>
      </w:r>
      <w:r w:rsidRPr="0062767A">
        <w:t xml:space="preserve"> data dependencies</w:t>
      </w:r>
      <w:r>
        <w:t xml:space="preserve">. For example, what could be </w:t>
      </w:r>
      <w:r w:rsidRPr="0062767A">
        <w:t>the impact of a massive blackout (electricity, transportation, banking, etc.)</w:t>
      </w:r>
      <w:r>
        <w:t>, obstacle resulting from economic competition</w:t>
      </w:r>
      <w:r w:rsidRPr="0062767A">
        <w:t xml:space="preserve"> or bankruptcy of a major service provider.</w:t>
      </w:r>
      <w:r>
        <w:t xml:space="preserve"> Answers to basic questions such as “</w:t>
      </w:r>
      <w:r w:rsidRPr="00521726">
        <w:t>what time to return to normal</w:t>
      </w:r>
      <w:r>
        <w:t>?”, “</w:t>
      </w:r>
      <w:r w:rsidRPr="00521726">
        <w:t xml:space="preserve">what happens during </w:t>
      </w:r>
      <w:r>
        <w:t>a</w:t>
      </w:r>
      <w:r w:rsidRPr="00521726">
        <w:t xml:space="preserve"> blackout to maintain the activity</w:t>
      </w:r>
      <w:r>
        <w:t>?”, or “</w:t>
      </w:r>
      <w:r w:rsidRPr="00521726">
        <w:t>can we still work with old systems?</w:t>
      </w:r>
      <w:r>
        <w:t xml:space="preserve">” </w:t>
      </w:r>
      <w:r w:rsidRPr="00143FB5">
        <w:rPr>
          <w:rStyle w:val="FootnoteReference"/>
          <w:lang w:val="fr-CH"/>
        </w:rPr>
        <w:footnoteReference w:id="19"/>
      </w:r>
      <w:r>
        <w:t> should be forecasted.</w:t>
      </w:r>
    </w:p>
    <w:p w14:paraId="7EF9B969" w14:textId="3A63539E" w:rsidR="00AE3B9A" w:rsidRPr="00DD5716" w:rsidRDefault="00AE3B9A" w:rsidP="00DD5716">
      <w:pPr>
        <w:jc w:val="both"/>
      </w:pPr>
      <w:r w:rsidRPr="002F70FA">
        <w:t>Finally</w:t>
      </w:r>
      <w:r w:rsidRPr="00244C64">
        <w:t>,</w:t>
      </w:r>
      <w:r w:rsidRPr="002F70FA">
        <w:t xml:space="preserve"> the current economic pressure on innovation could generate unexpected future costs. As stated by Sculley, Holt, Golovin, et al., “it is dangerous to think of these quick wins as coming for free”. This encourages us to consider</w:t>
      </w:r>
      <w:r w:rsidRPr="00244C64">
        <w:rPr>
          <w:rFonts w:ascii="Arial" w:hAnsi="Arial" w:cs="Arial"/>
          <w:sz w:val="20"/>
        </w:rPr>
        <w:t xml:space="preserve"> </w:t>
      </w:r>
      <w:r w:rsidRPr="0062767A">
        <w:t xml:space="preserve">technological debt as a risk. </w:t>
      </w:r>
    </w:p>
    <w:p w14:paraId="4D4AE043" w14:textId="77777777" w:rsidR="00AE3B9A" w:rsidRDefault="00AE3B9A" w:rsidP="00AE3B9A">
      <w:pPr>
        <w:pStyle w:val="bullet0"/>
        <w:tabs>
          <w:tab w:val="clear" w:pos="1342"/>
        </w:tabs>
        <w:ind w:left="0" w:firstLine="0"/>
        <w:rPr>
          <w:lang w:val="en-US"/>
        </w:rPr>
      </w:pPr>
      <w:r w:rsidRPr="002F70FA">
        <w:rPr>
          <w:b/>
          <w:bCs/>
          <w:u w:val="single"/>
          <w:lang w:val="en-US"/>
        </w:rPr>
        <w:t>New borders of law</w:t>
      </w:r>
    </w:p>
    <w:p w14:paraId="4C8A5291" w14:textId="0F8B9810" w:rsidR="00AE3B9A" w:rsidRPr="00C05044" w:rsidRDefault="00AE3B9A" w:rsidP="00BF0EE7">
      <w:pPr>
        <w:pStyle w:val="bullet0"/>
        <w:ind w:left="0" w:firstLine="0"/>
        <w:rPr>
          <w:lang w:val="en-US"/>
        </w:rPr>
      </w:pPr>
      <w:r>
        <w:rPr>
          <w:lang w:val="en-US"/>
        </w:rPr>
        <w:t>L</w:t>
      </w:r>
      <w:r w:rsidRPr="00C05044">
        <w:rPr>
          <w:lang w:val="en-US"/>
        </w:rPr>
        <w:t>egal issues are generated by data processing and management in IoT and SC</w:t>
      </w:r>
      <w:r w:rsidR="007946C5">
        <w:rPr>
          <w:lang w:val="en-US"/>
        </w:rPr>
        <w:t>&amp;</w:t>
      </w:r>
      <w:r w:rsidRPr="00C05044">
        <w:rPr>
          <w:lang w:val="en-US"/>
        </w:rPr>
        <w:t>C, in a context of heterogeneity of stakeholders (public/private, cities/citizen, companies/startups…)</w:t>
      </w:r>
      <w:r>
        <w:rPr>
          <w:lang w:val="en-US"/>
        </w:rPr>
        <w:t xml:space="preserve"> and cutting-edge technologies (</w:t>
      </w:r>
      <w:r w:rsidRPr="00C05044">
        <w:rPr>
          <w:lang w:val="en-US"/>
        </w:rPr>
        <w:t xml:space="preserve">cross-border projects, data transferability and ubiquity, system openness, cloud </w:t>
      </w:r>
      <w:r>
        <w:rPr>
          <w:lang w:val="en-US"/>
        </w:rPr>
        <w:t xml:space="preserve">etc.) </w:t>
      </w:r>
      <w:r w:rsidRPr="00C05044">
        <w:rPr>
          <w:lang w:val="en-US"/>
        </w:rPr>
        <w:t xml:space="preserve">: </w:t>
      </w:r>
    </w:p>
    <w:p w14:paraId="718E518D" w14:textId="77777777" w:rsidR="00AE3B9A" w:rsidRDefault="00AE3B9A" w:rsidP="00BF0EE7">
      <w:pPr>
        <w:pStyle w:val="bullet20"/>
        <w:numPr>
          <w:ilvl w:val="1"/>
          <w:numId w:val="1"/>
        </w:numPr>
        <w:tabs>
          <w:tab w:val="num" w:pos="622"/>
        </w:tabs>
        <w:ind w:left="284" w:hanging="284"/>
        <w:rPr>
          <w:lang w:val="en-US"/>
        </w:rPr>
      </w:pPr>
      <w:r w:rsidRPr="00B05642">
        <w:rPr>
          <w:lang w:val="en-US"/>
        </w:rPr>
        <w:t xml:space="preserve">Jurisdiction issues related to legal framework </w:t>
      </w:r>
      <w:r>
        <w:rPr>
          <w:lang w:val="en-US"/>
        </w:rPr>
        <w:t>of</w:t>
      </w:r>
      <w:r w:rsidRPr="00B05642">
        <w:rPr>
          <w:lang w:val="en-US"/>
        </w:rPr>
        <w:t xml:space="preserve"> data processing and storage on public/private cloud, data transfer and cross border flow</w:t>
      </w:r>
      <w:r>
        <w:rPr>
          <w:lang w:val="en-US"/>
        </w:rPr>
        <w:t>s;</w:t>
      </w:r>
    </w:p>
    <w:p w14:paraId="7BDB75FF" w14:textId="1C6CD3BF" w:rsidR="00AE3B9A" w:rsidRDefault="00AE3B9A" w:rsidP="00BF0EE7">
      <w:pPr>
        <w:pStyle w:val="bullet20"/>
        <w:numPr>
          <w:ilvl w:val="1"/>
          <w:numId w:val="1"/>
        </w:numPr>
        <w:tabs>
          <w:tab w:val="num" w:pos="622"/>
        </w:tabs>
        <w:ind w:left="284" w:hanging="284"/>
        <w:rPr>
          <w:lang w:val="en-US"/>
        </w:rPr>
      </w:pPr>
      <w:r w:rsidRPr="00B05642">
        <w:rPr>
          <w:lang w:val="en-US"/>
        </w:rPr>
        <w:t xml:space="preserve">Legal and governance issues associated with </w:t>
      </w:r>
      <w:r>
        <w:rPr>
          <w:lang w:val="en-US"/>
        </w:rPr>
        <w:t>d</w:t>
      </w:r>
      <w:r w:rsidRPr="00B05642">
        <w:rPr>
          <w:lang w:val="en-US"/>
        </w:rPr>
        <w:t xml:space="preserve">ata ownership, </w:t>
      </w:r>
      <w:r>
        <w:rPr>
          <w:lang w:val="en-US"/>
        </w:rPr>
        <w:t>d</w:t>
      </w:r>
      <w:r w:rsidRPr="00B05642">
        <w:rPr>
          <w:lang w:val="en-US"/>
        </w:rPr>
        <w:t>ata lock-in, seamless portability of the data among cloud service providers</w:t>
      </w:r>
      <w:r>
        <w:rPr>
          <w:lang w:val="en-US"/>
        </w:rPr>
        <w:t xml:space="preserve"> (</w:t>
      </w:r>
      <w:r w:rsidR="007946C5">
        <w:rPr>
          <w:lang w:val="en-US"/>
        </w:rPr>
        <w:t>e.g. mobile number portability</w:t>
      </w:r>
      <w:r>
        <w:rPr>
          <w:lang w:val="en-US"/>
        </w:rPr>
        <w:t>);</w:t>
      </w:r>
    </w:p>
    <w:p w14:paraId="2D4AA782" w14:textId="6D5428ED" w:rsidR="00AE3B9A" w:rsidRDefault="00AE3B9A" w:rsidP="00BF0EE7">
      <w:pPr>
        <w:pStyle w:val="bullet20"/>
        <w:numPr>
          <w:ilvl w:val="1"/>
          <w:numId w:val="1"/>
        </w:numPr>
        <w:tabs>
          <w:tab w:val="num" w:pos="622"/>
        </w:tabs>
        <w:ind w:left="284" w:hanging="284"/>
      </w:pPr>
      <w:r>
        <w:t>Real-time processing (5G, edge technology, real-time analytics, autonomous machines etc.) generating an acceleration of decision that can now be taken instantly through the delegation of decisions to algorithms and machines. This raises questions about algorithm ethic</w:t>
      </w:r>
      <w:r w:rsidR="00DE7E25">
        <w:t>s</w:t>
      </w:r>
      <w:r>
        <w:t>, control, fiability etc.;</w:t>
      </w:r>
    </w:p>
    <w:p w14:paraId="2408E10C" w14:textId="77777777" w:rsidR="00AE3B9A" w:rsidRDefault="00AE3B9A" w:rsidP="00BF0EE7">
      <w:pPr>
        <w:pStyle w:val="bullet20"/>
        <w:numPr>
          <w:ilvl w:val="1"/>
          <w:numId w:val="1"/>
        </w:numPr>
        <w:tabs>
          <w:tab w:val="num" w:pos="622"/>
        </w:tabs>
        <w:ind w:left="284" w:hanging="284"/>
      </w:pPr>
      <w:r>
        <w:t>Subcontracting (cloud, outsourcing etc.).</w:t>
      </w:r>
    </w:p>
    <w:p w14:paraId="03AE5364" w14:textId="77777777" w:rsidR="00AE3B9A" w:rsidRPr="002F70FA" w:rsidRDefault="00AE3B9A" w:rsidP="00AE3B9A">
      <w:pPr>
        <w:pStyle w:val="bullet20"/>
      </w:pPr>
    </w:p>
    <w:p w14:paraId="51C1E87C" w14:textId="77777777" w:rsidR="00AE3B9A" w:rsidRDefault="00AE3B9A" w:rsidP="00AE3B9A">
      <w:pPr>
        <w:pStyle w:val="bullet0"/>
        <w:tabs>
          <w:tab w:val="clear" w:pos="1342"/>
        </w:tabs>
        <w:ind w:left="0" w:firstLine="0"/>
        <w:rPr>
          <w:b/>
          <w:bCs/>
        </w:rPr>
      </w:pPr>
      <w:r w:rsidRPr="002F70FA">
        <w:rPr>
          <w:b/>
          <w:bCs/>
        </w:rPr>
        <w:t>Connectivity and Openess</w:t>
      </w:r>
    </w:p>
    <w:p w14:paraId="1700CFFD" w14:textId="77777777" w:rsidR="00AE3B9A" w:rsidRDefault="00AE3B9A" w:rsidP="00BF0EE7">
      <w:pPr>
        <w:pStyle w:val="bullet0"/>
        <w:ind w:left="0" w:firstLine="0"/>
        <w:rPr>
          <w:lang w:val="en-US"/>
        </w:rPr>
      </w:pPr>
      <w:r w:rsidRPr="002F70FA">
        <w:t>T</w:t>
      </w:r>
      <w:r w:rsidRPr="009A5541">
        <w:t>he fact that Smart Cities and IoT are characterized by the use of</w:t>
      </w:r>
      <w:r w:rsidRPr="009A5541">
        <w:rPr>
          <w:lang w:val="en-US"/>
        </w:rPr>
        <w:t xml:space="preserve"> “data for everything” and that devices, objects, tools, sensors, monitoring tools (…) can be opened and/or connected with other devices, tools, systems (…) generate huge data flows and data exchanges. This very high level of connectivity may generate a virality of threats: </w:t>
      </w:r>
      <w:r w:rsidRPr="00CC3671">
        <w:t xml:space="preserve">bad quality data contagion, dissemination of erroneous information </w:t>
      </w:r>
      <w:r>
        <w:t>resul</w:t>
      </w:r>
      <w:r w:rsidRPr="00CC3671">
        <w:t>ting</w:t>
      </w:r>
      <w:r>
        <w:t xml:space="preserve"> in</w:t>
      </w:r>
      <w:r w:rsidRPr="00CC3671">
        <w:t xml:space="preserve"> panic</w:t>
      </w:r>
      <w:r>
        <w:t>,</w:t>
      </w:r>
      <w:r w:rsidRPr="00CC3671">
        <w:t xml:space="preserve"> </w:t>
      </w:r>
      <w:r w:rsidRPr="00B2602B">
        <w:t xml:space="preserve">or dissemination of fake news </w:t>
      </w:r>
      <w:r w:rsidRPr="00B2602B">
        <w:rPr>
          <w:rStyle w:val="FootnoteReference"/>
          <w:lang w:val="en-US"/>
        </w:rPr>
        <w:footnoteReference w:id="20"/>
      </w:r>
      <w:r w:rsidRPr="009A5541">
        <w:rPr>
          <w:lang w:val="en-US"/>
        </w:rPr>
        <w:t>.</w:t>
      </w:r>
    </w:p>
    <w:p w14:paraId="1537E8D1" w14:textId="77777777" w:rsidR="00AE3B9A" w:rsidRPr="00B2602B" w:rsidRDefault="00AE3B9A" w:rsidP="00D20B5D">
      <w:pPr>
        <w:jc w:val="both"/>
      </w:pPr>
      <w:r w:rsidRPr="00B2602B">
        <w:t>Moreover, the fact that Smart Cities and IoT are characterized by the interaction of heterogeneous stakeholders/systems/devices can cause a quick and massive impact on the Ecosystem as a whole, problems migrating from one environment to another. At a highest level, one isolated problem can lead to a massive, general consequence on the whole ecosystem, generating a Systemic risk.</w:t>
      </w:r>
    </w:p>
    <w:p w14:paraId="1CEB4D7B" w14:textId="05774462" w:rsidR="00AE3B9A" w:rsidRDefault="00AE3B9A" w:rsidP="00D20B5D">
      <w:pPr>
        <w:jc w:val="both"/>
      </w:pPr>
      <w:r>
        <w:t>Such a risk is well studied and framed in the banking Industry, where Systemic risk is monitored and defined</w:t>
      </w:r>
      <w:r>
        <w:rPr>
          <w:rStyle w:val="FootnoteReference"/>
        </w:rPr>
        <w:footnoteReference w:id="21"/>
      </w:r>
      <w:r>
        <w:t xml:space="preserve"> as “</w:t>
      </w:r>
      <w:r w:rsidRPr="00B2602B">
        <w:t>The risk that the inability of one or more participants to perform as expected will cause other participants to be unable to meet their obligations when due.”</w:t>
      </w:r>
      <w:r>
        <w:t xml:space="preserve"> It could be interesting to translate </w:t>
      </w:r>
      <w:r>
        <w:lastRenderedPageBreak/>
        <w:t xml:space="preserve">such a risk in the </w:t>
      </w:r>
      <w:r w:rsidR="007946C5">
        <w:t>SC&amp;C</w:t>
      </w:r>
      <w:r>
        <w:t xml:space="preserve"> and IoT environment, where interconnexion, data flows, mutualization of services, devices or sources of energy can cause contagion of problems and failures.</w:t>
      </w:r>
    </w:p>
    <w:p w14:paraId="0A0819F7" w14:textId="77777777" w:rsidR="00AE3B9A" w:rsidRDefault="00AE3B9A" w:rsidP="00AE3B9A"/>
    <w:p w14:paraId="73D8C7A2" w14:textId="77777777" w:rsidR="00AE3B9A" w:rsidRDefault="00AE3B9A" w:rsidP="00AE3B9A">
      <w:pPr>
        <w:tabs>
          <w:tab w:val="left" w:pos="4500"/>
        </w:tabs>
        <w:spacing w:before="60" w:after="60"/>
        <w:jc w:val="center"/>
      </w:pPr>
      <w:r w:rsidRPr="00F943E0">
        <w:rPr>
          <w:noProof/>
          <w:lang w:val="en-GB"/>
        </w:rPr>
        <w:drawing>
          <wp:inline distT="0" distB="0" distL="0" distR="0" wp14:anchorId="2824F73E" wp14:editId="2D2DC13E">
            <wp:extent cx="4854199" cy="2702608"/>
            <wp:effectExtent l="0" t="0" r="0" b="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6085" cy="2703658"/>
                    </a:xfrm>
                    <a:prstGeom prst="rect">
                      <a:avLst/>
                    </a:prstGeom>
                    <a:noFill/>
                    <a:ln>
                      <a:noFill/>
                    </a:ln>
                  </pic:spPr>
                </pic:pic>
              </a:graphicData>
            </a:graphic>
          </wp:inline>
        </w:drawing>
      </w:r>
    </w:p>
    <w:p w14:paraId="5E6F86D0" w14:textId="556D9661" w:rsidR="00AE3B9A" w:rsidRPr="0077794A" w:rsidRDefault="00AE3B9A" w:rsidP="00AE3B9A">
      <w:pPr>
        <w:pStyle w:val="Caption"/>
      </w:pPr>
      <w:r w:rsidRPr="0077794A">
        <w:t xml:space="preserve">Figure </w:t>
      </w:r>
      <w:r w:rsidR="00AE0910">
        <w:t>1</w:t>
      </w:r>
      <w:r w:rsidRPr="0077794A">
        <w:t xml:space="preserve"> – </w:t>
      </w:r>
      <w:r w:rsidRPr="009A5541">
        <w:t>Risks generated by Smart Cities and IoT specific context</w:t>
      </w:r>
      <w:r>
        <w:t xml:space="preserve"> – a new paradigm</w:t>
      </w:r>
    </w:p>
    <w:p w14:paraId="618F7159" w14:textId="77777777" w:rsidR="00AE3B9A" w:rsidRDefault="00AE3B9A" w:rsidP="00AE3B9A"/>
    <w:p w14:paraId="56FC4D0E" w14:textId="16040029" w:rsidR="00AE3B9A" w:rsidRDefault="00AE3B9A" w:rsidP="00210AF1">
      <w:pPr>
        <w:jc w:val="both"/>
      </w:pPr>
      <w:r>
        <w:t>As we just described, risks generated by data processing and management in IoT and SC</w:t>
      </w:r>
      <w:r w:rsidR="007946C5">
        <w:t>&amp;</w:t>
      </w:r>
      <w:r>
        <w:t>C</w:t>
      </w:r>
      <w:r w:rsidRPr="002F70FA">
        <w:t xml:space="preserve"> are numerous and varied</w:t>
      </w:r>
      <w:r>
        <w:t>. They embrace privacy and security risk, but also numerous other critical risks that stem from the tremendous use of data everywhere and at every stages of Smart Cities and IoT use. P</w:t>
      </w:r>
      <w:r w:rsidRPr="000E139B">
        <w:t xml:space="preserve">robability of occurrence and magnitude </w:t>
      </w:r>
      <w:r>
        <w:t xml:space="preserve">of such risks </w:t>
      </w:r>
      <w:r w:rsidRPr="000E139B">
        <w:t>must be evaluated</w:t>
      </w:r>
      <w:r>
        <w:t xml:space="preserve">, and </w:t>
      </w:r>
      <w:r w:rsidR="00626D7D">
        <w:t>responsibilities</w:t>
      </w:r>
      <w:r>
        <w:t xml:space="preserve"> should be clarified in case of </w:t>
      </w:r>
      <w:r w:rsidR="00626D7D">
        <w:t>occurrence</w:t>
      </w:r>
      <w:r>
        <w:t xml:space="preserve"> to determine who holds the risks and at the end, pay the costs of uncertainty.</w:t>
      </w:r>
      <w:r w:rsidR="00626D7D">
        <w:t xml:space="preserve"> </w:t>
      </w:r>
      <w:r>
        <w:t>To this purpose, Section 6 describes how put in place a risk management methodology to ensure a safe growth and sustainability of Smart Cities and IoT</w:t>
      </w:r>
      <w:r w:rsidR="00210AF1">
        <w:t>.</w:t>
      </w:r>
    </w:p>
    <w:p w14:paraId="1A97EE4A" w14:textId="77777777" w:rsidR="00AE3B9A" w:rsidRPr="00AE3B9A" w:rsidRDefault="00AE3B9A" w:rsidP="00190435"/>
    <w:p w14:paraId="6AAA0D1C" w14:textId="032B816A" w:rsidR="008D0332" w:rsidRDefault="008D0332" w:rsidP="008D0332">
      <w:pPr>
        <w:pStyle w:val="Heading2"/>
        <w:numPr>
          <w:ilvl w:val="1"/>
          <w:numId w:val="13"/>
        </w:numPr>
      </w:pPr>
      <w:bookmarkStart w:id="45" w:name="_Toc14367829"/>
      <w:r>
        <w:t>Governance issues in data processing and management</w:t>
      </w:r>
      <w:bookmarkEnd w:id="45"/>
    </w:p>
    <w:p w14:paraId="3710736F" w14:textId="0D293E73" w:rsidR="00783451" w:rsidRDefault="00783451" w:rsidP="00783451">
      <w:pPr>
        <w:rPr>
          <w:lang w:val="en-GB" w:eastAsia="en-US"/>
        </w:rPr>
      </w:pPr>
    </w:p>
    <w:p w14:paraId="7044B408" w14:textId="2F879B11" w:rsidR="00783451" w:rsidRDefault="00783451" w:rsidP="002B2BEC">
      <w:pPr>
        <w:jc w:val="both"/>
      </w:pPr>
      <w:r>
        <w:t>Data in smart cities applications</w:t>
      </w:r>
      <w:r w:rsidRPr="00E86421">
        <w:t xml:space="preserve"> </w:t>
      </w:r>
      <w:r>
        <w:t xml:space="preserve">can represent enormous </w:t>
      </w:r>
      <w:r w:rsidR="001F7BB8">
        <w:t xml:space="preserve">liability, </w:t>
      </w:r>
      <w:r w:rsidR="00810BD5">
        <w:t>asset</w:t>
      </w:r>
      <w:r w:rsidR="001F7BB8">
        <w:t>, systemic</w:t>
      </w:r>
      <w:r w:rsidR="00810BD5">
        <w:t xml:space="preserve"> and reputational risks</w:t>
      </w:r>
      <w:r>
        <w:t xml:space="preserve"> in terms of safety, security</w:t>
      </w:r>
      <w:r w:rsidR="00810BD5">
        <w:t>,</w:t>
      </w:r>
      <w:r>
        <w:t xml:space="preserve"> privacy</w:t>
      </w:r>
      <w:r w:rsidR="00810BD5">
        <w:t xml:space="preserve"> and other aspects</w:t>
      </w:r>
      <w:r>
        <w:t xml:space="preserve">. For instance, replacing the content of surveillance cameras by fake data, or accessing </w:t>
      </w:r>
      <w:r w:rsidR="00B1386D">
        <w:t xml:space="preserve">the </w:t>
      </w:r>
      <w:r>
        <w:t xml:space="preserve">personal health data of a city inhabitant could raise major issues in case of data breaches. Similarly, the governance of data can play a significant role in facilitating interoperability, e.g. through the establishment of common standards. It can also be important in the creation of value and in monetization by clarifying rights and obligations, including </w:t>
      </w:r>
      <w:r w:rsidR="00B1386D">
        <w:t xml:space="preserve">user rights or </w:t>
      </w:r>
      <w:r>
        <w:t xml:space="preserve">ownership. </w:t>
      </w:r>
      <w:r w:rsidR="002076CB">
        <w:t>The ethics of data processing and management is a significant concern in the collection, processing, packaging, application and monetization of data. Ethical concerns are driven by limited trust</w:t>
      </w:r>
      <w:r w:rsidR="009B289F">
        <w:t xml:space="preserve"> among actors</w:t>
      </w:r>
      <w:r w:rsidR="002076CB">
        <w:t>, complex indirect relationships</w:t>
      </w:r>
      <w:r w:rsidR="00196F37">
        <w:t>, concerns over bias in algorithms</w:t>
      </w:r>
      <w:r w:rsidR="002076CB">
        <w:t xml:space="preserve"> and asymmetrical access to information and resources in data processing and management. Such a scenario </w:t>
      </w:r>
      <w:r w:rsidR="002A1B32">
        <w:t>is typical of those that benefit from clear and broadly supported governance frameworks.</w:t>
      </w:r>
      <w:r w:rsidR="002076CB">
        <w:t xml:space="preserve"> </w:t>
      </w:r>
      <w:r>
        <w:t>There is, therefore, a need to provide guidelines and procedures for the governance and management of these data assets and to facilitate the exchange of best practices and expertise among cities. Applied to the governance of data security and privacy in smart cities, the following must be taken into account:</w:t>
      </w:r>
    </w:p>
    <w:p w14:paraId="16BB9B16" w14:textId="77777777" w:rsidR="00783451" w:rsidRDefault="00783451" w:rsidP="00783451">
      <w:pPr>
        <w:pStyle w:val="bullet0"/>
        <w:numPr>
          <w:ilvl w:val="0"/>
          <w:numId w:val="1"/>
        </w:numPr>
        <w:tabs>
          <w:tab w:val="num" w:pos="1342"/>
        </w:tabs>
        <w:ind w:left="714" w:hanging="357"/>
      </w:pPr>
      <w:r>
        <w:t>governance frameworks are established by a combination of authorities, including international agreements and practices, national governments and the local governments in smart cities;</w:t>
      </w:r>
    </w:p>
    <w:p w14:paraId="36394F11" w14:textId="77777777" w:rsidR="00783451" w:rsidRDefault="00783451" w:rsidP="00783451">
      <w:pPr>
        <w:pStyle w:val="bullet0"/>
        <w:numPr>
          <w:ilvl w:val="0"/>
          <w:numId w:val="1"/>
        </w:numPr>
        <w:tabs>
          <w:tab w:val="num" w:pos="1342"/>
        </w:tabs>
        <w:ind w:left="714" w:hanging="357"/>
      </w:pPr>
      <w:r>
        <w:t xml:space="preserve">the management of data within a governance framework is provided by a complex ecosystem of stakeholders (that could include public and private organisations, as well as suppliers). </w:t>
      </w:r>
    </w:p>
    <w:p w14:paraId="4F9B223B" w14:textId="61C4378E" w:rsidR="00783451" w:rsidRDefault="00783451" w:rsidP="00810BD5">
      <w:pPr>
        <w:jc w:val="both"/>
        <w:rPr>
          <w:rFonts w:asciiTheme="majorBidi" w:hAnsiTheme="majorBidi" w:cstheme="majorBidi"/>
        </w:rPr>
      </w:pPr>
      <w:r>
        <w:lastRenderedPageBreak/>
        <w:t>For convenience, we use a definition of governance adapted from UNESCO and that focuses on strategic decision</w:t>
      </w:r>
      <w:r w:rsidR="00A40CCA">
        <w:t>-</w:t>
      </w:r>
      <w:r>
        <w:t xml:space="preserve">making authority and the establishment of rights and responsibilities. This distinguishes governance from the management of data processing and management. </w:t>
      </w:r>
      <w:r>
        <w:rPr>
          <w:rFonts w:asciiTheme="majorBidi" w:hAnsiTheme="majorBidi" w:cstheme="majorBidi"/>
        </w:rPr>
        <w:t xml:space="preserve">The goals for </w:t>
      </w:r>
      <w:r w:rsidR="00810BD5">
        <w:rPr>
          <w:rFonts w:asciiTheme="majorBidi" w:hAnsiTheme="majorBidi" w:cstheme="majorBidi"/>
        </w:rPr>
        <w:t>d</w:t>
      </w:r>
      <w:r>
        <w:rPr>
          <w:rFonts w:asciiTheme="majorBidi" w:hAnsiTheme="majorBidi" w:cstheme="majorBidi"/>
        </w:rPr>
        <w:t xml:space="preserve">ata </w:t>
      </w:r>
      <w:r w:rsidR="00810BD5">
        <w:rPr>
          <w:rFonts w:asciiTheme="majorBidi" w:hAnsiTheme="majorBidi" w:cstheme="majorBidi"/>
        </w:rPr>
        <w:t>g</w:t>
      </w:r>
      <w:r>
        <w:rPr>
          <w:rFonts w:asciiTheme="majorBidi" w:hAnsiTheme="majorBidi" w:cstheme="majorBidi"/>
        </w:rPr>
        <w:t>overnance include, but are not limited to, the following:</w:t>
      </w:r>
    </w:p>
    <w:p w14:paraId="0D7D1039" w14:textId="738EA6BD" w:rsidR="00783451" w:rsidRDefault="00783451" w:rsidP="00783451">
      <w:pPr>
        <w:pStyle w:val="bullet0"/>
        <w:numPr>
          <w:ilvl w:val="0"/>
          <w:numId w:val="1"/>
        </w:numPr>
        <w:tabs>
          <w:tab w:val="num" w:pos="1342"/>
        </w:tabs>
        <w:ind w:left="714" w:hanging="357"/>
      </w:pPr>
      <w:r>
        <w:t xml:space="preserve">Create a </w:t>
      </w:r>
      <w:r>
        <w:rPr>
          <w:lang w:val="en-US" w:eastAsia="zh-CN"/>
        </w:rPr>
        <w:t>data</w:t>
      </w:r>
      <w:r>
        <w:t>-</w:t>
      </w:r>
      <w:r>
        <w:rPr>
          <w:lang w:val="en-US" w:eastAsia="zh-CN"/>
        </w:rPr>
        <w:t>driven</w:t>
      </w:r>
      <w:r>
        <w:t xml:space="preserve"> and</w:t>
      </w:r>
      <w:r>
        <w:rPr>
          <w:lang w:val="en-US" w:eastAsia="zh-CN"/>
        </w:rPr>
        <w:t xml:space="preserve"> evidence-based </w:t>
      </w:r>
      <w:r>
        <w:t>informed culture.</w:t>
      </w:r>
    </w:p>
    <w:p w14:paraId="429F9D44" w14:textId="0D1795A8" w:rsidR="00810BD5" w:rsidRDefault="00810BD5" w:rsidP="00783451">
      <w:pPr>
        <w:pStyle w:val="bullet0"/>
        <w:numPr>
          <w:ilvl w:val="0"/>
          <w:numId w:val="1"/>
        </w:numPr>
        <w:tabs>
          <w:tab w:val="num" w:pos="1342"/>
        </w:tabs>
        <w:ind w:left="714" w:hanging="357"/>
      </w:pPr>
      <w:r>
        <w:t xml:space="preserve">Avoid over-regulation and </w:t>
      </w:r>
      <w:r w:rsidR="003010FD">
        <w:t>constraints on, or distortions to, the appropriate development of the sector.</w:t>
      </w:r>
    </w:p>
    <w:p w14:paraId="5CD50900" w14:textId="298A1014" w:rsidR="00251F75" w:rsidRDefault="00251F75" w:rsidP="00783451">
      <w:pPr>
        <w:pStyle w:val="bullet0"/>
        <w:numPr>
          <w:ilvl w:val="0"/>
          <w:numId w:val="1"/>
        </w:numPr>
        <w:tabs>
          <w:tab w:val="num" w:pos="1342"/>
        </w:tabs>
        <w:ind w:left="714" w:hanging="357"/>
      </w:pPr>
      <w:r>
        <w:t>Promote equity, inclusion and transparency in the data economy.</w:t>
      </w:r>
    </w:p>
    <w:p w14:paraId="11E40592" w14:textId="5086C767" w:rsidR="00783451" w:rsidRDefault="00783451" w:rsidP="00783451">
      <w:pPr>
        <w:pStyle w:val="bullet0"/>
        <w:numPr>
          <w:ilvl w:val="0"/>
          <w:numId w:val="1"/>
        </w:numPr>
        <w:tabs>
          <w:tab w:val="num" w:pos="1342"/>
        </w:tabs>
        <w:ind w:left="714" w:hanging="357"/>
      </w:pPr>
      <w:r>
        <w:t>Continue and strengthen the data governance program</w:t>
      </w:r>
      <w:r w:rsidR="00BD4211">
        <w:t>me</w:t>
      </w:r>
      <w:r>
        <w:t xml:space="preserve"> by adopting a collaborative innovation community capacity building ideas.</w:t>
      </w:r>
    </w:p>
    <w:p w14:paraId="73B6619E" w14:textId="7BF7FC15" w:rsidR="00783451" w:rsidRDefault="00783451" w:rsidP="00783451">
      <w:pPr>
        <w:pStyle w:val="bullet0"/>
        <w:numPr>
          <w:ilvl w:val="0"/>
          <w:numId w:val="1"/>
        </w:numPr>
        <w:tabs>
          <w:tab w:val="num" w:pos="1342"/>
        </w:tabs>
        <w:ind w:left="714" w:hanging="357"/>
      </w:pPr>
      <w:r>
        <w:t xml:space="preserve">Provide </w:t>
      </w:r>
      <w:r>
        <w:rPr>
          <w:lang w:val="en-US"/>
        </w:rPr>
        <w:t xml:space="preserve">effective ways </w:t>
      </w:r>
      <w:r w:rsidR="00810BD5">
        <w:rPr>
          <w:lang w:val="en-US"/>
        </w:rPr>
        <w:t xml:space="preserve">of </w:t>
      </w:r>
      <w:r>
        <w:rPr>
          <w:lang w:val="en-US"/>
        </w:rPr>
        <w:t xml:space="preserve">enabling appropriate data privacy and </w:t>
      </w:r>
      <w:r>
        <w:t>security</w:t>
      </w:r>
      <w:r>
        <w:rPr>
          <w:lang w:val="en-US"/>
        </w:rPr>
        <w:t xml:space="preserve"> protection.</w:t>
      </w:r>
    </w:p>
    <w:p w14:paraId="36CBD15A" w14:textId="77777777" w:rsidR="00783451" w:rsidRDefault="00783451" w:rsidP="00783451">
      <w:pPr>
        <w:pStyle w:val="bullet0"/>
        <w:numPr>
          <w:ilvl w:val="0"/>
          <w:numId w:val="1"/>
        </w:numPr>
        <w:tabs>
          <w:tab w:val="num" w:pos="1342"/>
        </w:tabs>
        <w:ind w:left="714" w:hanging="357"/>
      </w:pPr>
      <w:r>
        <w:t>Provide self-service business intelligence capabilities.</w:t>
      </w:r>
    </w:p>
    <w:p w14:paraId="442B335A" w14:textId="77777777" w:rsidR="00783451" w:rsidRDefault="00783451" w:rsidP="00783451">
      <w:pPr>
        <w:pStyle w:val="bullet0"/>
        <w:numPr>
          <w:ilvl w:val="0"/>
          <w:numId w:val="1"/>
        </w:numPr>
        <w:tabs>
          <w:tab w:val="num" w:pos="1342"/>
        </w:tabs>
        <w:ind w:left="714" w:hanging="357"/>
      </w:pPr>
      <w:r>
        <w:t>Adopt suitable and effective data management tools.</w:t>
      </w:r>
    </w:p>
    <w:p w14:paraId="485DCC60" w14:textId="77777777" w:rsidR="00783451" w:rsidRDefault="00783451" w:rsidP="00783451">
      <w:pPr>
        <w:pStyle w:val="bullet0"/>
        <w:numPr>
          <w:ilvl w:val="0"/>
          <w:numId w:val="1"/>
        </w:numPr>
        <w:tabs>
          <w:tab w:val="num" w:pos="1342"/>
        </w:tabs>
        <w:ind w:left="714" w:hanging="357"/>
      </w:pPr>
      <w:r>
        <w:t xml:space="preserve">Redefine the roles of data-related </w:t>
      </w:r>
      <w:r>
        <w:rPr>
          <w:lang w:eastAsia="zh-CN"/>
        </w:rPr>
        <w:t>analytics</w:t>
      </w:r>
      <w:r>
        <w:rPr>
          <w:lang w:val="en-US" w:eastAsia="zh-CN"/>
        </w:rPr>
        <w:t xml:space="preserve"> </w:t>
      </w:r>
      <w:r>
        <w:t xml:space="preserve">to provide better </w:t>
      </w:r>
      <w:r>
        <w:rPr>
          <w:lang w:val="en-US" w:eastAsia="zh-CN"/>
        </w:rPr>
        <w:t>insights and predictions</w:t>
      </w:r>
      <w:r>
        <w:t>.</w:t>
      </w:r>
    </w:p>
    <w:p w14:paraId="5176600E" w14:textId="784245BC" w:rsidR="00783451" w:rsidRDefault="00783451" w:rsidP="00783451">
      <w:r>
        <w:rPr>
          <w:rFonts w:eastAsia="SimSun"/>
        </w:rPr>
        <w:t xml:space="preserve">The </w:t>
      </w:r>
      <w:r w:rsidRPr="00926BD4">
        <w:t xml:space="preserve">benefits of </w:t>
      </w:r>
      <w:r>
        <w:t xml:space="preserve">a </w:t>
      </w:r>
      <w:r w:rsidRPr="00926BD4">
        <w:t>good data governance</w:t>
      </w:r>
      <w:r w:rsidRPr="00926BD4">
        <w:rPr>
          <w:rFonts w:eastAsia="SimSun" w:hint="eastAsia"/>
        </w:rPr>
        <w:t xml:space="preserve"> framework</w:t>
      </w:r>
      <w:r>
        <w:rPr>
          <w:rFonts w:eastAsia="SimSun"/>
        </w:rPr>
        <w:t xml:space="preserve"> </w:t>
      </w:r>
      <w:r w:rsidR="00810BD5">
        <w:rPr>
          <w:rFonts w:eastAsia="SimSun"/>
        </w:rPr>
        <w:t>include</w:t>
      </w:r>
      <w:r>
        <w:rPr>
          <w:rFonts w:eastAsia="SimSun"/>
        </w:rPr>
        <w:t xml:space="preserve"> the following</w:t>
      </w:r>
      <w:r w:rsidR="00810BD5">
        <w:rPr>
          <w:rFonts w:eastAsia="SimSun"/>
        </w:rPr>
        <w:t>:</w:t>
      </w:r>
    </w:p>
    <w:p w14:paraId="454FE97A" w14:textId="77777777" w:rsidR="00783451" w:rsidRDefault="00783451" w:rsidP="00783451">
      <w:pPr>
        <w:pStyle w:val="bullet0"/>
        <w:numPr>
          <w:ilvl w:val="0"/>
          <w:numId w:val="1"/>
        </w:numPr>
        <w:tabs>
          <w:tab w:val="num" w:pos="1342"/>
        </w:tabs>
        <w:ind w:left="714" w:hanging="357"/>
      </w:pPr>
      <w:r>
        <w:t xml:space="preserve">Reduce the costs of the </w:t>
      </w:r>
      <w:r>
        <w:rPr>
          <w:lang w:val="en-US"/>
        </w:rPr>
        <w:t>creation, maintaining, disposition, storage and use of</w:t>
      </w:r>
      <w:r>
        <w:t xml:space="preserve"> </w:t>
      </w:r>
      <w:r>
        <w:rPr>
          <w:lang w:val="en-US"/>
        </w:rPr>
        <w:t>data</w:t>
      </w:r>
      <w:r>
        <w:t>.</w:t>
      </w:r>
    </w:p>
    <w:p w14:paraId="25BCD8D8" w14:textId="77777777" w:rsidR="00783451" w:rsidRDefault="00783451" w:rsidP="00783451">
      <w:pPr>
        <w:pStyle w:val="bullet0"/>
        <w:numPr>
          <w:ilvl w:val="0"/>
          <w:numId w:val="1"/>
        </w:numPr>
        <w:tabs>
          <w:tab w:val="num" w:pos="1342"/>
        </w:tabs>
        <w:ind w:left="714" w:hanging="357"/>
      </w:pPr>
      <w:r>
        <w:rPr>
          <w:lang w:val="en-US"/>
        </w:rPr>
        <w:t>I</w:t>
      </w:r>
      <w:r>
        <w:t xml:space="preserve">mprove the quality of </w:t>
      </w:r>
      <w:r>
        <w:rPr>
          <w:lang w:val="en-US"/>
        </w:rPr>
        <w:t xml:space="preserve">data assets from cities and communities </w:t>
      </w:r>
      <w:r>
        <w:t>by making it</w:t>
      </w:r>
      <w:r>
        <w:rPr>
          <w:lang w:val="en-US"/>
        </w:rPr>
        <w:t xml:space="preserve"> trustworthy, accessible, available, usable and traceable. </w:t>
      </w:r>
    </w:p>
    <w:p w14:paraId="58D7A30B" w14:textId="77777777" w:rsidR="00783451" w:rsidRPr="00A64B89" w:rsidRDefault="00783451" w:rsidP="00783451">
      <w:pPr>
        <w:pStyle w:val="bullet0"/>
        <w:numPr>
          <w:ilvl w:val="0"/>
          <w:numId w:val="1"/>
        </w:numPr>
        <w:tabs>
          <w:tab w:val="num" w:pos="1342"/>
        </w:tabs>
        <w:ind w:left="714" w:hanging="357"/>
      </w:pPr>
      <w:r>
        <w:rPr>
          <w:lang w:val="en-US"/>
        </w:rPr>
        <w:t>Enabling digital continuity of data to information to knowledge to smart action.</w:t>
      </w:r>
    </w:p>
    <w:p w14:paraId="6396CF43" w14:textId="77777777" w:rsidR="00783451" w:rsidRPr="00A64B89" w:rsidRDefault="00783451" w:rsidP="00783451">
      <w:pPr>
        <w:pStyle w:val="bullet0"/>
        <w:numPr>
          <w:ilvl w:val="0"/>
          <w:numId w:val="1"/>
        </w:numPr>
        <w:tabs>
          <w:tab w:val="num" w:pos="1342"/>
        </w:tabs>
        <w:ind w:left="714" w:hanging="357"/>
      </w:pPr>
      <w:r>
        <w:rPr>
          <w:lang w:val="en-US"/>
        </w:rPr>
        <w:t>Enhance revenue from the processing and monetization of data.</w:t>
      </w:r>
    </w:p>
    <w:p w14:paraId="2B9A1741" w14:textId="77777777" w:rsidR="00783451" w:rsidRPr="00A8258B" w:rsidRDefault="00783451" w:rsidP="00783451">
      <w:pPr>
        <w:pStyle w:val="bullet0"/>
        <w:numPr>
          <w:ilvl w:val="0"/>
          <w:numId w:val="1"/>
        </w:numPr>
        <w:tabs>
          <w:tab w:val="num" w:pos="1342"/>
        </w:tabs>
        <w:ind w:left="714" w:hanging="357"/>
      </w:pPr>
      <w:r>
        <w:rPr>
          <w:lang w:val="en-US"/>
        </w:rPr>
        <w:t>Improve the value and diversity of direct and indirect benefits to citizens from data processing and management</w:t>
      </w:r>
    </w:p>
    <w:p w14:paraId="024D7316" w14:textId="77777777" w:rsidR="00783451" w:rsidRPr="001F7BB8" w:rsidRDefault="00783451" w:rsidP="002B2BEC"/>
    <w:p w14:paraId="2BE33F5A" w14:textId="72DB36F3" w:rsidR="00BD5B2C" w:rsidRDefault="0057540B" w:rsidP="00692293">
      <w:pPr>
        <w:jc w:val="center"/>
      </w:pPr>
      <w:r>
        <w:rPr>
          <w:b/>
          <w:noProof/>
          <w:lang w:val="en-GB"/>
        </w:rPr>
        <w:drawing>
          <wp:inline distT="0" distB="0" distL="0" distR="0" wp14:anchorId="1585EFA0" wp14:editId="4E468E50">
            <wp:extent cx="5548342" cy="2770360"/>
            <wp:effectExtent l="1905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srcRect/>
                    <a:stretch>
                      <a:fillRect/>
                    </a:stretch>
                  </pic:blipFill>
                  <pic:spPr bwMode="auto">
                    <a:xfrm>
                      <a:off x="0" y="0"/>
                      <a:ext cx="5546120" cy="2769251"/>
                    </a:xfrm>
                    <a:prstGeom prst="rect">
                      <a:avLst/>
                    </a:prstGeom>
                    <a:noFill/>
                  </pic:spPr>
                </pic:pic>
              </a:graphicData>
            </a:graphic>
          </wp:inline>
        </w:drawing>
      </w:r>
    </w:p>
    <w:p w14:paraId="5ED7EF74" w14:textId="6142F370" w:rsidR="0057540B" w:rsidRDefault="0057540B" w:rsidP="0057540B">
      <w:r w:rsidRPr="0077794A">
        <w:t xml:space="preserve">Figure </w:t>
      </w:r>
      <w:r w:rsidR="00AE0910">
        <w:t>2</w:t>
      </w:r>
      <w:r w:rsidRPr="0077794A">
        <w:t xml:space="preserve"> – </w:t>
      </w:r>
      <w:r>
        <w:t>Governance framework for DPM in SC&amp;C</w:t>
      </w:r>
    </w:p>
    <w:p w14:paraId="6FB82810" w14:textId="06E5EB8C" w:rsidR="00AE0910" w:rsidRDefault="00AE0910" w:rsidP="0057540B"/>
    <w:p w14:paraId="3D8A058B" w14:textId="341864F9" w:rsidR="00AE0910" w:rsidRDefault="00AE0910" w:rsidP="002B2BEC">
      <w:pPr>
        <w:jc w:val="both"/>
      </w:pPr>
      <w:r>
        <w:t xml:space="preserve">Figure 2 provides a framework for governance of DPM in SC&amp;C described in thematic terms. </w:t>
      </w:r>
      <w:r w:rsidR="00132EBE">
        <w:t>It emphasizes the distinction and relationship between the governance and management elements. The governance element includes strategic decision making, which establishes the rights and responsibilities of DPM actors, and the setting of high</w:t>
      </w:r>
      <w:r w:rsidR="00A40CCA">
        <w:t>-</w:t>
      </w:r>
      <w:r w:rsidR="00132EBE">
        <w:t xml:space="preserve">level objectives. The diversity of concerns </w:t>
      </w:r>
      <w:r w:rsidR="00AE655A">
        <w:t xml:space="preserve">is </w:t>
      </w:r>
      <w:r w:rsidR="00AE655A">
        <w:lastRenderedPageBreak/>
        <w:t>an important feature, particularly the need to consider both ecosystems and applications layers of DPM activities.</w:t>
      </w:r>
      <w:r w:rsidR="00132EBE">
        <w:t xml:space="preserve"> The management element includes the day to day implementation of the conclusions reached in the governance element.</w:t>
      </w:r>
      <w:r w:rsidR="00AE655A">
        <w:t xml:space="preserve"> Good governance is achieved by equity and inclusion in the governance element and by clear monitoring and accountability mechanisms between the governance and management elements.</w:t>
      </w:r>
    </w:p>
    <w:p w14:paraId="05E58CBE" w14:textId="08B3E710" w:rsidR="000A269F" w:rsidRDefault="000A269F" w:rsidP="0057540B"/>
    <w:p w14:paraId="78B3FEF7" w14:textId="6BE1C284" w:rsidR="000A269F" w:rsidRDefault="000A269F" w:rsidP="0057540B"/>
    <w:p w14:paraId="4EF043CE" w14:textId="0D32681C" w:rsidR="000A269F" w:rsidRDefault="00692293" w:rsidP="00692293">
      <w:pPr>
        <w:jc w:val="center"/>
      </w:pPr>
      <w:r>
        <w:rPr>
          <w:noProof/>
          <w:lang w:val="en-GB"/>
        </w:rPr>
        <w:drawing>
          <wp:inline distT="0" distB="0" distL="0" distR="0" wp14:anchorId="61D0B716" wp14:editId="4662906F">
            <wp:extent cx="5473700" cy="3200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PM Governance Jurisdictional.png"/>
                    <pic:cNvPicPr/>
                  </pic:nvPicPr>
                  <pic:blipFill>
                    <a:blip r:embed="rId20"/>
                    <a:stretch>
                      <a:fillRect/>
                    </a:stretch>
                  </pic:blipFill>
                  <pic:spPr>
                    <a:xfrm>
                      <a:off x="0" y="0"/>
                      <a:ext cx="5473700" cy="3200400"/>
                    </a:xfrm>
                    <a:prstGeom prst="rect">
                      <a:avLst/>
                    </a:prstGeom>
                  </pic:spPr>
                </pic:pic>
              </a:graphicData>
            </a:graphic>
          </wp:inline>
        </w:drawing>
      </w:r>
    </w:p>
    <w:p w14:paraId="6EFB2AAA" w14:textId="06BABDE6" w:rsidR="000A269F" w:rsidRDefault="000A269F" w:rsidP="0057540B"/>
    <w:p w14:paraId="4513E6FD" w14:textId="77777777" w:rsidR="001F7BB8" w:rsidRDefault="001F7BB8" w:rsidP="0057540B"/>
    <w:p w14:paraId="76ACB6D1" w14:textId="010D8015" w:rsidR="000A269F" w:rsidRDefault="000A269F" w:rsidP="0057540B">
      <w:r>
        <w:t xml:space="preserve">Figure </w:t>
      </w:r>
      <w:r w:rsidR="00AE0910">
        <w:t>3</w:t>
      </w:r>
      <w:r>
        <w:t>. Jurisdictional framework for the governance of DPM in SC&amp;C</w:t>
      </w:r>
    </w:p>
    <w:p w14:paraId="7DF751DF" w14:textId="140CCEF7" w:rsidR="00AE655A" w:rsidRDefault="00AE655A" w:rsidP="0057540B"/>
    <w:p w14:paraId="4A6C9333" w14:textId="3F769EEF" w:rsidR="00AE655A" w:rsidRDefault="004D41E8" w:rsidP="000F4575">
      <w:pPr>
        <w:jc w:val="both"/>
      </w:pPr>
      <w:r>
        <w:t xml:space="preserve">Figure 3 describes the diversity of geographic, or jurisdictional, inputs into a governance framework. No actor, whether public or private, is truly independent in the governance of DPM for SC&amp;C. They each need to map and consider the binding (hard) obligations and influences (soft) that apply to their particular activity and wider context. In well developed markets, local and national inputs into a governance framework are usually relatively well understood and easily identifiable, even if they are sometimes complex. International inputs are often more challenging, not least because of the transboundary nature of many DPM activities, even when focused on smart cities and communities. For example, many cloud based systems may depend upon the use of servers in multiple </w:t>
      </w:r>
      <w:r w:rsidR="001853DF">
        <w:t>locations</w:t>
      </w:r>
      <w:r>
        <w:t xml:space="preserve"> and that may make an activity </w:t>
      </w:r>
      <w:r w:rsidR="001853DF">
        <w:t xml:space="preserve">subject to the laws of more than country. Similarly, some regulatory approaches to privacy focus on the legal status of the individual, and not the location of a transaction, and, therefore, may make the identification of applicable law more challenging. </w:t>
      </w:r>
    </w:p>
    <w:p w14:paraId="441C2CEB" w14:textId="0D836B28" w:rsidR="00BD5B2C" w:rsidRPr="00BD5B2C" w:rsidRDefault="00BD5B2C" w:rsidP="000F4575">
      <w:pPr>
        <w:pStyle w:val="Heading1"/>
        <w:numPr>
          <w:ilvl w:val="0"/>
          <w:numId w:val="13"/>
        </w:numPr>
      </w:pPr>
      <w:bookmarkStart w:id="46" w:name="_Toc14367830"/>
      <w:r w:rsidRPr="008E18D4">
        <w:t>Processes for security and privacy in data processing and management in the internet of things and in smart cities and communities</w:t>
      </w:r>
      <w:bookmarkEnd w:id="46"/>
    </w:p>
    <w:p w14:paraId="65D313D8" w14:textId="194FBF29" w:rsidR="009434EF" w:rsidRDefault="009434EF" w:rsidP="009434EF">
      <w:pPr>
        <w:pStyle w:val="Heading2"/>
      </w:pPr>
      <w:bookmarkStart w:id="47" w:name="_Toc14367831"/>
      <w:r>
        <w:t>6.1</w:t>
      </w:r>
      <w:r>
        <w:tab/>
        <w:t>Collaboration processes</w:t>
      </w:r>
      <w:bookmarkEnd w:id="44"/>
      <w:r w:rsidR="003E6C25">
        <w:t xml:space="preserve"> for security and privacy</w:t>
      </w:r>
      <w:bookmarkEnd w:id="47"/>
    </w:p>
    <w:p w14:paraId="6DAD34E2" w14:textId="580516B9" w:rsidR="009434EF" w:rsidRDefault="009434EF" w:rsidP="009434EF">
      <w:pPr>
        <w:pStyle w:val="Heading3"/>
      </w:pPr>
      <w:bookmarkStart w:id="48" w:name="_Toc4629841"/>
      <w:bookmarkStart w:id="49" w:name="_Toc14367832"/>
      <w:r>
        <w:t>6.1.1</w:t>
      </w:r>
      <w:r>
        <w:tab/>
        <w:t>Collaboration in SC&amp;C processes</w:t>
      </w:r>
      <w:bookmarkEnd w:id="48"/>
      <w:bookmarkEnd w:id="49"/>
    </w:p>
    <w:p w14:paraId="28D2C621" w14:textId="43E97B6C" w:rsidR="009434EF" w:rsidRDefault="009434EF" w:rsidP="009327C4">
      <w:pPr>
        <w:jc w:val="both"/>
      </w:pPr>
      <w:r>
        <w:t>Smart cities play a key role in digital ecosystems. While standards such as ISO/IEC 30141 (IoT Reference Architecture) or ISO/IEC 20547-3 (Big data Reference Architecture) explain roles that can be played in a</w:t>
      </w:r>
      <w:r w:rsidR="009327C4">
        <w:t>n</w:t>
      </w:r>
      <w:r>
        <w:t xml:space="preserve"> ecosystem (e.g. a big data provider, big data application provider, big data consumer, an IoT user, IoT service provider, IoT service developer), smart cities typically play a management role.</w:t>
      </w:r>
    </w:p>
    <w:p w14:paraId="39079590" w14:textId="77777777" w:rsidR="009434EF" w:rsidRDefault="009434EF" w:rsidP="009327C4">
      <w:pPr>
        <w:jc w:val="both"/>
      </w:pPr>
      <w:r>
        <w:lastRenderedPageBreak/>
        <w:t xml:space="preserve">ISO/IEC </w:t>
      </w:r>
      <w:r w:rsidRPr="005A2A60">
        <w:t>30145-1</w:t>
      </w:r>
      <w:r>
        <w:t xml:space="preserve"> (</w:t>
      </w:r>
      <w:r w:rsidRPr="005A2A60">
        <w:t xml:space="preserve">Smart City ICT </w:t>
      </w:r>
      <w:r>
        <w:t>R</w:t>
      </w:r>
      <w:r w:rsidRPr="005A2A60">
        <w:t>eference Framework: Smart City Business</w:t>
      </w:r>
      <w:r>
        <w:t>) defines a process called “</w:t>
      </w:r>
      <w:r w:rsidRPr="005A2A60">
        <w:t>Safety, Security and Resilience</w:t>
      </w:r>
      <w:r>
        <w:t xml:space="preserve">”. </w:t>
      </w:r>
      <w:r w:rsidRPr="005A2A60">
        <w:t>The purpose of th</w:t>
      </w:r>
      <w:r>
        <w:t>is process</w:t>
      </w:r>
      <w:r w:rsidRPr="005A2A60">
        <w:t xml:space="preserve"> is to ensure that the City become</w:t>
      </w:r>
      <w:r>
        <w:t>s</w:t>
      </w:r>
      <w:r w:rsidRPr="005A2A60">
        <w:t>, through the usage of innovative ICT, more safe</w:t>
      </w:r>
      <w:r>
        <w:t xml:space="preserve"> and</w:t>
      </w:r>
      <w:r w:rsidRPr="005A2A60">
        <w:t xml:space="preserve"> secure for its stakeholders and more resilient to natural and other disasters.</w:t>
      </w:r>
    </w:p>
    <w:p w14:paraId="73018A47" w14:textId="76B5E104" w:rsidR="009434EF" w:rsidRDefault="009434EF" w:rsidP="009327C4">
      <w:pPr>
        <w:jc w:val="both"/>
      </w:pPr>
      <w:r>
        <w:t>Security and privacy can involve global assets shared by organisations within an ecosystem. In that case their security and privacy processes must be globally coordinated as show</w:t>
      </w:r>
      <w:r w:rsidR="00285232">
        <w:t>n</w:t>
      </w:r>
      <w:r>
        <w:t xml:space="preserve"> in</w:t>
      </w:r>
      <w:r w:rsidR="00285232">
        <w:t xml:space="preserve"> Figure 1</w:t>
      </w:r>
      <w:r>
        <w:t>:</w:t>
      </w:r>
    </w:p>
    <w:p w14:paraId="1D22C540" w14:textId="77777777" w:rsidR="009434EF" w:rsidRPr="00052F1F" w:rsidRDefault="009434EF" w:rsidP="00A957D5">
      <w:pPr>
        <w:pStyle w:val="kgkreflist"/>
        <w:numPr>
          <w:ilvl w:val="0"/>
          <w:numId w:val="14"/>
        </w:numPr>
        <w:tabs>
          <w:tab w:val="num" w:pos="1342"/>
        </w:tabs>
        <w:ind w:left="426" w:hanging="426"/>
      </w:pPr>
      <w:r w:rsidRPr="00052F1F">
        <w:t>each organization carries out its own security and privacy processes;</w:t>
      </w:r>
    </w:p>
    <w:p w14:paraId="59F5DAAD" w14:textId="77777777" w:rsidR="009434EF" w:rsidRDefault="009434EF" w:rsidP="00A957D5">
      <w:pPr>
        <w:pStyle w:val="bullet0"/>
        <w:numPr>
          <w:ilvl w:val="0"/>
          <w:numId w:val="14"/>
        </w:numPr>
        <w:ind w:left="426" w:hanging="426"/>
      </w:pPr>
      <w:r>
        <w:t>an overall management of each organizations’ security and privacy processes ensures consistency of each individual process.</w:t>
      </w:r>
    </w:p>
    <w:p w14:paraId="47D3020D" w14:textId="77777777" w:rsidR="009434EF" w:rsidRDefault="009434EF" w:rsidP="009434EF">
      <w:pPr>
        <w:pStyle w:val="Caption"/>
      </w:pPr>
    </w:p>
    <w:p w14:paraId="05029973" w14:textId="77777777" w:rsidR="009434EF" w:rsidRDefault="009434EF" w:rsidP="009434EF">
      <w:pPr>
        <w:pStyle w:val="Caption"/>
        <w:jc w:val="center"/>
      </w:pPr>
      <w:r w:rsidRPr="00FD64CB">
        <w:rPr>
          <w:noProof/>
          <w:lang w:val="en-GB" w:eastAsia="en-GB"/>
        </w:rPr>
        <w:drawing>
          <wp:inline distT="0" distB="0" distL="0" distR="0" wp14:anchorId="0429D112" wp14:editId="534643F4">
            <wp:extent cx="3033735" cy="1290647"/>
            <wp:effectExtent l="0" t="0" r="0" b="508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033735" cy="1290647"/>
                    </a:xfrm>
                    <a:prstGeom prst="rect">
                      <a:avLst/>
                    </a:prstGeom>
                  </pic:spPr>
                </pic:pic>
              </a:graphicData>
            </a:graphic>
          </wp:inline>
        </w:drawing>
      </w:r>
    </w:p>
    <w:p w14:paraId="4FC57365" w14:textId="6F30AB68" w:rsidR="009434EF" w:rsidRPr="006A5391" w:rsidRDefault="009434EF" w:rsidP="009434EF">
      <w:pPr>
        <w:pStyle w:val="Caption"/>
      </w:pPr>
      <w:r w:rsidRPr="006A5391">
        <w:t xml:space="preserve">Figure </w:t>
      </w:r>
      <w:r w:rsidR="008D1698">
        <w:t>4</w:t>
      </w:r>
      <w:r w:rsidRPr="006A5391">
        <w:t xml:space="preserve"> – Smart city management of security and privacy process</w:t>
      </w:r>
    </w:p>
    <w:p w14:paraId="63BD6019" w14:textId="77777777" w:rsidR="008D1698" w:rsidRDefault="008D1698" w:rsidP="009434EF"/>
    <w:p w14:paraId="64E8C062" w14:textId="7B0757B9" w:rsidR="009434EF" w:rsidRDefault="009434EF" w:rsidP="009327C4">
      <w:pPr>
        <w:jc w:val="both"/>
      </w:pPr>
      <w:r>
        <w:t>The type of management can take different forms. It could imply a strong involvement of the city authority, or it could carried out in association with third parties. Here are examples of security and privacy management approaches</w:t>
      </w:r>
    </w:p>
    <w:p w14:paraId="50294F82" w14:textId="77777777" w:rsidR="009434EF" w:rsidRDefault="009434EF" w:rsidP="00A957D5">
      <w:pPr>
        <w:pStyle w:val="bullet0"/>
        <w:numPr>
          <w:ilvl w:val="0"/>
          <w:numId w:val="15"/>
        </w:numPr>
      </w:pPr>
      <w:r>
        <w:t>organizations involved in the operation of a transport service apply security and privacy processes that are directly coordinated by a city authority;</w:t>
      </w:r>
    </w:p>
    <w:p w14:paraId="5BDC1B3F" w14:textId="77777777" w:rsidR="009434EF" w:rsidRDefault="009434EF" w:rsidP="00A957D5">
      <w:pPr>
        <w:pStyle w:val="bullet0"/>
        <w:numPr>
          <w:ilvl w:val="0"/>
          <w:numId w:val="15"/>
        </w:numPr>
      </w:pPr>
      <w:r>
        <w:t>organizations involved in the operation of a healthcare service apply security and privacy processes that could be coordinated by a national health authority, which in turn liaises with the city authority; and</w:t>
      </w:r>
    </w:p>
    <w:p w14:paraId="260E24BE" w14:textId="77777777" w:rsidR="009434EF" w:rsidRDefault="009434EF" w:rsidP="00A957D5">
      <w:pPr>
        <w:pStyle w:val="bullet0"/>
        <w:numPr>
          <w:ilvl w:val="0"/>
          <w:numId w:val="15"/>
        </w:numPr>
      </w:pPr>
      <w:r>
        <w:t>organizations involved in the operation of a weather broadcast service apply security and privacy processes that could be coordinated by a private company, which in turn reports to the city authority.</w:t>
      </w:r>
    </w:p>
    <w:p w14:paraId="07A4533C" w14:textId="0768C43B" w:rsidR="009434EF" w:rsidRDefault="00285232" w:rsidP="009434EF">
      <w:pPr>
        <w:pStyle w:val="Heading3"/>
      </w:pPr>
      <w:bookmarkStart w:id="50" w:name="_Toc4629842"/>
      <w:bookmarkStart w:id="51" w:name="_Toc14367833"/>
      <w:r>
        <w:t>6</w:t>
      </w:r>
      <w:r w:rsidR="009434EF">
        <w:t>.1.2</w:t>
      </w:r>
      <w:r w:rsidR="009434EF">
        <w:tab/>
        <w:t>Guidance for organisations and ecosystems</w:t>
      </w:r>
      <w:bookmarkEnd w:id="50"/>
      <w:bookmarkEnd w:id="51"/>
    </w:p>
    <w:p w14:paraId="4619DFD7" w14:textId="02910DF6" w:rsidR="009434EF" w:rsidRDefault="009434EF" w:rsidP="009327C4">
      <w:pPr>
        <w:jc w:val="both"/>
      </w:pPr>
      <w:r>
        <w:t>Smart city management is needed on the data sharing chain. For instance an IoT system operator can collect data that is provided as a dataset to a service provider which in turn combines it with other sources of data and provides it to a data consumer. As show</w:t>
      </w:r>
      <w:r w:rsidR="00D94F41">
        <w:t>n</w:t>
      </w:r>
      <w:r>
        <w:t xml:space="preserve"> in </w:t>
      </w:r>
      <w:r>
        <w:fldChar w:fldCharType="begin"/>
      </w:r>
      <w:r>
        <w:instrText xml:space="preserve"> REF _Ref535444997 \h </w:instrText>
      </w:r>
      <w:r>
        <w:fldChar w:fldCharType="separate"/>
      </w:r>
      <w:r w:rsidR="004946F7" w:rsidRPr="0077794A">
        <w:t xml:space="preserve">Figure </w:t>
      </w:r>
      <w:r>
        <w:fldChar w:fldCharType="end"/>
      </w:r>
      <w:r>
        <w:t>,</w:t>
      </w:r>
      <w:r>
        <w:fldChar w:fldCharType="begin"/>
      </w:r>
      <w:r>
        <w:instrText xml:space="preserve"> REF _Ref509699710 \h </w:instrText>
      </w:r>
      <w:r>
        <w:fldChar w:fldCharType="separate"/>
      </w:r>
      <w:r w:rsidR="004946F7">
        <w:rPr>
          <w:b/>
          <w:bCs/>
        </w:rPr>
        <w:t>Error! Reference source not found.</w:t>
      </w:r>
      <w:r>
        <w:fldChar w:fldCharType="end"/>
      </w:r>
    </w:p>
    <w:p w14:paraId="69AD1A0A" w14:textId="77777777" w:rsidR="009434EF" w:rsidRDefault="009434EF" w:rsidP="00A957D5">
      <w:pPr>
        <w:pStyle w:val="bullet0"/>
        <w:numPr>
          <w:ilvl w:val="0"/>
          <w:numId w:val="16"/>
        </w:numPr>
      </w:pPr>
      <w:r>
        <w:t>each organization carries out its own data sharing process;</w:t>
      </w:r>
    </w:p>
    <w:p w14:paraId="30CCD0CB" w14:textId="77777777" w:rsidR="009434EF" w:rsidRDefault="009434EF" w:rsidP="00A957D5">
      <w:pPr>
        <w:pStyle w:val="bullet0"/>
        <w:numPr>
          <w:ilvl w:val="0"/>
          <w:numId w:val="16"/>
        </w:numPr>
      </w:pPr>
      <w:r>
        <w:t>an overall coordination of each organizations’ data sharing processes ensures the security and privacy of the data processing chain.</w:t>
      </w:r>
    </w:p>
    <w:p w14:paraId="3C72C973" w14:textId="77777777" w:rsidR="009434EF" w:rsidRDefault="009434EF" w:rsidP="009434EF">
      <w:pPr>
        <w:jc w:val="center"/>
        <w:rPr>
          <w:rStyle w:val="EditorNote"/>
          <w:color w:val="FF0000"/>
        </w:rPr>
      </w:pPr>
      <w:r w:rsidRPr="00DF73D4">
        <w:rPr>
          <w:noProof/>
          <w:lang w:val="en-GB"/>
        </w:rPr>
        <w:drawing>
          <wp:inline distT="0" distB="0" distL="0" distR="0" wp14:anchorId="49A9CC1F" wp14:editId="12088AFF">
            <wp:extent cx="4183714" cy="1598798"/>
            <wp:effectExtent l="0" t="0" r="7620" b="190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185809" cy="1599598"/>
                    </a:xfrm>
                    <a:prstGeom prst="rect">
                      <a:avLst/>
                    </a:prstGeom>
                  </pic:spPr>
                </pic:pic>
              </a:graphicData>
            </a:graphic>
          </wp:inline>
        </w:drawing>
      </w:r>
    </w:p>
    <w:p w14:paraId="1AA7021E" w14:textId="1831EBDD" w:rsidR="009434EF" w:rsidRDefault="009434EF" w:rsidP="009434EF">
      <w:pPr>
        <w:pStyle w:val="Caption"/>
      </w:pPr>
      <w:bookmarkStart w:id="52" w:name="_Ref535444997"/>
      <w:r w:rsidRPr="0077794A">
        <w:lastRenderedPageBreak/>
        <w:t xml:space="preserve">Figure </w:t>
      </w:r>
      <w:bookmarkEnd w:id="52"/>
      <w:r w:rsidR="008D1698">
        <w:t>5</w:t>
      </w:r>
      <w:r w:rsidRPr="0077794A">
        <w:t xml:space="preserve"> –</w:t>
      </w:r>
      <w:r>
        <w:t xml:space="preserve"> </w:t>
      </w:r>
      <w:r w:rsidRPr="00F421B0">
        <w:t xml:space="preserve">Smart city management </w:t>
      </w:r>
      <w:r>
        <w:t>of data processing chain</w:t>
      </w:r>
    </w:p>
    <w:p w14:paraId="270FBF22" w14:textId="77777777" w:rsidR="008D1698" w:rsidRDefault="008D1698" w:rsidP="009434EF">
      <w:pPr>
        <w:rPr>
          <w:lang w:eastAsia="hi-IN" w:bidi="hi-IN"/>
        </w:rPr>
      </w:pPr>
    </w:p>
    <w:p w14:paraId="1408FB5D" w14:textId="731C7DB7" w:rsidR="009434EF" w:rsidRDefault="009434EF" w:rsidP="009434EF">
      <w:pPr>
        <w:rPr>
          <w:lang w:eastAsia="hi-IN" w:bidi="hi-IN"/>
        </w:rPr>
      </w:pPr>
      <w:r>
        <w:rPr>
          <w:lang w:eastAsia="hi-IN" w:bidi="hi-IN"/>
        </w:rPr>
        <w:t>The following guidance is provided:</w:t>
      </w:r>
    </w:p>
    <w:p w14:paraId="379FD6AF" w14:textId="77777777" w:rsidR="009434EF" w:rsidRDefault="009434EF" w:rsidP="00285232">
      <w:pPr>
        <w:pStyle w:val="bullet0"/>
        <w:numPr>
          <w:ilvl w:val="0"/>
          <w:numId w:val="1"/>
        </w:numPr>
        <w:rPr>
          <w:lang w:bidi="hi-IN"/>
        </w:rPr>
      </w:pPr>
      <w:r>
        <w:rPr>
          <w:lang w:bidi="hi-IN"/>
        </w:rPr>
        <w:t>at the ecosystem level</w:t>
      </w:r>
    </w:p>
    <w:p w14:paraId="09FBBE63" w14:textId="77777777" w:rsidR="009434EF" w:rsidRDefault="009434EF" w:rsidP="00A957D5">
      <w:pPr>
        <w:pStyle w:val="bullet20"/>
        <w:numPr>
          <w:ilvl w:val="1"/>
          <w:numId w:val="17"/>
        </w:numPr>
      </w:pPr>
      <w:r>
        <w:t>identify the data processing chain operational requirements (such as velocity, veracity for a big data application, or scalability, provenance for an IoT service);</w:t>
      </w:r>
    </w:p>
    <w:p w14:paraId="19C38208" w14:textId="77777777" w:rsidR="009434EF" w:rsidRDefault="009434EF" w:rsidP="00A957D5">
      <w:pPr>
        <w:pStyle w:val="bullet20"/>
        <w:numPr>
          <w:ilvl w:val="1"/>
          <w:numId w:val="17"/>
        </w:numPr>
      </w:pPr>
      <w:r>
        <w:t xml:space="preserve">identify the security and privacy protection requirements of the data processing chain, such as data confidentiality, integrity, availability, unlinkability, transparency, intervenability; </w:t>
      </w:r>
    </w:p>
    <w:p w14:paraId="7C602ADE" w14:textId="77777777" w:rsidR="009434EF" w:rsidRDefault="009434EF" w:rsidP="00A957D5">
      <w:pPr>
        <w:pStyle w:val="bullet20"/>
        <w:numPr>
          <w:ilvl w:val="1"/>
          <w:numId w:val="17"/>
        </w:numPr>
      </w:pPr>
      <w:r>
        <w:t>identify specific requirements associated with each organisation role; and</w:t>
      </w:r>
    </w:p>
    <w:p w14:paraId="10598F2C" w14:textId="77777777" w:rsidR="009434EF" w:rsidRDefault="009434EF" w:rsidP="00A957D5">
      <w:pPr>
        <w:pStyle w:val="bullet20"/>
        <w:numPr>
          <w:ilvl w:val="1"/>
          <w:numId w:val="17"/>
        </w:numPr>
      </w:pPr>
      <w:r>
        <w:t>establish security and privacy coordination schemes in the ecosystem, including measures for compliance, assurance and audit of practice.</w:t>
      </w:r>
    </w:p>
    <w:p w14:paraId="56D63CA9" w14:textId="77777777" w:rsidR="009434EF" w:rsidRDefault="009434EF" w:rsidP="009434EF">
      <w:pPr>
        <w:pStyle w:val="bullet0"/>
        <w:numPr>
          <w:ilvl w:val="0"/>
          <w:numId w:val="1"/>
        </w:numPr>
        <w:tabs>
          <w:tab w:val="num" w:pos="1342"/>
        </w:tabs>
        <w:ind w:left="714" w:hanging="357"/>
        <w:rPr>
          <w:lang w:bidi="hi-IN"/>
        </w:rPr>
      </w:pPr>
      <w:r>
        <w:rPr>
          <w:lang w:bidi="hi-IN"/>
        </w:rPr>
        <w:t>at the organization level</w:t>
      </w:r>
    </w:p>
    <w:p w14:paraId="73E209A4" w14:textId="77777777" w:rsidR="009434EF" w:rsidRDefault="009434EF" w:rsidP="00A957D5">
      <w:pPr>
        <w:pStyle w:val="bullet20"/>
        <w:numPr>
          <w:ilvl w:val="1"/>
          <w:numId w:val="18"/>
        </w:numPr>
      </w:pPr>
      <w:r>
        <w:t>identify the specific organization operational requirements;</w:t>
      </w:r>
    </w:p>
    <w:p w14:paraId="4198C826" w14:textId="77777777" w:rsidR="009434EF" w:rsidRDefault="009434EF" w:rsidP="00A957D5">
      <w:pPr>
        <w:pStyle w:val="bullet20"/>
        <w:numPr>
          <w:ilvl w:val="1"/>
          <w:numId w:val="18"/>
        </w:numPr>
      </w:pPr>
      <w:r>
        <w:t>identify the specific organization security and privacy protection; and</w:t>
      </w:r>
    </w:p>
    <w:p w14:paraId="1D431F1E" w14:textId="77777777" w:rsidR="009434EF" w:rsidRDefault="009434EF" w:rsidP="00A957D5">
      <w:pPr>
        <w:pStyle w:val="bullet20"/>
        <w:numPr>
          <w:ilvl w:val="1"/>
          <w:numId w:val="18"/>
        </w:numPr>
      </w:pPr>
      <w:r>
        <w:t>establish data sharing process in accordance with the smart city management scheme.</w:t>
      </w:r>
    </w:p>
    <w:p w14:paraId="330D760D" w14:textId="23E1B3D9" w:rsidR="009434EF" w:rsidRDefault="00285232" w:rsidP="009434EF">
      <w:pPr>
        <w:pStyle w:val="Heading2"/>
      </w:pPr>
      <w:bookmarkStart w:id="53" w:name="_Toc4629843"/>
      <w:bookmarkStart w:id="54" w:name="_Toc14367834"/>
      <w:r>
        <w:t>6</w:t>
      </w:r>
      <w:r w:rsidR="009434EF">
        <w:t>.2</w:t>
      </w:r>
      <w:r w:rsidR="009434EF">
        <w:tab/>
        <w:t>Lifecycle</w:t>
      </w:r>
      <w:r w:rsidR="009434EF" w:rsidRPr="00E44EE9" w:rsidDel="00905AA4">
        <w:t xml:space="preserve"> </w:t>
      </w:r>
      <w:r w:rsidR="009434EF">
        <w:t>processes</w:t>
      </w:r>
      <w:bookmarkEnd w:id="53"/>
      <w:r w:rsidR="003E6C25">
        <w:t xml:space="preserve"> for security and privacy</w:t>
      </w:r>
      <w:bookmarkEnd w:id="54"/>
    </w:p>
    <w:p w14:paraId="26769463" w14:textId="425CBD57" w:rsidR="009434EF" w:rsidRDefault="00285232" w:rsidP="009434EF">
      <w:pPr>
        <w:pStyle w:val="Heading3"/>
      </w:pPr>
      <w:bookmarkStart w:id="55" w:name="_Toc4629844"/>
      <w:bookmarkStart w:id="56" w:name="_Toc14367835"/>
      <w:r>
        <w:t>6</w:t>
      </w:r>
      <w:r w:rsidR="009434EF">
        <w:t>.2.1</w:t>
      </w:r>
      <w:r w:rsidR="009434EF">
        <w:tab/>
        <w:t>Security-by-design and privacy-by-design</w:t>
      </w:r>
      <w:bookmarkEnd w:id="55"/>
      <w:bookmarkEnd w:id="56"/>
    </w:p>
    <w:p w14:paraId="34F2584D" w14:textId="245C735D" w:rsidR="009434EF" w:rsidRPr="00E44EE9" w:rsidRDefault="009434EF" w:rsidP="00AF72F7">
      <w:pPr>
        <w:jc w:val="both"/>
      </w:pPr>
      <w:r w:rsidRPr="00604358">
        <w:t>Lifecycle processes must integrate</w:t>
      </w:r>
      <w:r>
        <w:t xml:space="preserve"> </w:t>
      </w:r>
      <w:r w:rsidRPr="006A128F">
        <w:t xml:space="preserve">a </w:t>
      </w:r>
      <w:r>
        <w:t xml:space="preserve">combined </w:t>
      </w:r>
      <w:r w:rsidRPr="006A128F">
        <w:t>security and privacy by design approach</w:t>
      </w:r>
      <w:r>
        <w:t xml:space="preserve">. </w:t>
      </w:r>
      <w:r w:rsidRPr="00E44EE9">
        <w:t xml:space="preserve">Security and privacy-by-design </w:t>
      </w:r>
      <w:r>
        <w:t xml:space="preserve">can be </w:t>
      </w:r>
      <w:r w:rsidRPr="00E44EE9">
        <w:t xml:space="preserve">defined </w:t>
      </w:r>
      <w:r w:rsidRPr="00AF72F7">
        <w:t>as the institutionalisation of the concepts of privacy and security in organisations and integrating them in the design, and life cycle of systems.</w:t>
      </w:r>
      <w:r w:rsidR="00AF72F7">
        <w:t xml:space="preserve"> </w:t>
      </w:r>
      <w:r w:rsidRPr="00AF72F7">
        <w:t>Security-by-design focuses on objectives associated</w:t>
      </w:r>
      <w:r w:rsidRPr="00E44EE9">
        <w:t xml:space="preserve"> with</w:t>
      </w:r>
      <w:r w:rsidR="00AF72F7">
        <w:t>:</w:t>
      </w:r>
    </w:p>
    <w:p w14:paraId="50325465" w14:textId="77777777" w:rsidR="009434EF" w:rsidRPr="00E44EE9" w:rsidRDefault="009434EF" w:rsidP="009434EF">
      <w:pPr>
        <w:pStyle w:val="bullet0"/>
        <w:numPr>
          <w:ilvl w:val="0"/>
          <w:numId w:val="1"/>
        </w:numPr>
        <w:tabs>
          <w:tab w:val="num" w:pos="1342"/>
        </w:tabs>
        <w:ind w:left="714" w:hanging="357"/>
      </w:pPr>
      <w:r w:rsidRPr="00E44EE9">
        <w:t>the protection of ICT assets;</w:t>
      </w:r>
    </w:p>
    <w:p w14:paraId="35DC790A" w14:textId="27E0290D" w:rsidR="009434EF" w:rsidRPr="00E44EE9" w:rsidRDefault="009434EF" w:rsidP="009434EF">
      <w:pPr>
        <w:pStyle w:val="bullet0"/>
        <w:numPr>
          <w:ilvl w:val="0"/>
          <w:numId w:val="1"/>
        </w:numPr>
        <w:tabs>
          <w:tab w:val="num" w:pos="1342"/>
        </w:tabs>
        <w:ind w:left="714" w:hanging="357"/>
      </w:pPr>
      <w:r w:rsidRPr="00E44EE9">
        <w:t>attributes such as confidentiality, integrity, availability (</w:t>
      </w:r>
      <w:r>
        <w:t xml:space="preserve">described in </w:t>
      </w:r>
      <w:r w:rsidRPr="00E44EE9">
        <w:fldChar w:fldCharType="begin"/>
      </w:r>
      <w:r w:rsidRPr="00E44EE9">
        <w:instrText xml:space="preserve"> REF _Ref505663464 \h  \* MERGEFORMAT </w:instrText>
      </w:r>
      <w:r w:rsidRPr="00E44EE9">
        <w:fldChar w:fldCharType="separate"/>
      </w:r>
      <w:r w:rsidR="004946F7" w:rsidRPr="00E44EE9">
        <w:t xml:space="preserve">Table </w:t>
      </w:r>
      <w:r w:rsidR="004946F7">
        <w:t>3</w:t>
      </w:r>
      <w:r w:rsidRPr="00E44EE9">
        <w:fldChar w:fldCharType="end"/>
      </w:r>
      <w:r w:rsidRPr="00E44EE9">
        <w:t>).</w:t>
      </w:r>
    </w:p>
    <w:p w14:paraId="661C4002" w14:textId="77777777" w:rsidR="009434EF" w:rsidRPr="00E44EE9" w:rsidRDefault="009434EF" w:rsidP="009434EF">
      <w:r w:rsidRPr="00E44EE9">
        <w:t>Privacy-by-design focuses on objectives associated with</w:t>
      </w:r>
    </w:p>
    <w:p w14:paraId="64D08296" w14:textId="466AF67D" w:rsidR="009434EF" w:rsidRPr="00C91D29" w:rsidRDefault="009434EF" w:rsidP="009434EF">
      <w:pPr>
        <w:pStyle w:val="bullet0"/>
        <w:numPr>
          <w:ilvl w:val="0"/>
          <w:numId w:val="1"/>
        </w:numPr>
        <w:tabs>
          <w:tab w:val="num" w:pos="1342"/>
        </w:tabs>
        <w:ind w:left="714" w:hanging="357"/>
      </w:pPr>
      <w:r w:rsidRPr="006A128F">
        <w:t>the application of principles for privacy-by-design and privacy-by-default</w:t>
      </w:r>
      <w:r>
        <w:t xml:space="preserve">, as listed in </w:t>
      </w:r>
      <w:r w:rsidRPr="00C91D29">
        <w:fldChar w:fldCharType="begin"/>
      </w:r>
      <w:r w:rsidRPr="00C91D29">
        <w:instrText xml:space="preserve"> REF _Ref505662753 \h  \* MERGEFORMAT </w:instrText>
      </w:r>
      <w:r w:rsidRPr="00C91D29">
        <w:fldChar w:fldCharType="separate"/>
      </w:r>
      <w:r w:rsidR="004946F7" w:rsidRPr="00E44EE9">
        <w:t xml:space="preserve">Table </w:t>
      </w:r>
      <w:r w:rsidR="004946F7">
        <w:t>1</w:t>
      </w:r>
      <w:r w:rsidRPr="00C91D29">
        <w:fldChar w:fldCharType="end"/>
      </w:r>
      <w:r w:rsidRPr="00C91D29">
        <w:t xml:space="preserve"> </w:t>
      </w:r>
      <w:r>
        <w:t xml:space="preserve"> (from Ann Cavoukian</w:t>
      </w:r>
      <w:r w:rsidRPr="00A759FE">
        <w:rPr>
          <w:vertAlign w:val="superscript"/>
        </w:rPr>
        <w:footnoteReference w:id="22"/>
      </w:r>
      <w:r>
        <w:t>)</w:t>
      </w:r>
      <w:r w:rsidRPr="006A128F">
        <w:t>,</w:t>
      </w:r>
      <w:r>
        <w:t xml:space="preserve"> or in</w:t>
      </w:r>
      <w:r w:rsidRPr="006A128F">
        <w:t xml:space="preserve"> </w:t>
      </w:r>
      <w:r w:rsidRPr="00C91D29">
        <w:fldChar w:fldCharType="begin"/>
      </w:r>
      <w:r w:rsidRPr="00C91D29">
        <w:instrText xml:space="preserve"> REF _Ref505662754 \h  \* MERGEFORMAT </w:instrText>
      </w:r>
      <w:r w:rsidRPr="00C91D29">
        <w:fldChar w:fldCharType="separate"/>
      </w:r>
      <w:r w:rsidR="004946F7" w:rsidRPr="00E44EE9">
        <w:t xml:space="preserve">Table </w:t>
      </w:r>
      <w:r w:rsidR="004946F7">
        <w:t>2</w:t>
      </w:r>
      <w:r w:rsidRPr="00C91D29">
        <w:fldChar w:fldCharType="end"/>
      </w:r>
      <w:r w:rsidRPr="00C91D29">
        <w:t xml:space="preserve"> </w:t>
      </w:r>
      <w:r>
        <w:t>(</w:t>
      </w:r>
      <w:r w:rsidRPr="00C91D29">
        <w:t>ISO/IEC 29100</w:t>
      </w:r>
      <w:r w:rsidRPr="00A759FE">
        <w:rPr>
          <w:vertAlign w:val="superscript"/>
        </w:rPr>
        <w:footnoteReference w:id="23"/>
      </w:r>
      <w:r>
        <w:t>)</w:t>
      </w:r>
      <w:r w:rsidRPr="006A128F">
        <w:t>;</w:t>
      </w:r>
    </w:p>
    <w:p w14:paraId="2E2EA9FB" w14:textId="2F8C4DAE" w:rsidR="009434EF" w:rsidRPr="006A128F" w:rsidRDefault="009434EF" w:rsidP="009434EF">
      <w:pPr>
        <w:pStyle w:val="bullet0"/>
        <w:numPr>
          <w:ilvl w:val="0"/>
          <w:numId w:val="1"/>
        </w:numPr>
        <w:tabs>
          <w:tab w:val="num" w:pos="1342"/>
        </w:tabs>
        <w:ind w:left="714" w:hanging="357"/>
      </w:pPr>
      <w:r w:rsidRPr="00C91D29">
        <w:t>attributes such as unlinkability, transparency, intervenability (</w:t>
      </w:r>
      <w:r>
        <w:t xml:space="preserve">described in </w:t>
      </w:r>
      <w:r w:rsidRPr="00C91D29">
        <w:fldChar w:fldCharType="begin"/>
      </w:r>
      <w:r w:rsidRPr="00C91D29">
        <w:instrText xml:space="preserve"> REF _Ref505663464 \h  \* MERGEFORMAT </w:instrText>
      </w:r>
      <w:r w:rsidRPr="00C91D29">
        <w:fldChar w:fldCharType="separate"/>
      </w:r>
      <w:r w:rsidR="004946F7" w:rsidRPr="00E44EE9">
        <w:t xml:space="preserve">Table </w:t>
      </w:r>
      <w:r w:rsidR="004946F7">
        <w:t>3</w:t>
      </w:r>
      <w:r w:rsidRPr="00C91D29">
        <w:fldChar w:fldCharType="end"/>
      </w:r>
      <w:r w:rsidRPr="006A128F">
        <w:t>).</w:t>
      </w:r>
    </w:p>
    <w:tbl>
      <w:tblPr>
        <w:tblStyle w:val="TableGrid7"/>
        <w:tblW w:w="5670" w:type="dxa"/>
        <w:tblInd w:w="2127" w:type="dxa"/>
        <w:tblLook w:val="04A0" w:firstRow="1" w:lastRow="0" w:firstColumn="1" w:lastColumn="0" w:noHBand="0" w:noVBand="1"/>
      </w:tblPr>
      <w:tblGrid>
        <w:gridCol w:w="5670"/>
      </w:tblGrid>
      <w:tr w:rsidR="009434EF" w:rsidRPr="00E44EE9" w14:paraId="4560B044" w14:textId="77777777" w:rsidTr="00D72003">
        <w:tc>
          <w:tcPr>
            <w:tcW w:w="5670" w:type="dxa"/>
            <w:tcBorders>
              <w:top w:val="single" w:sz="4" w:space="0" w:color="auto"/>
              <w:left w:val="single" w:sz="4" w:space="0" w:color="auto"/>
              <w:bottom w:val="single" w:sz="4" w:space="0" w:color="auto"/>
              <w:right w:val="single" w:sz="4" w:space="0" w:color="auto"/>
            </w:tcBorders>
            <w:hideMark/>
          </w:tcPr>
          <w:p w14:paraId="4F3BD4D4" w14:textId="77777777" w:rsidR="009434EF" w:rsidRPr="005E560B" w:rsidRDefault="009434EF" w:rsidP="00D72003">
            <w:pPr>
              <w:pStyle w:val="TableauNormal1"/>
              <w:rPr>
                <w:rFonts w:eastAsia="Batang" w:cs="Times New Roman"/>
                <w:szCs w:val="20"/>
                <w:lang w:eastAsia="zh-CN"/>
              </w:rPr>
            </w:pPr>
            <w:r w:rsidRPr="005E560B">
              <w:t>Proactive not Reactive; Preventative not Remedial</w:t>
            </w:r>
          </w:p>
        </w:tc>
      </w:tr>
      <w:tr w:rsidR="009434EF" w:rsidRPr="00E44EE9" w14:paraId="0A912441" w14:textId="77777777" w:rsidTr="00D72003">
        <w:tc>
          <w:tcPr>
            <w:tcW w:w="5670" w:type="dxa"/>
            <w:tcBorders>
              <w:top w:val="single" w:sz="4" w:space="0" w:color="auto"/>
              <w:left w:val="single" w:sz="4" w:space="0" w:color="auto"/>
              <w:bottom w:val="single" w:sz="4" w:space="0" w:color="auto"/>
              <w:right w:val="single" w:sz="4" w:space="0" w:color="auto"/>
            </w:tcBorders>
            <w:hideMark/>
          </w:tcPr>
          <w:p w14:paraId="29570615" w14:textId="77777777" w:rsidR="009434EF" w:rsidRPr="005E560B" w:rsidRDefault="009434EF" w:rsidP="00D72003">
            <w:pPr>
              <w:pStyle w:val="TableauNormal1"/>
              <w:rPr>
                <w:rFonts w:eastAsia="Batang" w:cs="Times New Roman"/>
                <w:szCs w:val="20"/>
                <w:lang w:eastAsia="zh-CN"/>
              </w:rPr>
            </w:pPr>
            <w:r w:rsidRPr="005E560B">
              <w:t>Privacy as the Default Setting</w:t>
            </w:r>
          </w:p>
        </w:tc>
      </w:tr>
      <w:tr w:rsidR="009434EF" w:rsidRPr="00E44EE9" w14:paraId="1915F78B" w14:textId="77777777" w:rsidTr="00D72003">
        <w:tc>
          <w:tcPr>
            <w:tcW w:w="5670" w:type="dxa"/>
            <w:tcBorders>
              <w:top w:val="single" w:sz="4" w:space="0" w:color="auto"/>
              <w:left w:val="single" w:sz="4" w:space="0" w:color="auto"/>
              <w:bottom w:val="single" w:sz="4" w:space="0" w:color="auto"/>
              <w:right w:val="single" w:sz="4" w:space="0" w:color="auto"/>
            </w:tcBorders>
            <w:hideMark/>
          </w:tcPr>
          <w:p w14:paraId="7D28962B" w14:textId="77777777" w:rsidR="009434EF" w:rsidRPr="005E560B" w:rsidRDefault="009434EF" w:rsidP="00D72003">
            <w:pPr>
              <w:pStyle w:val="TableauNormal1"/>
              <w:rPr>
                <w:rFonts w:eastAsia="Batang" w:cs="Times New Roman"/>
                <w:szCs w:val="20"/>
                <w:lang w:eastAsia="zh-CN"/>
              </w:rPr>
            </w:pPr>
            <w:r w:rsidRPr="005E560B">
              <w:t>Privacy Embedded into Design</w:t>
            </w:r>
          </w:p>
        </w:tc>
      </w:tr>
      <w:tr w:rsidR="009434EF" w:rsidRPr="00E44EE9" w14:paraId="25E3FB06" w14:textId="77777777" w:rsidTr="00D72003">
        <w:tc>
          <w:tcPr>
            <w:tcW w:w="5670" w:type="dxa"/>
            <w:tcBorders>
              <w:top w:val="single" w:sz="4" w:space="0" w:color="auto"/>
              <w:left w:val="single" w:sz="4" w:space="0" w:color="auto"/>
              <w:bottom w:val="single" w:sz="4" w:space="0" w:color="auto"/>
              <w:right w:val="single" w:sz="4" w:space="0" w:color="auto"/>
            </w:tcBorders>
            <w:hideMark/>
          </w:tcPr>
          <w:p w14:paraId="7AC65626" w14:textId="77777777" w:rsidR="009434EF" w:rsidRPr="005E560B" w:rsidRDefault="009434EF" w:rsidP="00D72003">
            <w:pPr>
              <w:pStyle w:val="TableauNormal1"/>
              <w:rPr>
                <w:rFonts w:eastAsia="Batang" w:cs="Times New Roman"/>
                <w:szCs w:val="20"/>
                <w:lang w:eastAsia="zh-CN"/>
              </w:rPr>
            </w:pPr>
            <w:r w:rsidRPr="005E560B">
              <w:t>Full Functionality — Positive-Sum, not Zero-Sum</w:t>
            </w:r>
          </w:p>
        </w:tc>
      </w:tr>
      <w:tr w:rsidR="009434EF" w:rsidRPr="00E44EE9" w14:paraId="4BF0061D" w14:textId="77777777" w:rsidTr="00D72003">
        <w:tc>
          <w:tcPr>
            <w:tcW w:w="5670" w:type="dxa"/>
            <w:tcBorders>
              <w:top w:val="single" w:sz="4" w:space="0" w:color="auto"/>
              <w:left w:val="single" w:sz="4" w:space="0" w:color="auto"/>
              <w:bottom w:val="single" w:sz="4" w:space="0" w:color="auto"/>
              <w:right w:val="single" w:sz="4" w:space="0" w:color="auto"/>
            </w:tcBorders>
            <w:hideMark/>
          </w:tcPr>
          <w:p w14:paraId="3621DB8A" w14:textId="77777777" w:rsidR="009434EF" w:rsidRPr="005E560B" w:rsidRDefault="009434EF" w:rsidP="00D72003">
            <w:pPr>
              <w:pStyle w:val="TableauNormal1"/>
              <w:rPr>
                <w:rFonts w:eastAsia="Batang" w:cs="Times New Roman"/>
                <w:szCs w:val="20"/>
                <w:lang w:eastAsia="zh-CN"/>
              </w:rPr>
            </w:pPr>
            <w:r w:rsidRPr="005E560B">
              <w:t>End-to-End Security — Full Lifecycle Protection</w:t>
            </w:r>
          </w:p>
        </w:tc>
      </w:tr>
      <w:tr w:rsidR="009434EF" w:rsidRPr="00E44EE9" w14:paraId="4B3059FA" w14:textId="77777777" w:rsidTr="00D72003">
        <w:tc>
          <w:tcPr>
            <w:tcW w:w="5670" w:type="dxa"/>
            <w:tcBorders>
              <w:top w:val="single" w:sz="4" w:space="0" w:color="auto"/>
              <w:left w:val="single" w:sz="4" w:space="0" w:color="auto"/>
              <w:bottom w:val="single" w:sz="4" w:space="0" w:color="auto"/>
              <w:right w:val="single" w:sz="4" w:space="0" w:color="auto"/>
            </w:tcBorders>
            <w:hideMark/>
          </w:tcPr>
          <w:p w14:paraId="52275D3A" w14:textId="77777777" w:rsidR="009434EF" w:rsidRPr="005E560B" w:rsidRDefault="009434EF" w:rsidP="00D72003">
            <w:pPr>
              <w:pStyle w:val="TableauNormal1"/>
              <w:rPr>
                <w:rFonts w:eastAsia="Batang" w:cs="Times New Roman"/>
                <w:szCs w:val="20"/>
                <w:lang w:eastAsia="zh-CN"/>
              </w:rPr>
            </w:pPr>
            <w:r w:rsidRPr="005E560B">
              <w:t>Visibility and Transparency — Keep it Open</w:t>
            </w:r>
          </w:p>
        </w:tc>
      </w:tr>
      <w:tr w:rsidR="009434EF" w:rsidRPr="00E44EE9" w14:paraId="18D7F4F6" w14:textId="77777777" w:rsidTr="00D72003">
        <w:tc>
          <w:tcPr>
            <w:tcW w:w="5670" w:type="dxa"/>
            <w:tcBorders>
              <w:top w:val="single" w:sz="4" w:space="0" w:color="auto"/>
              <w:left w:val="single" w:sz="4" w:space="0" w:color="auto"/>
              <w:bottom w:val="single" w:sz="4" w:space="0" w:color="auto"/>
              <w:right w:val="single" w:sz="4" w:space="0" w:color="auto"/>
            </w:tcBorders>
            <w:hideMark/>
          </w:tcPr>
          <w:p w14:paraId="18F8B8D8" w14:textId="77777777" w:rsidR="009434EF" w:rsidRPr="005E560B" w:rsidRDefault="009434EF" w:rsidP="00D72003">
            <w:pPr>
              <w:pStyle w:val="TableauNormal1"/>
              <w:rPr>
                <w:rFonts w:eastAsia="Batang" w:cs="Times New Roman"/>
                <w:szCs w:val="20"/>
                <w:lang w:eastAsia="zh-CN"/>
              </w:rPr>
            </w:pPr>
            <w:r w:rsidRPr="005E560B">
              <w:t>Respect for User Privacy — Keep it User-Centric</w:t>
            </w:r>
          </w:p>
        </w:tc>
      </w:tr>
    </w:tbl>
    <w:p w14:paraId="2FDD4794" w14:textId="116DE262" w:rsidR="009434EF" w:rsidRDefault="009434EF" w:rsidP="009434EF">
      <w:pPr>
        <w:pStyle w:val="figurecentred"/>
      </w:pPr>
      <w:bookmarkStart w:id="57" w:name="_Ref505662753"/>
      <w:bookmarkStart w:id="58" w:name="_Toc505817042"/>
      <w:r w:rsidRPr="00E44EE9">
        <w:t xml:space="preserve">Table </w:t>
      </w:r>
      <w:r w:rsidRPr="00E44EE9">
        <w:fldChar w:fldCharType="begin"/>
      </w:r>
      <w:r w:rsidRPr="00E44EE9">
        <w:instrText xml:space="preserve"> SEQ Table \* ARABIC </w:instrText>
      </w:r>
      <w:r w:rsidRPr="00E44EE9">
        <w:fldChar w:fldCharType="separate"/>
      </w:r>
      <w:r w:rsidR="004946F7">
        <w:rPr>
          <w:noProof/>
        </w:rPr>
        <w:t>1</w:t>
      </w:r>
      <w:r w:rsidRPr="00E44EE9">
        <w:fldChar w:fldCharType="end"/>
      </w:r>
      <w:bookmarkEnd w:id="57"/>
      <w:r w:rsidRPr="00E44EE9">
        <w:t>: Privacy-by-design Principles</w:t>
      </w:r>
      <w:bookmarkEnd w:id="58"/>
      <w:r>
        <w:t xml:space="preserve"> from Ann Cavoukian</w:t>
      </w:r>
    </w:p>
    <w:p w14:paraId="31F37F17" w14:textId="77777777" w:rsidR="00DA342B" w:rsidRPr="00E44EE9" w:rsidRDefault="00DA342B" w:rsidP="009434EF">
      <w:pPr>
        <w:pStyle w:val="figurecentred"/>
      </w:pPr>
    </w:p>
    <w:tbl>
      <w:tblPr>
        <w:tblStyle w:val="TableGrid7"/>
        <w:tblW w:w="5670" w:type="dxa"/>
        <w:tblInd w:w="2127" w:type="dxa"/>
        <w:tblLook w:val="04A0" w:firstRow="1" w:lastRow="0" w:firstColumn="1" w:lastColumn="0" w:noHBand="0" w:noVBand="1"/>
      </w:tblPr>
      <w:tblGrid>
        <w:gridCol w:w="5670"/>
      </w:tblGrid>
      <w:tr w:rsidR="009434EF" w:rsidRPr="00E44EE9" w14:paraId="1071EB23" w14:textId="77777777" w:rsidTr="00D72003">
        <w:tc>
          <w:tcPr>
            <w:tcW w:w="5670" w:type="dxa"/>
            <w:tcBorders>
              <w:top w:val="single" w:sz="4" w:space="0" w:color="auto"/>
              <w:left w:val="single" w:sz="4" w:space="0" w:color="auto"/>
              <w:bottom w:val="single" w:sz="4" w:space="0" w:color="auto"/>
              <w:right w:val="single" w:sz="4" w:space="0" w:color="auto"/>
            </w:tcBorders>
            <w:hideMark/>
          </w:tcPr>
          <w:p w14:paraId="570FB3CF" w14:textId="77777777" w:rsidR="009434EF" w:rsidRPr="005E560B" w:rsidRDefault="009434EF" w:rsidP="00D72003">
            <w:pPr>
              <w:pStyle w:val="TableauNormal1"/>
              <w:rPr>
                <w:rFonts w:eastAsia="Batang" w:cs="Times New Roman"/>
                <w:szCs w:val="20"/>
                <w:lang w:eastAsia="zh-CN"/>
              </w:rPr>
            </w:pPr>
            <w:r w:rsidRPr="005E560B">
              <w:t>Consent and choice</w:t>
            </w:r>
          </w:p>
        </w:tc>
      </w:tr>
      <w:tr w:rsidR="009434EF" w:rsidRPr="00E44EE9" w14:paraId="7441AD4A" w14:textId="77777777" w:rsidTr="00D72003">
        <w:tc>
          <w:tcPr>
            <w:tcW w:w="5670" w:type="dxa"/>
            <w:tcBorders>
              <w:top w:val="single" w:sz="4" w:space="0" w:color="auto"/>
              <w:left w:val="single" w:sz="4" w:space="0" w:color="auto"/>
              <w:bottom w:val="single" w:sz="4" w:space="0" w:color="auto"/>
              <w:right w:val="single" w:sz="4" w:space="0" w:color="auto"/>
            </w:tcBorders>
            <w:hideMark/>
          </w:tcPr>
          <w:p w14:paraId="7D565682" w14:textId="77777777" w:rsidR="009434EF" w:rsidRPr="005E560B" w:rsidRDefault="009434EF" w:rsidP="00D72003">
            <w:pPr>
              <w:pStyle w:val="TableauNormal1"/>
              <w:rPr>
                <w:rFonts w:eastAsia="Batang" w:cs="Times New Roman"/>
                <w:szCs w:val="20"/>
                <w:lang w:eastAsia="zh-CN"/>
              </w:rPr>
            </w:pPr>
            <w:r w:rsidRPr="005E560B">
              <w:t>Purpose legitimacy and specification</w:t>
            </w:r>
          </w:p>
        </w:tc>
      </w:tr>
      <w:tr w:rsidR="009434EF" w:rsidRPr="00E44EE9" w14:paraId="59DB37E6" w14:textId="77777777" w:rsidTr="00D72003">
        <w:tc>
          <w:tcPr>
            <w:tcW w:w="5670" w:type="dxa"/>
            <w:tcBorders>
              <w:top w:val="single" w:sz="4" w:space="0" w:color="auto"/>
              <w:left w:val="single" w:sz="4" w:space="0" w:color="auto"/>
              <w:bottom w:val="single" w:sz="4" w:space="0" w:color="auto"/>
              <w:right w:val="single" w:sz="4" w:space="0" w:color="auto"/>
            </w:tcBorders>
            <w:hideMark/>
          </w:tcPr>
          <w:p w14:paraId="16A1D7A9" w14:textId="77777777" w:rsidR="009434EF" w:rsidRPr="005E560B" w:rsidRDefault="009434EF" w:rsidP="00D72003">
            <w:pPr>
              <w:pStyle w:val="TableauNormal1"/>
              <w:rPr>
                <w:rFonts w:eastAsia="Batang" w:cs="Times New Roman"/>
                <w:szCs w:val="20"/>
                <w:lang w:eastAsia="zh-CN"/>
              </w:rPr>
            </w:pPr>
            <w:r w:rsidRPr="005E560B">
              <w:t>Collection limitation</w:t>
            </w:r>
          </w:p>
        </w:tc>
      </w:tr>
      <w:tr w:rsidR="009434EF" w:rsidRPr="00E44EE9" w14:paraId="702263D1" w14:textId="77777777" w:rsidTr="00D72003">
        <w:tc>
          <w:tcPr>
            <w:tcW w:w="5670" w:type="dxa"/>
            <w:tcBorders>
              <w:top w:val="single" w:sz="4" w:space="0" w:color="auto"/>
              <w:left w:val="single" w:sz="4" w:space="0" w:color="auto"/>
              <w:bottom w:val="single" w:sz="4" w:space="0" w:color="auto"/>
              <w:right w:val="single" w:sz="4" w:space="0" w:color="auto"/>
            </w:tcBorders>
            <w:hideMark/>
          </w:tcPr>
          <w:p w14:paraId="49FC53A9" w14:textId="77777777" w:rsidR="009434EF" w:rsidRPr="005E560B" w:rsidRDefault="009434EF" w:rsidP="00D72003">
            <w:pPr>
              <w:pStyle w:val="TableauNormal1"/>
              <w:rPr>
                <w:rFonts w:eastAsia="Batang" w:cs="Times New Roman"/>
                <w:szCs w:val="20"/>
                <w:lang w:eastAsia="zh-CN"/>
              </w:rPr>
            </w:pPr>
            <w:r w:rsidRPr="005E560B">
              <w:t>Data minimization</w:t>
            </w:r>
          </w:p>
        </w:tc>
      </w:tr>
      <w:tr w:rsidR="009434EF" w:rsidRPr="00E44EE9" w14:paraId="56F30564" w14:textId="77777777" w:rsidTr="00D72003">
        <w:tc>
          <w:tcPr>
            <w:tcW w:w="5670" w:type="dxa"/>
            <w:tcBorders>
              <w:top w:val="single" w:sz="4" w:space="0" w:color="auto"/>
              <w:left w:val="single" w:sz="4" w:space="0" w:color="auto"/>
              <w:bottom w:val="single" w:sz="4" w:space="0" w:color="auto"/>
              <w:right w:val="single" w:sz="4" w:space="0" w:color="auto"/>
            </w:tcBorders>
            <w:hideMark/>
          </w:tcPr>
          <w:p w14:paraId="725C3891" w14:textId="77777777" w:rsidR="009434EF" w:rsidRPr="005E560B" w:rsidRDefault="009434EF" w:rsidP="00D72003">
            <w:pPr>
              <w:pStyle w:val="TableauNormal1"/>
              <w:rPr>
                <w:rFonts w:eastAsia="Batang" w:cs="Times New Roman"/>
                <w:szCs w:val="20"/>
                <w:lang w:eastAsia="zh-CN"/>
              </w:rPr>
            </w:pPr>
            <w:r w:rsidRPr="005E560B">
              <w:t>Use retention and disclosure limitation</w:t>
            </w:r>
          </w:p>
        </w:tc>
      </w:tr>
      <w:tr w:rsidR="009434EF" w:rsidRPr="00E44EE9" w14:paraId="00FDE817" w14:textId="77777777" w:rsidTr="00D72003">
        <w:tc>
          <w:tcPr>
            <w:tcW w:w="5670" w:type="dxa"/>
            <w:tcBorders>
              <w:top w:val="single" w:sz="4" w:space="0" w:color="auto"/>
              <w:left w:val="single" w:sz="4" w:space="0" w:color="auto"/>
              <w:bottom w:val="single" w:sz="4" w:space="0" w:color="auto"/>
              <w:right w:val="single" w:sz="4" w:space="0" w:color="auto"/>
            </w:tcBorders>
            <w:hideMark/>
          </w:tcPr>
          <w:p w14:paraId="4422AAC4" w14:textId="77777777" w:rsidR="009434EF" w:rsidRPr="005E560B" w:rsidRDefault="009434EF" w:rsidP="00D72003">
            <w:pPr>
              <w:pStyle w:val="TableauNormal1"/>
              <w:rPr>
                <w:rFonts w:eastAsia="Batang" w:cs="Times New Roman"/>
                <w:szCs w:val="20"/>
                <w:lang w:eastAsia="zh-CN"/>
              </w:rPr>
            </w:pPr>
            <w:r w:rsidRPr="005E560B">
              <w:lastRenderedPageBreak/>
              <w:t>Accuracy and quality</w:t>
            </w:r>
          </w:p>
        </w:tc>
      </w:tr>
      <w:tr w:rsidR="009434EF" w:rsidRPr="00E44EE9" w14:paraId="2834212D" w14:textId="77777777" w:rsidTr="00D72003">
        <w:tc>
          <w:tcPr>
            <w:tcW w:w="5670" w:type="dxa"/>
            <w:tcBorders>
              <w:top w:val="single" w:sz="4" w:space="0" w:color="auto"/>
              <w:left w:val="single" w:sz="4" w:space="0" w:color="auto"/>
              <w:bottom w:val="single" w:sz="4" w:space="0" w:color="auto"/>
              <w:right w:val="single" w:sz="4" w:space="0" w:color="auto"/>
            </w:tcBorders>
            <w:hideMark/>
          </w:tcPr>
          <w:p w14:paraId="27BD6764" w14:textId="77777777" w:rsidR="009434EF" w:rsidRPr="005E560B" w:rsidRDefault="009434EF" w:rsidP="00D72003">
            <w:pPr>
              <w:pStyle w:val="TableauNormal1"/>
              <w:rPr>
                <w:rFonts w:eastAsia="Batang" w:cs="Times New Roman"/>
                <w:szCs w:val="20"/>
                <w:lang w:eastAsia="zh-CN"/>
              </w:rPr>
            </w:pPr>
            <w:r w:rsidRPr="005E560B">
              <w:t>Openness</w:t>
            </w:r>
          </w:p>
        </w:tc>
      </w:tr>
      <w:tr w:rsidR="009434EF" w:rsidRPr="00E44EE9" w14:paraId="0354137A" w14:textId="77777777" w:rsidTr="00D72003">
        <w:tc>
          <w:tcPr>
            <w:tcW w:w="5670" w:type="dxa"/>
            <w:tcBorders>
              <w:top w:val="single" w:sz="4" w:space="0" w:color="auto"/>
              <w:left w:val="single" w:sz="4" w:space="0" w:color="auto"/>
              <w:bottom w:val="single" w:sz="4" w:space="0" w:color="auto"/>
              <w:right w:val="single" w:sz="4" w:space="0" w:color="auto"/>
            </w:tcBorders>
            <w:hideMark/>
          </w:tcPr>
          <w:p w14:paraId="72E98304" w14:textId="77777777" w:rsidR="009434EF" w:rsidRPr="005E560B" w:rsidRDefault="009434EF" w:rsidP="00D72003">
            <w:pPr>
              <w:pStyle w:val="TableauNormal1"/>
              <w:rPr>
                <w:rFonts w:eastAsia="Batang" w:cs="Times New Roman"/>
                <w:szCs w:val="20"/>
                <w:lang w:eastAsia="zh-CN"/>
              </w:rPr>
            </w:pPr>
            <w:r w:rsidRPr="005E560B">
              <w:t>Transparency and notice</w:t>
            </w:r>
          </w:p>
        </w:tc>
      </w:tr>
      <w:tr w:rsidR="009434EF" w:rsidRPr="00E44EE9" w14:paraId="68121C4D" w14:textId="77777777" w:rsidTr="00D72003">
        <w:tc>
          <w:tcPr>
            <w:tcW w:w="5670" w:type="dxa"/>
            <w:tcBorders>
              <w:top w:val="single" w:sz="4" w:space="0" w:color="auto"/>
              <w:left w:val="single" w:sz="4" w:space="0" w:color="auto"/>
              <w:bottom w:val="single" w:sz="4" w:space="0" w:color="auto"/>
              <w:right w:val="single" w:sz="4" w:space="0" w:color="auto"/>
            </w:tcBorders>
            <w:hideMark/>
          </w:tcPr>
          <w:p w14:paraId="4B7BD11D" w14:textId="77777777" w:rsidR="009434EF" w:rsidRPr="005E560B" w:rsidRDefault="009434EF" w:rsidP="00D72003">
            <w:pPr>
              <w:pStyle w:val="TableauNormal1"/>
              <w:rPr>
                <w:rFonts w:eastAsia="Batang" w:cs="Times New Roman"/>
                <w:szCs w:val="20"/>
                <w:lang w:eastAsia="zh-CN"/>
              </w:rPr>
            </w:pPr>
            <w:r w:rsidRPr="005E560B">
              <w:t>Individual participation and access</w:t>
            </w:r>
          </w:p>
        </w:tc>
      </w:tr>
      <w:tr w:rsidR="009434EF" w:rsidRPr="00E44EE9" w14:paraId="10049208" w14:textId="77777777" w:rsidTr="00D72003">
        <w:tc>
          <w:tcPr>
            <w:tcW w:w="5670" w:type="dxa"/>
            <w:tcBorders>
              <w:top w:val="single" w:sz="4" w:space="0" w:color="auto"/>
              <w:left w:val="single" w:sz="4" w:space="0" w:color="auto"/>
              <w:bottom w:val="single" w:sz="4" w:space="0" w:color="auto"/>
              <w:right w:val="single" w:sz="4" w:space="0" w:color="auto"/>
            </w:tcBorders>
            <w:hideMark/>
          </w:tcPr>
          <w:p w14:paraId="19D4B3DB" w14:textId="77777777" w:rsidR="009434EF" w:rsidRPr="005E560B" w:rsidRDefault="009434EF" w:rsidP="00D72003">
            <w:pPr>
              <w:pStyle w:val="TableauNormal1"/>
              <w:rPr>
                <w:rFonts w:eastAsia="Batang" w:cs="Times New Roman"/>
                <w:szCs w:val="20"/>
                <w:lang w:eastAsia="zh-CN"/>
              </w:rPr>
            </w:pPr>
            <w:r w:rsidRPr="005E560B">
              <w:t>Accountability</w:t>
            </w:r>
          </w:p>
        </w:tc>
      </w:tr>
      <w:tr w:rsidR="009434EF" w:rsidRPr="00E44EE9" w14:paraId="62813C31" w14:textId="77777777" w:rsidTr="00D72003">
        <w:tc>
          <w:tcPr>
            <w:tcW w:w="5670" w:type="dxa"/>
            <w:tcBorders>
              <w:top w:val="single" w:sz="4" w:space="0" w:color="auto"/>
              <w:left w:val="single" w:sz="4" w:space="0" w:color="auto"/>
              <w:bottom w:val="single" w:sz="4" w:space="0" w:color="auto"/>
              <w:right w:val="single" w:sz="4" w:space="0" w:color="auto"/>
            </w:tcBorders>
            <w:hideMark/>
          </w:tcPr>
          <w:p w14:paraId="1A62FC99" w14:textId="77777777" w:rsidR="009434EF" w:rsidRPr="005E560B" w:rsidRDefault="009434EF" w:rsidP="00D72003">
            <w:pPr>
              <w:pStyle w:val="TableauNormal1"/>
              <w:rPr>
                <w:rFonts w:eastAsia="Batang" w:cs="Times New Roman"/>
                <w:szCs w:val="20"/>
                <w:lang w:eastAsia="zh-CN"/>
              </w:rPr>
            </w:pPr>
            <w:r w:rsidRPr="005E560B">
              <w:t>Information security</w:t>
            </w:r>
          </w:p>
        </w:tc>
      </w:tr>
      <w:tr w:rsidR="009434EF" w:rsidRPr="00E44EE9" w14:paraId="78458E90" w14:textId="77777777" w:rsidTr="00D72003">
        <w:tc>
          <w:tcPr>
            <w:tcW w:w="5670" w:type="dxa"/>
            <w:tcBorders>
              <w:top w:val="single" w:sz="4" w:space="0" w:color="auto"/>
              <w:left w:val="single" w:sz="4" w:space="0" w:color="auto"/>
              <w:bottom w:val="single" w:sz="4" w:space="0" w:color="auto"/>
              <w:right w:val="single" w:sz="4" w:space="0" w:color="auto"/>
            </w:tcBorders>
            <w:hideMark/>
          </w:tcPr>
          <w:p w14:paraId="12EF1000" w14:textId="77777777" w:rsidR="009434EF" w:rsidRPr="005E560B" w:rsidRDefault="009434EF" w:rsidP="00D72003">
            <w:pPr>
              <w:pStyle w:val="TableauNormal1"/>
              <w:rPr>
                <w:rFonts w:eastAsia="Batang" w:cs="Times New Roman"/>
                <w:szCs w:val="20"/>
                <w:lang w:eastAsia="zh-CN"/>
              </w:rPr>
            </w:pPr>
            <w:r w:rsidRPr="005E560B">
              <w:t>Privacy compliance.</w:t>
            </w:r>
          </w:p>
        </w:tc>
      </w:tr>
    </w:tbl>
    <w:p w14:paraId="1F7B1DDB" w14:textId="405CDE2D" w:rsidR="009434EF" w:rsidRDefault="009434EF" w:rsidP="009434EF">
      <w:pPr>
        <w:pStyle w:val="figurecentred"/>
      </w:pPr>
      <w:bookmarkStart w:id="59" w:name="_Ref505662754"/>
      <w:bookmarkStart w:id="60" w:name="_Toc505817043"/>
      <w:r w:rsidRPr="00E44EE9">
        <w:t xml:space="preserve">Table </w:t>
      </w:r>
      <w:r w:rsidRPr="00E44EE9">
        <w:fldChar w:fldCharType="begin"/>
      </w:r>
      <w:r w:rsidRPr="00E44EE9">
        <w:instrText xml:space="preserve"> SEQ Table \* ARABIC </w:instrText>
      </w:r>
      <w:r w:rsidRPr="00E44EE9">
        <w:fldChar w:fldCharType="separate"/>
      </w:r>
      <w:r w:rsidR="004946F7">
        <w:rPr>
          <w:noProof/>
        </w:rPr>
        <w:t>2</w:t>
      </w:r>
      <w:r w:rsidRPr="00E44EE9">
        <w:fldChar w:fldCharType="end"/>
      </w:r>
      <w:bookmarkEnd w:id="59"/>
      <w:r w:rsidRPr="00E44EE9">
        <w:rPr>
          <w:noProof/>
        </w:rPr>
        <w:t>:</w:t>
      </w:r>
      <w:r w:rsidRPr="00E44EE9">
        <w:t xml:space="preserve"> Privacy Framework Principles</w:t>
      </w:r>
      <w:bookmarkEnd w:id="60"/>
      <w:r>
        <w:t xml:space="preserve"> (ISO/IEC 29100)</w:t>
      </w:r>
    </w:p>
    <w:p w14:paraId="15656EF0" w14:textId="77777777" w:rsidR="00DA342B" w:rsidRPr="00E44EE9" w:rsidRDefault="00DA342B" w:rsidP="009434EF">
      <w:pPr>
        <w:pStyle w:val="figurecentred"/>
      </w:pPr>
    </w:p>
    <w:tbl>
      <w:tblPr>
        <w:tblW w:w="9356"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609"/>
        <w:gridCol w:w="3254"/>
        <w:gridCol w:w="3254"/>
      </w:tblGrid>
      <w:tr w:rsidR="009434EF" w:rsidRPr="005E560B" w14:paraId="7AE79395" w14:textId="77777777" w:rsidTr="00D72003">
        <w:tc>
          <w:tcPr>
            <w:tcW w:w="284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13511A1" w14:textId="77777777" w:rsidR="009434EF" w:rsidRPr="005E560B" w:rsidRDefault="009434EF" w:rsidP="00D72003">
            <w:pPr>
              <w:pStyle w:val="TableauNormal1"/>
            </w:pPr>
            <w:r w:rsidRPr="005E560B">
              <w:t>Attribute</w:t>
            </w:r>
          </w:p>
        </w:tc>
        <w:tc>
          <w:tcPr>
            <w:tcW w:w="32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F23ABB" w14:textId="77777777" w:rsidR="009434EF" w:rsidRPr="005E560B" w:rsidRDefault="009434EF" w:rsidP="00D72003">
            <w:pPr>
              <w:pStyle w:val="TableauNormal1"/>
            </w:pPr>
            <w:r w:rsidRPr="005E560B">
              <w:t>Description</w:t>
            </w:r>
          </w:p>
        </w:tc>
        <w:tc>
          <w:tcPr>
            <w:tcW w:w="32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6C411B2" w14:textId="77777777" w:rsidR="009434EF" w:rsidRPr="005E560B" w:rsidRDefault="009434EF" w:rsidP="00D72003">
            <w:pPr>
              <w:pStyle w:val="TableauNormal1"/>
            </w:pPr>
            <w:r w:rsidRPr="005E560B">
              <w:t>Examples</w:t>
            </w:r>
          </w:p>
        </w:tc>
      </w:tr>
      <w:tr w:rsidR="009434EF" w:rsidRPr="005E560B" w14:paraId="1632894A" w14:textId="77777777" w:rsidTr="00D72003">
        <w:tc>
          <w:tcPr>
            <w:tcW w:w="1239" w:type="dxa"/>
            <w:vMerge w:val="restart"/>
            <w:tcBorders>
              <w:top w:val="single" w:sz="4" w:space="0" w:color="auto"/>
              <w:left w:val="single" w:sz="4" w:space="0" w:color="auto"/>
              <w:bottom w:val="single" w:sz="4" w:space="0" w:color="auto"/>
              <w:right w:val="single" w:sz="4" w:space="0" w:color="auto"/>
            </w:tcBorders>
            <w:vAlign w:val="center"/>
            <w:hideMark/>
          </w:tcPr>
          <w:p w14:paraId="2115A4A1" w14:textId="77777777" w:rsidR="009434EF" w:rsidRPr="005E560B" w:rsidRDefault="009434EF" w:rsidP="00D72003">
            <w:pPr>
              <w:pStyle w:val="TableauNormal1"/>
            </w:pPr>
            <w:r w:rsidRPr="005E560B">
              <w:t>Security  protection attributes</w:t>
            </w:r>
            <w:r w:rsidRPr="005E560B">
              <w:rPr>
                <w:position w:val="6"/>
                <w:sz w:val="14"/>
              </w:rPr>
              <w:footnoteReference w:id="24"/>
            </w:r>
          </w:p>
        </w:tc>
        <w:tc>
          <w:tcPr>
            <w:tcW w:w="1609" w:type="dxa"/>
            <w:tcBorders>
              <w:top w:val="single" w:sz="4" w:space="0" w:color="auto"/>
              <w:left w:val="single" w:sz="4" w:space="0" w:color="auto"/>
              <w:bottom w:val="single" w:sz="4" w:space="0" w:color="auto"/>
              <w:right w:val="single" w:sz="4" w:space="0" w:color="auto"/>
            </w:tcBorders>
            <w:vAlign w:val="center"/>
            <w:hideMark/>
          </w:tcPr>
          <w:p w14:paraId="565984BC" w14:textId="77777777" w:rsidR="009434EF" w:rsidRPr="005E560B" w:rsidRDefault="009434EF" w:rsidP="00D72003">
            <w:pPr>
              <w:pStyle w:val="TableauNormal1"/>
            </w:pPr>
            <w:r w:rsidRPr="005E560B">
              <w:t>Confidentiality</w:t>
            </w:r>
          </w:p>
        </w:tc>
        <w:tc>
          <w:tcPr>
            <w:tcW w:w="3254" w:type="dxa"/>
            <w:tcBorders>
              <w:top w:val="single" w:sz="4" w:space="0" w:color="auto"/>
              <w:left w:val="single" w:sz="4" w:space="0" w:color="auto"/>
              <w:bottom w:val="single" w:sz="4" w:space="0" w:color="auto"/>
              <w:right w:val="single" w:sz="4" w:space="0" w:color="auto"/>
            </w:tcBorders>
            <w:vAlign w:val="center"/>
            <w:hideMark/>
          </w:tcPr>
          <w:p w14:paraId="43460EBE" w14:textId="77777777" w:rsidR="009434EF" w:rsidRPr="005E560B" w:rsidRDefault="009434EF" w:rsidP="00D72003">
            <w:pPr>
              <w:pStyle w:val="TableauNormal1"/>
            </w:pPr>
            <w:r w:rsidRPr="005E560B">
              <w:t>Ensures that information is not made available or disclosed to unauthorized individuals, entities, or processes.</w:t>
            </w:r>
          </w:p>
        </w:tc>
        <w:tc>
          <w:tcPr>
            <w:tcW w:w="3254" w:type="dxa"/>
            <w:tcBorders>
              <w:top w:val="single" w:sz="4" w:space="0" w:color="auto"/>
              <w:left w:val="single" w:sz="4" w:space="0" w:color="auto"/>
              <w:bottom w:val="single" w:sz="4" w:space="0" w:color="auto"/>
              <w:right w:val="single" w:sz="4" w:space="0" w:color="auto"/>
            </w:tcBorders>
            <w:vAlign w:val="center"/>
            <w:hideMark/>
          </w:tcPr>
          <w:p w14:paraId="71B05ED2" w14:textId="77777777" w:rsidR="009434EF" w:rsidRPr="005E560B" w:rsidRDefault="009434EF" w:rsidP="00D72003">
            <w:pPr>
              <w:pStyle w:val="TableauNormal1"/>
            </w:pPr>
            <w:r w:rsidRPr="005E560B">
              <w:t>Protected transmission of collected data, protected access with suitable authentication schemes, protected processing of data, and protected storage.</w:t>
            </w:r>
          </w:p>
        </w:tc>
      </w:tr>
      <w:tr w:rsidR="009434EF" w:rsidRPr="005E560B" w14:paraId="45382100" w14:textId="77777777" w:rsidTr="00D72003">
        <w:tc>
          <w:tcPr>
            <w:tcW w:w="0" w:type="auto"/>
            <w:vMerge/>
            <w:tcBorders>
              <w:top w:val="single" w:sz="4" w:space="0" w:color="auto"/>
              <w:left w:val="single" w:sz="4" w:space="0" w:color="auto"/>
              <w:bottom w:val="single" w:sz="4" w:space="0" w:color="auto"/>
              <w:right w:val="single" w:sz="4" w:space="0" w:color="auto"/>
            </w:tcBorders>
            <w:vAlign w:val="center"/>
            <w:hideMark/>
          </w:tcPr>
          <w:p w14:paraId="2BC99E0C" w14:textId="77777777" w:rsidR="009434EF" w:rsidRPr="005E560B" w:rsidRDefault="009434EF" w:rsidP="00D72003">
            <w:pPr>
              <w:pStyle w:val="TableauNormal1"/>
              <w:rPr>
                <w:b/>
              </w:rPr>
            </w:pPr>
          </w:p>
        </w:tc>
        <w:tc>
          <w:tcPr>
            <w:tcW w:w="1609" w:type="dxa"/>
            <w:tcBorders>
              <w:top w:val="single" w:sz="4" w:space="0" w:color="auto"/>
              <w:left w:val="single" w:sz="4" w:space="0" w:color="auto"/>
              <w:bottom w:val="single" w:sz="4" w:space="0" w:color="auto"/>
              <w:right w:val="single" w:sz="4" w:space="0" w:color="auto"/>
            </w:tcBorders>
            <w:vAlign w:val="center"/>
            <w:hideMark/>
          </w:tcPr>
          <w:p w14:paraId="70C0F4BE" w14:textId="77777777" w:rsidR="009434EF" w:rsidRPr="005E560B" w:rsidRDefault="009434EF" w:rsidP="00D72003">
            <w:pPr>
              <w:pStyle w:val="TableauNormal1"/>
            </w:pPr>
            <w:r w:rsidRPr="005E560B">
              <w:t>Integrity</w:t>
            </w:r>
          </w:p>
        </w:tc>
        <w:tc>
          <w:tcPr>
            <w:tcW w:w="3254" w:type="dxa"/>
            <w:tcBorders>
              <w:top w:val="single" w:sz="4" w:space="0" w:color="auto"/>
              <w:left w:val="single" w:sz="4" w:space="0" w:color="auto"/>
              <w:bottom w:val="single" w:sz="4" w:space="0" w:color="auto"/>
              <w:right w:val="single" w:sz="4" w:space="0" w:color="auto"/>
            </w:tcBorders>
            <w:vAlign w:val="center"/>
            <w:hideMark/>
          </w:tcPr>
          <w:p w14:paraId="357A1AAE" w14:textId="77777777" w:rsidR="009434EF" w:rsidRPr="005E560B" w:rsidRDefault="009434EF" w:rsidP="00D72003">
            <w:pPr>
              <w:pStyle w:val="TableauNormal1"/>
            </w:pPr>
            <w:r w:rsidRPr="005E560B">
              <w:t>Ensures the accuracy and completeness of data over its entire life cycle.</w:t>
            </w:r>
          </w:p>
        </w:tc>
        <w:tc>
          <w:tcPr>
            <w:tcW w:w="3254" w:type="dxa"/>
            <w:tcBorders>
              <w:top w:val="single" w:sz="4" w:space="0" w:color="auto"/>
              <w:left w:val="single" w:sz="4" w:space="0" w:color="auto"/>
              <w:bottom w:val="single" w:sz="4" w:space="0" w:color="auto"/>
              <w:right w:val="single" w:sz="4" w:space="0" w:color="auto"/>
            </w:tcBorders>
            <w:vAlign w:val="center"/>
            <w:hideMark/>
          </w:tcPr>
          <w:p w14:paraId="285E5037" w14:textId="77777777" w:rsidR="009434EF" w:rsidRPr="005E560B" w:rsidRDefault="009434EF" w:rsidP="00D72003">
            <w:pPr>
              <w:pStyle w:val="TableauNormal1"/>
            </w:pPr>
            <w:r w:rsidRPr="005E560B">
              <w:t>Protection of integrity during transmission, processing of data, as well as at storage level</w:t>
            </w:r>
          </w:p>
        </w:tc>
      </w:tr>
      <w:tr w:rsidR="009434EF" w:rsidRPr="005E560B" w14:paraId="55F941EE" w14:textId="77777777" w:rsidTr="00D72003">
        <w:tc>
          <w:tcPr>
            <w:tcW w:w="0" w:type="auto"/>
            <w:vMerge/>
            <w:tcBorders>
              <w:top w:val="single" w:sz="4" w:space="0" w:color="auto"/>
              <w:left w:val="single" w:sz="4" w:space="0" w:color="auto"/>
              <w:bottom w:val="single" w:sz="4" w:space="0" w:color="auto"/>
              <w:right w:val="single" w:sz="4" w:space="0" w:color="auto"/>
            </w:tcBorders>
            <w:vAlign w:val="center"/>
            <w:hideMark/>
          </w:tcPr>
          <w:p w14:paraId="1556E0BC" w14:textId="77777777" w:rsidR="009434EF" w:rsidRPr="005E560B" w:rsidRDefault="009434EF" w:rsidP="00D72003">
            <w:pPr>
              <w:pStyle w:val="TableauNormal1"/>
              <w:rPr>
                <w:b/>
              </w:rPr>
            </w:pPr>
          </w:p>
        </w:tc>
        <w:tc>
          <w:tcPr>
            <w:tcW w:w="1609" w:type="dxa"/>
            <w:tcBorders>
              <w:top w:val="single" w:sz="4" w:space="0" w:color="auto"/>
              <w:left w:val="single" w:sz="4" w:space="0" w:color="auto"/>
              <w:bottom w:val="single" w:sz="4" w:space="0" w:color="auto"/>
              <w:right w:val="single" w:sz="4" w:space="0" w:color="auto"/>
            </w:tcBorders>
            <w:vAlign w:val="center"/>
            <w:hideMark/>
          </w:tcPr>
          <w:p w14:paraId="40F836B5" w14:textId="77777777" w:rsidR="009434EF" w:rsidRPr="005E560B" w:rsidRDefault="009434EF" w:rsidP="00D72003">
            <w:pPr>
              <w:pStyle w:val="TableauNormal1"/>
            </w:pPr>
            <w:r w:rsidRPr="005E560B">
              <w:t>Availability</w:t>
            </w:r>
          </w:p>
        </w:tc>
        <w:tc>
          <w:tcPr>
            <w:tcW w:w="3254" w:type="dxa"/>
            <w:tcBorders>
              <w:top w:val="single" w:sz="4" w:space="0" w:color="auto"/>
              <w:left w:val="single" w:sz="4" w:space="0" w:color="auto"/>
              <w:bottom w:val="single" w:sz="4" w:space="0" w:color="auto"/>
              <w:right w:val="single" w:sz="4" w:space="0" w:color="auto"/>
            </w:tcBorders>
            <w:vAlign w:val="center"/>
            <w:hideMark/>
          </w:tcPr>
          <w:p w14:paraId="0D579041" w14:textId="77777777" w:rsidR="009434EF" w:rsidRPr="005E560B" w:rsidRDefault="009434EF" w:rsidP="00D72003">
            <w:pPr>
              <w:pStyle w:val="TableauNormal1"/>
            </w:pPr>
            <w:r w:rsidRPr="005E560B">
              <w:t>Ensures accessibility and usability upon demand by an authorized entity</w:t>
            </w:r>
          </w:p>
        </w:tc>
        <w:tc>
          <w:tcPr>
            <w:tcW w:w="3254" w:type="dxa"/>
            <w:tcBorders>
              <w:top w:val="single" w:sz="4" w:space="0" w:color="auto"/>
              <w:left w:val="single" w:sz="4" w:space="0" w:color="auto"/>
              <w:bottom w:val="single" w:sz="4" w:space="0" w:color="auto"/>
              <w:right w:val="single" w:sz="4" w:space="0" w:color="auto"/>
            </w:tcBorders>
            <w:vAlign w:val="center"/>
            <w:hideMark/>
          </w:tcPr>
          <w:p w14:paraId="7345C090" w14:textId="77777777" w:rsidR="009434EF" w:rsidRPr="005E560B" w:rsidRDefault="009434EF" w:rsidP="00D72003">
            <w:pPr>
              <w:pStyle w:val="TableauNormal1"/>
            </w:pPr>
            <w:r w:rsidRPr="005E560B">
              <w:t>Preventing service disruptions due to power outages, hardware failures, or security denial of service attacks.</w:t>
            </w:r>
          </w:p>
        </w:tc>
      </w:tr>
      <w:tr w:rsidR="009434EF" w:rsidRPr="005E560B" w14:paraId="688829C7" w14:textId="77777777" w:rsidTr="00D72003">
        <w:tc>
          <w:tcPr>
            <w:tcW w:w="1239" w:type="dxa"/>
            <w:vMerge w:val="restart"/>
            <w:tcBorders>
              <w:top w:val="single" w:sz="4" w:space="0" w:color="auto"/>
              <w:left w:val="single" w:sz="4" w:space="0" w:color="auto"/>
              <w:bottom w:val="single" w:sz="4" w:space="0" w:color="auto"/>
              <w:right w:val="single" w:sz="4" w:space="0" w:color="auto"/>
            </w:tcBorders>
            <w:vAlign w:val="center"/>
            <w:hideMark/>
          </w:tcPr>
          <w:p w14:paraId="56633DC6" w14:textId="77777777" w:rsidR="009434EF" w:rsidRPr="005E560B" w:rsidRDefault="009434EF" w:rsidP="00D72003">
            <w:pPr>
              <w:pStyle w:val="TableauNormal1"/>
            </w:pPr>
            <w:r w:rsidRPr="005E560B">
              <w:t>Privacy protection attributes</w:t>
            </w:r>
            <w:r w:rsidRPr="005E560B">
              <w:rPr>
                <w:position w:val="6"/>
                <w:sz w:val="14"/>
              </w:rPr>
              <w:footnoteReference w:id="25"/>
            </w:r>
          </w:p>
        </w:tc>
        <w:tc>
          <w:tcPr>
            <w:tcW w:w="1609" w:type="dxa"/>
            <w:tcBorders>
              <w:top w:val="single" w:sz="4" w:space="0" w:color="auto"/>
              <w:left w:val="single" w:sz="4" w:space="0" w:color="auto"/>
              <w:bottom w:val="single" w:sz="4" w:space="0" w:color="auto"/>
              <w:right w:val="single" w:sz="4" w:space="0" w:color="auto"/>
            </w:tcBorders>
            <w:vAlign w:val="center"/>
            <w:hideMark/>
          </w:tcPr>
          <w:p w14:paraId="3845A780" w14:textId="77777777" w:rsidR="009434EF" w:rsidRPr="005E560B" w:rsidRDefault="009434EF" w:rsidP="00D72003">
            <w:pPr>
              <w:pStyle w:val="TableauNormal1"/>
            </w:pPr>
            <w:r w:rsidRPr="005E560B">
              <w:t>Unlinkability</w:t>
            </w:r>
          </w:p>
        </w:tc>
        <w:tc>
          <w:tcPr>
            <w:tcW w:w="3254" w:type="dxa"/>
            <w:tcBorders>
              <w:top w:val="single" w:sz="4" w:space="0" w:color="auto"/>
              <w:left w:val="single" w:sz="4" w:space="0" w:color="auto"/>
              <w:bottom w:val="single" w:sz="4" w:space="0" w:color="auto"/>
              <w:right w:val="single" w:sz="4" w:space="0" w:color="auto"/>
            </w:tcBorders>
            <w:vAlign w:val="center"/>
            <w:hideMark/>
          </w:tcPr>
          <w:p w14:paraId="6337B9C8" w14:textId="77777777" w:rsidR="009434EF" w:rsidRPr="005E560B" w:rsidRDefault="009434EF" w:rsidP="00D72003">
            <w:pPr>
              <w:pStyle w:val="TableauNormal1"/>
            </w:pPr>
            <w:r w:rsidRPr="005E560B">
              <w:t>Ensures that a user may make multiple uses of resources or services without others being able to link these uses together</w:t>
            </w:r>
          </w:p>
        </w:tc>
        <w:tc>
          <w:tcPr>
            <w:tcW w:w="3254" w:type="dxa"/>
            <w:tcBorders>
              <w:top w:val="single" w:sz="4" w:space="0" w:color="auto"/>
              <w:left w:val="single" w:sz="4" w:space="0" w:color="auto"/>
              <w:bottom w:val="single" w:sz="4" w:space="0" w:color="auto"/>
              <w:right w:val="single" w:sz="4" w:space="0" w:color="auto"/>
            </w:tcBorders>
            <w:vAlign w:val="center"/>
            <w:hideMark/>
          </w:tcPr>
          <w:p w14:paraId="6BDF1727" w14:textId="77777777" w:rsidR="009434EF" w:rsidRPr="005E560B" w:rsidRDefault="009434EF" w:rsidP="00D72003">
            <w:pPr>
              <w:pStyle w:val="TableauNormal1"/>
            </w:pPr>
            <w:r w:rsidRPr="005E560B">
              <w:t>A user has two vehicles collecting data.</w:t>
            </w:r>
          </w:p>
        </w:tc>
      </w:tr>
      <w:tr w:rsidR="009434EF" w:rsidRPr="005E560B" w14:paraId="063EC24E" w14:textId="77777777" w:rsidTr="00D72003">
        <w:tc>
          <w:tcPr>
            <w:tcW w:w="0" w:type="auto"/>
            <w:vMerge/>
            <w:tcBorders>
              <w:top w:val="single" w:sz="4" w:space="0" w:color="auto"/>
              <w:left w:val="single" w:sz="4" w:space="0" w:color="auto"/>
              <w:bottom w:val="single" w:sz="4" w:space="0" w:color="auto"/>
              <w:right w:val="single" w:sz="4" w:space="0" w:color="auto"/>
            </w:tcBorders>
            <w:vAlign w:val="center"/>
            <w:hideMark/>
          </w:tcPr>
          <w:p w14:paraId="4AB7A5D0" w14:textId="77777777" w:rsidR="009434EF" w:rsidRPr="005E560B" w:rsidRDefault="009434EF" w:rsidP="00D72003">
            <w:pPr>
              <w:pStyle w:val="TableauNormal1"/>
              <w:rPr>
                <w:b/>
              </w:rPr>
            </w:pPr>
          </w:p>
        </w:tc>
        <w:tc>
          <w:tcPr>
            <w:tcW w:w="1609" w:type="dxa"/>
            <w:tcBorders>
              <w:top w:val="single" w:sz="4" w:space="0" w:color="auto"/>
              <w:left w:val="single" w:sz="4" w:space="0" w:color="auto"/>
              <w:bottom w:val="single" w:sz="4" w:space="0" w:color="auto"/>
              <w:right w:val="single" w:sz="4" w:space="0" w:color="auto"/>
            </w:tcBorders>
            <w:vAlign w:val="center"/>
            <w:hideMark/>
          </w:tcPr>
          <w:p w14:paraId="0260F355" w14:textId="77777777" w:rsidR="009434EF" w:rsidRPr="005E560B" w:rsidRDefault="009434EF" w:rsidP="00D72003">
            <w:pPr>
              <w:pStyle w:val="TableauNormal1"/>
            </w:pPr>
            <w:r w:rsidRPr="005E560B">
              <w:t>Transparency</w:t>
            </w:r>
          </w:p>
        </w:tc>
        <w:tc>
          <w:tcPr>
            <w:tcW w:w="3254" w:type="dxa"/>
            <w:tcBorders>
              <w:top w:val="single" w:sz="4" w:space="0" w:color="auto"/>
              <w:left w:val="single" w:sz="4" w:space="0" w:color="auto"/>
              <w:bottom w:val="single" w:sz="4" w:space="0" w:color="auto"/>
              <w:right w:val="single" w:sz="4" w:space="0" w:color="auto"/>
            </w:tcBorders>
            <w:vAlign w:val="center"/>
            <w:hideMark/>
          </w:tcPr>
          <w:p w14:paraId="5C63C464" w14:textId="77777777" w:rsidR="009434EF" w:rsidRPr="005E560B" w:rsidRDefault="009434EF" w:rsidP="00D72003">
            <w:pPr>
              <w:pStyle w:val="TableauNormal1"/>
            </w:pPr>
            <w:r w:rsidRPr="005E560B">
              <w:t>Ensures that an adequate level of clarity of the processes in privacy-relevant data processing is reached so that the collection, processing and use of the information can be understood and reconstructed at any time.</w:t>
            </w:r>
          </w:p>
        </w:tc>
        <w:tc>
          <w:tcPr>
            <w:tcW w:w="3254" w:type="dxa"/>
            <w:tcBorders>
              <w:top w:val="single" w:sz="4" w:space="0" w:color="auto"/>
              <w:left w:val="single" w:sz="4" w:space="0" w:color="auto"/>
              <w:bottom w:val="single" w:sz="4" w:space="0" w:color="auto"/>
              <w:right w:val="single" w:sz="4" w:space="0" w:color="auto"/>
            </w:tcBorders>
            <w:vAlign w:val="center"/>
            <w:hideMark/>
          </w:tcPr>
          <w:p w14:paraId="7A72193A" w14:textId="77777777" w:rsidR="009434EF" w:rsidRPr="005E560B" w:rsidRDefault="009434EF" w:rsidP="00D72003">
            <w:pPr>
              <w:pStyle w:val="TableauNormal1"/>
            </w:pPr>
            <w:r w:rsidRPr="005E560B">
              <w:t>Understandable documentation covering technology, organization and responsibilities accessible to the user</w:t>
            </w:r>
          </w:p>
        </w:tc>
      </w:tr>
      <w:tr w:rsidR="009434EF" w:rsidRPr="005E560B" w14:paraId="58BEC081" w14:textId="77777777" w:rsidTr="00D72003">
        <w:tc>
          <w:tcPr>
            <w:tcW w:w="0" w:type="auto"/>
            <w:vMerge/>
            <w:tcBorders>
              <w:top w:val="single" w:sz="4" w:space="0" w:color="auto"/>
              <w:left w:val="single" w:sz="4" w:space="0" w:color="auto"/>
              <w:bottom w:val="single" w:sz="4" w:space="0" w:color="auto"/>
              <w:right w:val="single" w:sz="4" w:space="0" w:color="auto"/>
            </w:tcBorders>
            <w:vAlign w:val="center"/>
            <w:hideMark/>
          </w:tcPr>
          <w:p w14:paraId="30B0E41B" w14:textId="77777777" w:rsidR="009434EF" w:rsidRPr="005E560B" w:rsidRDefault="009434EF" w:rsidP="00D72003">
            <w:pPr>
              <w:pStyle w:val="TableauNormal1"/>
              <w:rPr>
                <w:b/>
              </w:rPr>
            </w:pPr>
          </w:p>
        </w:tc>
        <w:tc>
          <w:tcPr>
            <w:tcW w:w="1609" w:type="dxa"/>
            <w:tcBorders>
              <w:top w:val="single" w:sz="4" w:space="0" w:color="auto"/>
              <w:left w:val="single" w:sz="4" w:space="0" w:color="auto"/>
              <w:bottom w:val="single" w:sz="4" w:space="0" w:color="auto"/>
              <w:right w:val="single" w:sz="4" w:space="0" w:color="auto"/>
            </w:tcBorders>
            <w:vAlign w:val="center"/>
            <w:hideMark/>
          </w:tcPr>
          <w:p w14:paraId="0D2BBB60" w14:textId="77777777" w:rsidR="009434EF" w:rsidRPr="005E560B" w:rsidRDefault="009434EF" w:rsidP="00D72003">
            <w:pPr>
              <w:pStyle w:val="TableauNormal1"/>
            </w:pPr>
            <w:r w:rsidRPr="005E560B">
              <w:t>Intervenability</w:t>
            </w:r>
          </w:p>
        </w:tc>
        <w:tc>
          <w:tcPr>
            <w:tcW w:w="3254" w:type="dxa"/>
            <w:tcBorders>
              <w:top w:val="single" w:sz="4" w:space="0" w:color="auto"/>
              <w:left w:val="single" w:sz="4" w:space="0" w:color="auto"/>
              <w:bottom w:val="single" w:sz="4" w:space="0" w:color="auto"/>
              <w:right w:val="single" w:sz="4" w:space="0" w:color="auto"/>
            </w:tcBorders>
            <w:vAlign w:val="center"/>
            <w:hideMark/>
          </w:tcPr>
          <w:p w14:paraId="61C00400" w14:textId="77777777" w:rsidR="009434EF" w:rsidRPr="005E560B" w:rsidRDefault="009434EF" w:rsidP="00D72003">
            <w:pPr>
              <w:pStyle w:val="TableauNormal1"/>
            </w:pPr>
            <w:r w:rsidRPr="005E560B">
              <w:t>Ensures that users, data controller, data processors and supervisory authorities can intervene in all privacy-relevant data processing</w:t>
            </w:r>
          </w:p>
        </w:tc>
        <w:tc>
          <w:tcPr>
            <w:tcW w:w="3254" w:type="dxa"/>
            <w:tcBorders>
              <w:top w:val="single" w:sz="4" w:space="0" w:color="auto"/>
              <w:left w:val="single" w:sz="4" w:space="0" w:color="auto"/>
              <w:bottom w:val="single" w:sz="4" w:space="0" w:color="auto"/>
              <w:right w:val="single" w:sz="4" w:space="0" w:color="auto"/>
            </w:tcBorders>
            <w:vAlign w:val="center"/>
            <w:hideMark/>
          </w:tcPr>
          <w:p w14:paraId="1E6661B3" w14:textId="77777777" w:rsidR="009434EF" w:rsidRPr="005E560B" w:rsidRDefault="009434EF" w:rsidP="00D72003">
            <w:pPr>
              <w:pStyle w:val="TableauNormal1"/>
            </w:pPr>
            <w:r w:rsidRPr="005E560B">
              <w:t>processes for influencing or stopping the data processing fully or partially, manually overturning an automated decision, data portability precautions</w:t>
            </w:r>
          </w:p>
        </w:tc>
      </w:tr>
    </w:tbl>
    <w:p w14:paraId="28EC02B6" w14:textId="417776E3" w:rsidR="009434EF" w:rsidRDefault="009434EF" w:rsidP="009434EF">
      <w:pPr>
        <w:pStyle w:val="figurecentred"/>
      </w:pPr>
      <w:bookmarkStart w:id="61" w:name="_Ref505663464"/>
      <w:bookmarkStart w:id="62" w:name="_Toc505817044"/>
      <w:r w:rsidRPr="00E44EE9">
        <w:t xml:space="preserve">Table </w:t>
      </w:r>
      <w:r w:rsidRPr="00E44EE9">
        <w:fldChar w:fldCharType="begin"/>
      </w:r>
      <w:r w:rsidRPr="00E44EE9">
        <w:instrText xml:space="preserve"> SEQ Table \* ARABIC </w:instrText>
      </w:r>
      <w:r w:rsidRPr="00E44EE9">
        <w:fldChar w:fldCharType="separate"/>
      </w:r>
      <w:r w:rsidR="004946F7">
        <w:rPr>
          <w:noProof/>
        </w:rPr>
        <w:t>3</w:t>
      </w:r>
      <w:r w:rsidRPr="00E44EE9">
        <w:fldChar w:fldCharType="end"/>
      </w:r>
      <w:bookmarkEnd w:id="61"/>
      <w:r w:rsidRPr="00E44EE9">
        <w:rPr>
          <w:noProof/>
        </w:rPr>
        <w:t>:</w:t>
      </w:r>
      <w:r w:rsidRPr="00E44EE9">
        <w:t xml:space="preserve"> Security and Privacy Attributes</w:t>
      </w:r>
      <w:bookmarkEnd w:id="62"/>
    </w:p>
    <w:p w14:paraId="7978A26E" w14:textId="77777777" w:rsidR="00DA342B" w:rsidRPr="00E44EE9" w:rsidRDefault="00DA342B" w:rsidP="009434EF">
      <w:pPr>
        <w:pStyle w:val="figurecentred"/>
      </w:pPr>
    </w:p>
    <w:p w14:paraId="0130BE89" w14:textId="77777777" w:rsidR="009434EF" w:rsidRPr="00E44EE9" w:rsidRDefault="009434EF" w:rsidP="009434EF">
      <w:r w:rsidRPr="00E44EE9">
        <w:t>The integration of security and privacy has an impact on the overall lifecycle process. ISO/IEC 15288</w:t>
      </w:r>
      <w:r w:rsidRPr="00E44EE9">
        <w:rPr>
          <w:position w:val="6"/>
          <w:sz w:val="18"/>
        </w:rPr>
        <w:footnoteReference w:id="26"/>
      </w:r>
      <w:r w:rsidRPr="00E44EE9">
        <w:t xml:space="preserve"> describes the following categories of process:</w:t>
      </w:r>
    </w:p>
    <w:p w14:paraId="460A4D02" w14:textId="77777777" w:rsidR="009434EF" w:rsidRPr="00E44EE9" w:rsidRDefault="009434EF" w:rsidP="009434EF">
      <w:pPr>
        <w:pStyle w:val="bullet0"/>
        <w:numPr>
          <w:ilvl w:val="0"/>
          <w:numId w:val="1"/>
        </w:numPr>
        <w:tabs>
          <w:tab w:val="num" w:pos="1342"/>
        </w:tabs>
        <w:ind w:left="714" w:hanging="357"/>
      </w:pPr>
      <w:r w:rsidRPr="00E44EE9">
        <w:t xml:space="preserve">agreement processes (e.g., the supply process); </w:t>
      </w:r>
    </w:p>
    <w:p w14:paraId="14392B42" w14:textId="77777777" w:rsidR="009434EF" w:rsidRPr="00E44EE9" w:rsidRDefault="009434EF" w:rsidP="009434EF">
      <w:pPr>
        <w:pStyle w:val="bullet0"/>
        <w:numPr>
          <w:ilvl w:val="0"/>
          <w:numId w:val="1"/>
        </w:numPr>
        <w:tabs>
          <w:tab w:val="num" w:pos="1342"/>
        </w:tabs>
        <w:ind w:left="714" w:hanging="357"/>
      </w:pPr>
      <w:r w:rsidRPr="00E44EE9">
        <w:t xml:space="preserve">organizational project-enabling processes (e.g., the quality management process); </w:t>
      </w:r>
    </w:p>
    <w:p w14:paraId="703D46A2" w14:textId="77777777" w:rsidR="009434EF" w:rsidRPr="00E44EE9" w:rsidRDefault="009434EF" w:rsidP="009434EF">
      <w:pPr>
        <w:pStyle w:val="bullet0"/>
        <w:numPr>
          <w:ilvl w:val="0"/>
          <w:numId w:val="1"/>
        </w:numPr>
        <w:tabs>
          <w:tab w:val="num" w:pos="1342"/>
        </w:tabs>
        <w:ind w:left="714" w:hanging="357"/>
      </w:pPr>
      <w:r w:rsidRPr="00E44EE9">
        <w:t>technical management processes (e.g., the risk management process); and</w:t>
      </w:r>
    </w:p>
    <w:p w14:paraId="79CBB5E0" w14:textId="77777777" w:rsidR="009434EF" w:rsidRPr="00E44EE9" w:rsidRDefault="009434EF" w:rsidP="009434EF">
      <w:pPr>
        <w:pStyle w:val="bullet0"/>
        <w:numPr>
          <w:ilvl w:val="0"/>
          <w:numId w:val="1"/>
        </w:numPr>
        <w:tabs>
          <w:tab w:val="num" w:pos="1342"/>
        </w:tabs>
        <w:ind w:left="714" w:hanging="357"/>
      </w:pPr>
      <w:r w:rsidRPr="00E44EE9">
        <w:t xml:space="preserve">technical processes (e.g., the system requirements definition process). </w:t>
      </w:r>
    </w:p>
    <w:p w14:paraId="170D4A7D" w14:textId="4B32A1CB" w:rsidR="009434EF" w:rsidRDefault="009434EF" w:rsidP="009434EF">
      <w:r w:rsidRPr="00E44EE9">
        <w:fldChar w:fldCharType="begin"/>
      </w:r>
      <w:r w:rsidRPr="00E44EE9">
        <w:instrText xml:space="preserve"> REF _Ref483861981 \h </w:instrText>
      </w:r>
      <w:r w:rsidRPr="00E44EE9">
        <w:fldChar w:fldCharType="separate"/>
      </w:r>
      <w:r w:rsidR="004946F7" w:rsidRPr="00E44EE9">
        <w:t xml:space="preserve">Table </w:t>
      </w:r>
      <w:r w:rsidR="004946F7">
        <w:rPr>
          <w:noProof/>
        </w:rPr>
        <w:t>4</w:t>
      </w:r>
      <w:r w:rsidRPr="00E44EE9">
        <w:fldChar w:fldCharType="end"/>
      </w:r>
      <w:r w:rsidRPr="00E44EE9">
        <w:t xml:space="preserve"> shows the processes where the security and privacy for data processing must be integrated.</w:t>
      </w:r>
    </w:p>
    <w:p w14:paraId="6DD1161D" w14:textId="77777777" w:rsidR="003B68E4" w:rsidRPr="00E44EE9" w:rsidRDefault="003B68E4" w:rsidP="009434E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4395"/>
      </w:tblGrid>
      <w:tr w:rsidR="009434EF" w:rsidRPr="005E560B" w14:paraId="09F78947" w14:textId="77777777" w:rsidTr="00D72003">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3EF577A" w14:textId="77777777" w:rsidR="009434EF" w:rsidRPr="005E560B" w:rsidRDefault="009434EF" w:rsidP="00D72003">
            <w:pPr>
              <w:pStyle w:val="TableauNormal1"/>
            </w:pPr>
            <w:r w:rsidRPr="005E560B">
              <w:t>Type of process</w:t>
            </w:r>
          </w:p>
          <w:p w14:paraId="3FFBDAC2" w14:textId="77777777" w:rsidR="009434EF" w:rsidRPr="005E560B" w:rsidRDefault="009434EF" w:rsidP="00D72003">
            <w:pPr>
              <w:pStyle w:val="TableauNormal1"/>
            </w:pPr>
            <w:r w:rsidRPr="005E560B">
              <w:t>(ISO/IEC 15288)</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040CA2" w14:textId="77777777" w:rsidR="009434EF" w:rsidRPr="005E560B" w:rsidRDefault="009434EF" w:rsidP="00D72003">
            <w:pPr>
              <w:pStyle w:val="TableauNormal1"/>
            </w:pPr>
            <w:r w:rsidRPr="005E560B">
              <w:t>Selected system life cycle processes</w:t>
            </w:r>
            <w:r>
              <w:t xml:space="preserve"> </w:t>
            </w:r>
            <w:r w:rsidRPr="005E560B">
              <w:t>(ISO/IEC 15288)</w:t>
            </w:r>
          </w:p>
        </w:tc>
        <w:tc>
          <w:tcPr>
            <w:tcW w:w="43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265799F" w14:textId="77777777" w:rsidR="009434EF" w:rsidRPr="005E560B" w:rsidRDefault="009434EF" w:rsidP="00D72003">
            <w:pPr>
              <w:pStyle w:val="TableauNormal1"/>
            </w:pPr>
            <w:r w:rsidRPr="005E560B">
              <w:t>Security and Privacy engineering for data processing managment</w:t>
            </w:r>
          </w:p>
        </w:tc>
      </w:tr>
      <w:tr w:rsidR="009434EF" w:rsidRPr="005E560B" w14:paraId="667C84B0" w14:textId="77777777" w:rsidTr="00D72003">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85A2B54" w14:textId="77777777" w:rsidR="009434EF" w:rsidRPr="005E560B" w:rsidRDefault="009434EF" w:rsidP="00D72003">
            <w:pPr>
              <w:pStyle w:val="TableauNormal1"/>
            </w:pPr>
            <w:r w:rsidRPr="005E560B">
              <w:t>Agreement processes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63D31BD" w14:textId="77777777" w:rsidR="009434EF" w:rsidRPr="005E560B" w:rsidRDefault="009434EF" w:rsidP="00D72003">
            <w:pPr>
              <w:pStyle w:val="TableauNormal1"/>
            </w:pPr>
            <w:r w:rsidRPr="005E560B">
              <w:t>Acquisition process</w:t>
            </w:r>
          </w:p>
        </w:tc>
        <w:tc>
          <w:tcPr>
            <w:tcW w:w="4395" w:type="dxa"/>
            <w:vMerge w:val="restart"/>
            <w:tcBorders>
              <w:top w:val="single" w:sz="4" w:space="0" w:color="auto"/>
              <w:left w:val="single" w:sz="4" w:space="0" w:color="auto"/>
              <w:bottom w:val="single" w:sz="4" w:space="0" w:color="auto"/>
              <w:right w:val="single" w:sz="4" w:space="0" w:color="auto"/>
            </w:tcBorders>
            <w:vAlign w:val="center"/>
            <w:hideMark/>
          </w:tcPr>
          <w:p w14:paraId="64A9F082" w14:textId="77777777" w:rsidR="009434EF" w:rsidRPr="005E560B" w:rsidRDefault="009434EF" w:rsidP="00D72003">
            <w:pPr>
              <w:pStyle w:val="TableauNormal1"/>
            </w:pPr>
            <w:r w:rsidRPr="005E560B">
              <w:t>Negotiation of security and privacy capabilities between data processing  stakeholders</w:t>
            </w:r>
          </w:p>
        </w:tc>
      </w:tr>
      <w:tr w:rsidR="009434EF" w:rsidRPr="005E560B" w14:paraId="070293BC" w14:textId="77777777" w:rsidTr="00D72003">
        <w:tc>
          <w:tcPr>
            <w:tcW w:w="0" w:type="auto"/>
            <w:vMerge/>
            <w:tcBorders>
              <w:top w:val="single" w:sz="4" w:space="0" w:color="auto"/>
              <w:left w:val="single" w:sz="4" w:space="0" w:color="auto"/>
              <w:bottom w:val="single" w:sz="4" w:space="0" w:color="auto"/>
              <w:right w:val="single" w:sz="4" w:space="0" w:color="auto"/>
            </w:tcBorders>
            <w:vAlign w:val="center"/>
            <w:hideMark/>
          </w:tcPr>
          <w:p w14:paraId="51FB4F7E" w14:textId="77777777" w:rsidR="009434EF" w:rsidRPr="005E560B" w:rsidRDefault="009434EF" w:rsidP="00D72003">
            <w:pPr>
              <w:pStyle w:val="TableauNormal1"/>
              <w:rPr>
                <w:b/>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12582C5" w14:textId="77777777" w:rsidR="009434EF" w:rsidRPr="005E560B" w:rsidRDefault="009434EF" w:rsidP="00D72003">
            <w:pPr>
              <w:pStyle w:val="TableauNormal1"/>
            </w:pPr>
            <w:r w:rsidRPr="005E560B">
              <w:t>Supply process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168BEC" w14:textId="77777777" w:rsidR="009434EF" w:rsidRPr="005E560B" w:rsidRDefault="009434EF" w:rsidP="00D72003">
            <w:pPr>
              <w:pStyle w:val="TableauNormal1"/>
              <w:rPr>
                <w:b/>
              </w:rPr>
            </w:pPr>
          </w:p>
        </w:tc>
      </w:tr>
      <w:tr w:rsidR="009434EF" w:rsidRPr="005E560B" w14:paraId="4AB94F20" w14:textId="77777777" w:rsidTr="00D72003">
        <w:tc>
          <w:tcPr>
            <w:tcW w:w="1985" w:type="dxa"/>
            <w:tcBorders>
              <w:top w:val="single" w:sz="4" w:space="0" w:color="auto"/>
              <w:left w:val="single" w:sz="4" w:space="0" w:color="auto"/>
              <w:bottom w:val="single" w:sz="4" w:space="0" w:color="auto"/>
              <w:right w:val="single" w:sz="4" w:space="0" w:color="auto"/>
            </w:tcBorders>
            <w:vAlign w:val="center"/>
            <w:hideMark/>
          </w:tcPr>
          <w:p w14:paraId="08EA5337" w14:textId="77777777" w:rsidR="009434EF" w:rsidRPr="005E560B" w:rsidRDefault="009434EF" w:rsidP="00D72003">
            <w:pPr>
              <w:pStyle w:val="TableauNormal1"/>
            </w:pPr>
            <w:r w:rsidRPr="005E560B">
              <w:t>Organizational project-enabling processes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0871623" w14:textId="77777777" w:rsidR="009434EF" w:rsidRPr="005E560B" w:rsidRDefault="009434EF" w:rsidP="00D72003">
            <w:pPr>
              <w:pStyle w:val="TableauNormal1"/>
            </w:pPr>
            <w:r w:rsidRPr="005E560B">
              <w:t xml:space="preserve">Knowledge management process </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968F62F" w14:textId="77777777" w:rsidR="009434EF" w:rsidRPr="005E560B" w:rsidRDefault="009434EF" w:rsidP="00D72003">
            <w:pPr>
              <w:pStyle w:val="TableauNormal1"/>
            </w:pPr>
            <w:r w:rsidRPr="005E560B">
              <w:t>Using this security and privacy framework</w:t>
            </w:r>
          </w:p>
        </w:tc>
      </w:tr>
      <w:tr w:rsidR="009434EF" w:rsidRPr="005E560B" w14:paraId="236FE7FF" w14:textId="77777777" w:rsidTr="00D72003">
        <w:tc>
          <w:tcPr>
            <w:tcW w:w="1985" w:type="dxa"/>
            <w:tcBorders>
              <w:top w:val="single" w:sz="4" w:space="0" w:color="auto"/>
              <w:left w:val="single" w:sz="4" w:space="0" w:color="auto"/>
              <w:bottom w:val="single" w:sz="4" w:space="0" w:color="auto"/>
              <w:right w:val="single" w:sz="4" w:space="0" w:color="auto"/>
            </w:tcBorders>
            <w:vAlign w:val="center"/>
            <w:hideMark/>
          </w:tcPr>
          <w:p w14:paraId="421D67C0" w14:textId="77777777" w:rsidR="009434EF" w:rsidRPr="005E560B" w:rsidRDefault="009434EF" w:rsidP="00D72003">
            <w:pPr>
              <w:pStyle w:val="TableauNormal1"/>
            </w:pPr>
            <w:r w:rsidRPr="005E560B">
              <w:t>Technical management process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D220484" w14:textId="77777777" w:rsidR="009434EF" w:rsidRPr="005E560B" w:rsidRDefault="009434EF" w:rsidP="00D72003">
            <w:pPr>
              <w:pStyle w:val="TableauNormal1"/>
            </w:pPr>
            <w:r w:rsidRPr="005E560B">
              <w:t>Risk management process</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D143F01" w14:textId="77777777" w:rsidR="009434EF" w:rsidRPr="005E560B" w:rsidRDefault="009434EF" w:rsidP="00D72003">
            <w:pPr>
              <w:pStyle w:val="TableauNormal1"/>
            </w:pPr>
            <w:r w:rsidRPr="005E560B">
              <w:t>Managing a combined security and privacy risk analysis process</w:t>
            </w:r>
          </w:p>
          <w:p w14:paraId="2CC1D75D" w14:textId="77777777" w:rsidR="009434EF" w:rsidRPr="005E560B" w:rsidRDefault="009434EF" w:rsidP="00D72003">
            <w:pPr>
              <w:pStyle w:val="TableauNormal1"/>
            </w:pPr>
            <w:r w:rsidRPr="005E560B">
              <w:t>Integration of resulting organisational and technical measures</w:t>
            </w:r>
          </w:p>
        </w:tc>
      </w:tr>
      <w:tr w:rsidR="009434EF" w:rsidRPr="005E560B" w14:paraId="1691DFEC" w14:textId="77777777" w:rsidTr="00D72003">
        <w:tc>
          <w:tcPr>
            <w:tcW w:w="1985" w:type="dxa"/>
            <w:vMerge w:val="restart"/>
            <w:tcBorders>
              <w:top w:val="single" w:sz="4" w:space="0" w:color="auto"/>
              <w:left w:val="single" w:sz="4" w:space="0" w:color="auto"/>
              <w:bottom w:val="single" w:sz="4" w:space="0" w:color="auto"/>
              <w:right w:val="single" w:sz="4" w:space="0" w:color="auto"/>
            </w:tcBorders>
            <w:vAlign w:val="center"/>
          </w:tcPr>
          <w:p w14:paraId="1723F9FB" w14:textId="77777777" w:rsidR="009434EF" w:rsidRPr="005E560B" w:rsidRDefault="009434EF" w:rsidP="00D72003">
            <w:pPr>
              <w:pStyle w:val="TableauNormal1"/>
            </w:pPr>
            <w:r w:rsidRPr="005E560B">
              <w:t>Technical processes</w:t>
            </w:r>
          </w:p>
          <w:p w14:paraId="5A39CB94" w14:textId="77777777" w:rsidR="009434EF" w:rsidRPr="005E560B" w:rsidRDefault="009434EF" w:rsidP="00D72003">
            <w:pPr>
              <w:pStyle w:val="TableauNormal1"/>
              <w:rPr>
                <w:b/>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643CBD9" w14:textId="77777777" w:rsidR="009434EF" w:rsidRPr="005E560B" w:rsidRDefault="009434EF" w:rsidP="00D72003">
            <w:pPr>
              <w:pStyle w:val="TableauNormal1"/>
            </w:pPr>
            <w:r w:rsidRPr="005E560B">
              <w:t>Stakeholder needs and requirements process</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1F030EE" w14:textId="77777777" w:rsidR="009434EF" w:rsidRPr="005E560B" w:rsidRDefault="009434EF" w:rsidP="00D72003">
            <w:pPr>
              <w:pStyle w:val="TableauNormal1"/>
            </w:pPr>
            <w:r w:rsidRPr="005E560B">
              <w:t>Architecture description</w:t>
            </w:r>
          </w:p>
        </w:tc>
      </w:tr>
      <w:tr w:rsidR="009434EF" w:rsidRPr="005E560B" w14:paraId="0CDBDF81" w14:textId="77777777" w:rsidTr="00D72003">
        <w:tc>
          <w:tcPr>
            <w:tcW w:w="0" w:type="auto"/>
            <w:vMerge/>
            <w:tcBorders>
              <w:top w:val="single" w:sz="4" w:space="0" w:color="auto"/>
              <w:left w:val="single" w:sz="4" w:space="0" w:color="auto"/>
              <w:bottom w:val="single" w:sz="4" w:space="0" w:color="auto"/>
              <w:right w:val="single" w:sz="4" w:space="0" w:color="auto"/>
            </w:tcBorders>
            <w:vAlign w:val="center"/>
            <w:hideMark/>
          </w:tcPr>
          <w:p w14:paraId="754822D1" w14:textId="77777777" w:rsidR="009434EF" w:rsidRPr="005E560B" w:rsidRDefault="009434EF" w:rsidP="00D72003">
            <w:pPr>
              <w:pStyle w:val="TableauNormal1"/>
              <w:rPr>
                <w:b/>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6B6CB411" w14:textId="77777777" w:rsidR="009434EF" w:rsidRPr="005E560B" w:rsidRDefault="009434EF" w:rsidP="00D72003">
            <w:pPr>
              <w:pStyle w:val="TableauNormal1"/>
            </w:pPr>
            <w:r w:rsidRPr="005E560B">
              <w:t>System requirements definition process</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444F207" w14:textId="77777777" w:rsidR="009434EF" w:rsidRPr="005E560B" w:rsidRDefault="009434EF" w:rsidP="00D72003">
            <w:pPr>
              <w:pStyle w:val="TableauNormal1"/>
            </w:pPr>
            <w:r w:rsidRPr="005E560B">
              <w:t>Carrying out a combined security and privacy risk analysis process</w:t>
            </w:r>
          </w:p>
          <w:p w14:paraId="2405C824" w14:textId="77777777" w:rsidR="009434EF" w:rsidRPr="005E560B" w:rsidRDefault="009434EF" w:rsidP="00D72003">
            <w:pPr>
              <w:pStyle w:val="TableauNormal1"/>
            </w:pPr>
            <w:r w:rsidRPr="005E560B">
              <w:t>Identifying mitigation measures</w:t>
            </w:r>
          </w:p>
        </w:tc>
      </w:tr>
      <w:tr w:rsidR="009434EF" w:rsidRPr="005E560B" w14:paraId="64711806" w14:textId="77777777" w:rsidTr="00D72003">
        <w:tc>
          <w:tcPr>
            <w:tcW w:w="0" w:type="auto"/>
            <w:vMerge/>
            <w:tcBorders>
              <w:top w:val="single" w:sz="4" w:space="0" w:color="auto"/>
              <w:left w:val="single" w:sz="4" w:space="0" w:color="auto"/>
              <w:bottom w:val="single" w:sz="4" w:space="0" w:color="auto"/>
              <w:right w:val="single" w:sz="4" w:space="0" w:color="auto"/>
            </w:tcBorders>
            <w:vAlign w:val="center"/>
            <w:hideMark/>
          </w:tcPr>
          <w:p w14:paraId="6A1A03D8" w14:textId="77777777" w:rsidR="009434EF" w:rsidRPr="005E560B" w:rsidRDefault="009434EF" w:rsidP="00D72003">
            <w:pPr>
              <w:pStyle w:val="TableauNormal1"/>
              <w:rPr>
                <w:b/>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03126737" w14:textId="77777777" w:rsidR="009434EF" w:rsidRPr="005E560B" w:rsidRDefault="009434EF" w:rsidP="00D72003">
            <w:pPr>
              <w:pStyle w:val="TableauNormal1"/>
            </w:pPr>
            <w:r w:rsidRPr="005E560B">
              <w:t>Architecture definition process and design definition process</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40E521D" w14:textId="77777777" w:rsidR="009434EF" w:rsidRPr="005E560B" w:rsidRDefault="009434EF" w:rsidP="00D72003">
            <w:pPr>
              <w:pStyle w:val="TableauNormal1"/>
            </w:pPr>
            <w:r w:rsidRPr="005E560B">
              <w:t>Designing mitigation measures</w:t>
            </w:r>
          </w:p>
        </w:tc>
      </w:tr>
    </w:tbl>
    <w:p w14:paraId="61B387E7" w14:textId="344AA087" w:rsidR="009434EF" w:rsidRPr="00E44EE9" w:rsidRDefault="009434EF" w:rsidP="009434EF">
      <w:pPr>
        <w:pStyle w:val="figurecentred"/>
      </w:pPr>
      <w:bookmarkStart w:id="63" w:name="_Ref483861981"/>
      <w:bookmarkStart w:id="64" w:name="_Toc505817045"/>
      <w:r w:rsidRPr="00E44EE9">
        <w:t xml:space="preserve">Table </w:t>
      </w:r>
      <w:r>
        <w:rPr>
          <w:noProof/>
        </w:rPr>
        <w:fldChar w:fldCharType="begin"/>
      </w:r>
      <w:r>
        <w:rPr>
          <w:noProof/>
        </w:rPr>
        <w:instrText xml:space="preserve"> SEQ "Table" \* MERGEFORMAT </w:instrText>
      </w:r>
      <w:r>
        <w:rPr>
          <w:noProof/>
        </w:rPr>
        <w:fldChar w:fldCharType="separate"/>
      </w:r>
      <w:r w:rsidR="004946F7">
        <w:rPr>
          <w:noProof/>
        </w:rPr>
        <w:t>4</w:t>
      </w:r>
      <w:r>
        <w:rPr>
          <w:noProof/>
        </w:rPr>
        <w:fldChar w:fldCharType="end"/>
      </w:r>
      <w:bookmarkEnd w:id="63"/>
      <w:r w:rsidRPr="00E44EE9">
        <w:rPr>
          <w:noProof/>
        </w:rPr>
        <w:t xml:space="preserve"> -</w:t>
      </w:r>
      <w:r w:rsidRPr="00E44EE9">
        <w:t xml:space="preserve"> Selected system life cycle processes</w:t>
      </w:r>
      <w:bookmarkEnd w:id="64"/>
    </w:p>
    <w:p w14:paraId="000BCF28" w14:textId="77777777" w:rsidR="003B68E4" w:rsidRDefault="003B68E4" w:rsidP="00BF4245">
      <w:pPr>
        <w:jc w:val="both"/>
      </w:pPr>
      <w:bookmarkStart w:id="65" w:name="_Toc4629845"/>
      <w:bookmarkStart w:id="66" w:name="_Toc505817046"/>
    </w:p>
    <w:p w14:paraId="56B0EFFC" w14:textId="094A3CD1" w:rsidR="00E416B9" w:rsidRPr="00BF4245" w:rsidRDefault="00E416B9" w:rsidP="00BF4245">
      <w:pPr>
        <w:jc w:val="both"/>
      </w:pPr>
      <w:r w:rsidRPr="00BF4245">
        <w:t>The security-by-design and privacy-by-design process capability allow for the design and development of security and privacy capabilities. Several catalogs are available, such as standards such as ISO/IEC 27001 and ISO/IEC 27552 or the LINDDUN catalog</w:t>
      </w:r>
      <w:r w:rsidRPr="00144423">
        <w:rPr>
          <w:vertAlign w:val="superscript"/>
        </w:rPr>
        <w:footnoteReference w:id="27"/>
      </w:r>
      <w:r w:rsidR="00DA342B">
        <w:t xml:space="preserve"> </w:t>
      </w:r>
      <w:r w:rsidRPr="00BF4245">
        <w:t>describe</w:t>
      </w:r>
      <w:r w:rsidR="00DA342B">
        <w:t>s</w:t>
      </w:r>
      <w:r w:rsidRPr="00BF4245">
        <w:t xml:space="preserve"> a catalog of security and privacy controls/capability. Figure 3 provides a usage and functional view based on the LINDDUN catalog.</w:t>
      </w:r>
    </w:p>
    <w:p w14:paraId="4B776007" w14:textId="77777777" w:rsidR="00E416B9" w:rsidRPr="00E416B9" w:rsidRDefault="00E416B9" w:rsidP="00E416B9">
      <w:pPr>
        <w:rPr>
          <w:lang w:val="en-GB" w:eastAsia="en-US"/>
        </w:rPr>
      </w:pPr>
    </w:p>
    <w:p w14:paraId="046A16D3" w14:textId="77777777" w:rsidR="00E416B9" w:rsidRDefault="00E416B9" w:rsidP="00E416B9">
      <w:pPr>
        <w:jc w:val="center"/>
      </w:pPr>
      <w:r w:rsidRPr="00943049">
        <w:rPr>
          <w:noProof/>
          <w:lang w:val="en-GB"/>
        </w:rPr>
        <w:drawing>
          <wp:inline distT="0" distB="0" distL="0" distR="0" wp14:anchorId="44001B38" wp14:editId="53210132">
            <wp:extent cx="3376637" cy="1614499"/>
            <wp:effectExtent l="0" t="0" r="0" b="5080"/>
            <wp:docPr id="1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376637" cy="1614499"/>
                    </a:xfrm>
                    <a:prstGeom prst="rect">
                      <a:avLst/>
                    </a:prstGeom>
                  </pic:spPr>
                </pic:pic>
              </a:graphicData>
            </a:graphic>
          </wp:inline>
        </w:drawing>
      </w:r>
    </w:p>
    <w:p w14:paraId="0675663D" w14:textId="20636914" w:rsidR="00E416B9" w:rsidRDefault="00E416B9" w:rsidP="003B68E4">
      <w:pPr>
        <w:pStyle w:val="figurecentred"/>
      </w:pPr>
      <w:r w:rsidRPr="0077794A">
        <w:t xml:space="preserve">Figure </w:t>
      </w:r>
      <w:r w:rsidR="008D1698">
        <w:t>6</w:t>
      </w:r>
      <w:r w:rsidRPr="0077794A">
        <w:t xml:space="preserve"> –</w:t>
      </w:r>
      <w:r w:rsidRPr="00E44EE9">
        <w:t xml:space="preserve">Security and Privacy </w:t>
      </w:r>
      <w:r>
        <w:t>High Level Functional View</w:t>
      </w:r>
    </w:p>
    <w:p w14:paraId="20C2ED9F" w14:textId="77777777" w:rsidR="003B68E4" w:rsidRDefault="003B68E4" w:rsidP="003B68E4">
      <w:pPr>
        <w:pStyle w:val="figurecentred"/>
      </w:pPr>
    </w:p>
    <w:p w14:paraId="3F718E12" w14:textId="5CF38D02" w:rsidR="009434EF" w:rsidRDefault="00285232" w:rsidP="009434EF">
      <w:pPr>
        <w:pStyle w:val="Heading3"/>
      </w:pPr>
      <w:bookmarkStart w:id="67" w:name="_Toc14367836"/>
      <w:r>
        <w:t>6</w:t>
      </w:r>
      <w:r w:rsidR="009434EF">
        <w:t>.2.</w:t>
      </w:r>
      <w:r>
        <w:t>2</w:t>
      </w:r>
      <w:r w:rsidR="009434EF">
        <w:tab/>
        <w:t>Guidance for organisations and ecosystems</w:t>
      </w:r>
      <w:bookmarkEnd w:id="65"/>
      <w:bookmarkEnd w:id="67"/>
    </w:p>
    <w:bookmarkEnd w:id="66"/>
    <w:p w14:paraId="02642AA0" w14:textId="77777777" w:rsidR="009434EF" w:rsidRDefault="009434EF" w:rsidP="009434EF">
      <w:r>
        <w:t>Smart city management is needed on the lifecycle process. For instance,</w:t>
      </w:r>
    </w:p>
    <w:p w14:paraId="57C3E6AF" w14:textId="77777777" w:rsidR="009434EF" w:rsidRDefault="009434EF" w:rsidP="009434EF">
      <w:pPr>
        <w:pStyle w:val="bullet0"/>
        <w:numPr>
          <w:ilvl w:val="0"/>
          <w:numId w:val="1"/>
        </w:numPr>
        <w:tabs>
          <w:tab w:val="num" w:pos="1342"/>
        </w:tabs>
        <w:ind w:left="714" w:hanging="357"/>
      </w:pPr>
      <w:r>
        <w:t>Organisations could agree on the use of similar controls, e.g.</w:t>
      </w:r>
    </w:p>
    <w:p w14:paraId="1175A803" w14:textId="77777777" w:rsidR="009434EF" w:rsidRDefault="009434EF" w:rsidP="00A957D5">
      <w:pPr>
        <w:pStyle w:val="bullet20"/>
        <w:numPr>
          <w:ilvl w:val="1"/>
          <w:numId w:val="19"/>
        </w:numPr>
      </w:pPr>
      <w:r>
        <w:t>an agreed level of protection for data at rest,</w:t>
      </w:r>
    </w:p>
    <w:p w14:paraId="69BB3CCD" w14:textId="77777777" w:rsidR="009434EF" w:rsidRDefault="009434EF" w:rsidP="00A957D5">
      <w:pPr>
        <w:pStyle w:val="bullet20"/>
        <w:numPr>
          <w:ilvl w:val="1"/>
          <w:numId w:val="19"/>
        </w:numPr>
      </w:pPr>
      <w:r>
        <w:t>an agreed level of integrity and authentication for data in motion,</w:t>
      </w:r>
    </w:p>
    <w:p w14:paraId="4F1869C6" w14:textId="77777777" w:rsidR="009434EF" w:rsidRDefault="009434EF" w:rsidP="00A957D5">
      <w:pPr>
        <w:pStyle w:val="bullet20"/>
        <w:numPr>
          <w:ilvl w:val="1"/>
          <w:numId w:val="19"/>
        </w:numPr>
      </w:pPr>
      <w:r>
        <w:t>an agreed level of availability for data processing,</w:t>
      </w:r>
    </w:p>
    <w:p w14:paraId="769EC0F2" w14:textId="77777777" w:rsidR="009434EF" w:rsidRDefault="009434EF" w:rsidP="00A957D5">
      <w:pPr>
        <w:pStyle w:val="bullet20"/>
        <w:numPr>
          <w:ilvl w:val="1"/>
          <w:numId w:val="19"/>
        </w:numPr>
      </w:pPr>
      <w:r>
        <w:t>an agreed level of de-identification of data,</w:t>
      </w:r>
    </w:p>
    <w:p w14:paraId="435CF2F5" w14:textId="77777777" w:rsidR="009434EF" w:rsidRDefault="009434EF" w:rsidP="009434EF">
      <w:pPr>
        <w:pStyle w:val="bullet0"/>
        <w:numPr>
          <w:ilvl w:val="0"/>
          <w:numId w:val="1"/>
        </w:numPr>
        <w:tabs>
          <w:tab w:val="num" w:pos="1342"/>
        </w:tabs>
        <w:ind w:left="714" w:hanging="357"/>
      </w:pPr>
      <w:r>
        <w:t>organisations could agree on coordination for incident management, e.g.</w:t>
      </w:r>
    </w:p>
    <w:p w14:paraId="5FE18256" w14:textId="77777777" w:rsidR="009434EF" w:rsidRDefault="009434EF" w:rsidP="00A957D5">
      <w:pPr>
        <w:pStyle w:val="bullet20"/>
        <w:numPr>
          <w:ilvl w:val="1"/>
          <w:numId w:val="20"/>
        </w:numPr>
      </w:pPr>
      <w:r>
        <w:t>an agree level of incident preparedness,</w:t>
      </w:r>
    </w:p>
    <w:p w14:paraId="6951F535" w14:textId="77777777" w:rsidR="009434EF" w:rsidRDefault="009434EF" w:rsidP="00A957D5">
      <w:pPr>
        <w:pStyle w:val="bullet20"/>
        <w:numPr>
          <w:ilvl w:val="1"/>
          <w:numId w:val="20"/>
        </w:numPr>
      </w:pPr>
      <w:r>
        <w:t>a common alert mechanism on security breaches (e.g. tampering detection) or on privacy breaches (e.g.re-identification detection).</w:t>
      </w:r>
    </w:p>
    <w:p w14:paraId="0838D58A" w14:textId="525D8E2B" w:rsidR="009434EF" w:rsidRDefault="009434EF" w:rsidP="009434EF">
      <w:r>
        <w:lastRenderedPageBreak/>
        <w:t>As show</w:t>
      </w:r>
      <w:r w:rsidR="00740764">
        <w:t>n</w:t>
      </w:r>
      <w:r>
        <w:t xml:space="preserve"> in</w:t>
      </w:r>
      <w:r w:rsidR="00740764">
        <w:t xml:space="preserve"> Figure 1</w:t>
      </w:r>
      <w:r>
        <w:t>:</w:t>
      </w:r>
    </w:p>
    <w:p w14:paraId="0764B619" w14:textId="77777777" w:rsidR="009434EF" w:rsidRDefault="009434EF" w:rsidP="009434EF">
      <w:pPr>
        <w:pStyle w:val="bullet0"/>
        <w:numPr>
          <w:ilvl w:val="0"/>
          <w:numId w:val="1"/>
        </w:numPr>
        <w:tabs>
          <w:tab w:val="num" w:pos="1342"/>
        </w:tabs>
        <w:ind w:left="714" w:hanging="357"/>
      </w:pPr>
      <w:r>
        <w:t>each organization carries out its own security and privacy lifecycle process;</w:t>
      </w:r>
    </w:p>
    <w:p w14:paraId="3DAAA1F1" w14:textId="77777777" w:rsidR="009434EF" w:rsidRPr="0083767D" w:rsidRDefault="009434EF" w:rsidP="009434EF">
      <w:pPr>
        <w:pStyle w:val="bullet0"/>
        <w:numPr>
          <w:ilvl w:val="0"/>
          <w:numId w:val="1"/>
        </w:numPr>
        <w:tabs>
          <w:tab w:val="num" w:pos="1342"/>
        </w:tabs>
        <w:ind w:left="714" w:hanging="357"/>
        <w:rPr>
          <w:rStyle w:val="EditorNote"/>
          <w:i w:val="0"/>
        </w:rPr>
      </w:pPr>
      <w:r>
        <w:t>an overall coordination of security and privacy lifecycle ensures a consistent treatment of the assets to protect.</w:t>
      </w:r>
    </w:p>
    <w:p w14:paraId="5613719E" w14:textId="77777777" w:rsidR="009434EF" w:rsidRDefault="009434EF" w:rsidP="00740764">
      <w:pPr>
        <w:pStyle w:val="Caption"/>
        <w:jc w:val="center"/>
      </w:pPr>
      <w:r w:rsidRPr="001F7CE9">
        <w:rPr>
          <w:noProof/>
          <w:lang w:val="en-GB" w:eastAsia="en-GB"/>
        </w:rPr>
        <w:drawing>
          <wp:inline distT="0" distB="0" distL="0" distR="0" wp14:anchorId="6CC901EB" wp14:editId="765B97CB">
            <wp:extent cx="3401821" cy="1363185"/>
            <wp:effectExtent l="0" t="0" r="8255" b="889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401284" cy="1362970"/>
                    </a:xfrm>
                    <a:prstGeom prst="rect">
                      <a:avLst/>
                    </a:prstGeom>
                  </pic:spPr>
                </pic:pic>
              </a:graphicData>
            </a:graphic>
          </wp:inline>
        </w:drawing>
      </w:r>
    </w:p>
    <w:p w14:paraId="42FA96C9" w14:textId="358A42C6" w:rsidR="009434EF" w:rsidRPr="0077794A" w:rsidRDefault="009434EF" w:rsidP="009434EF">
      <w:pPr>
        <w:pStyle w:val="Caption"/>
      </w:pPr>
      <w:bookmarkStart w:id="68" w:name="_Ref509759421"/>
      <w:r w:rsidRPr="0077794A">
        <w:t xml:space="preserve">Figure </w:t>
      </w:r>
      <w:bookmarkEnd w:id="68"/>
      <w:r w:rsidR="008D1698">
        <w:t>7</w:t>
      </w:r>
      <w:r w:rsidRPr="0077794A">
        <w:t xml:space="preserve"> – </w:t>
      </w:r>
      <w:r w:rsidRPr="00F421B0">
        <w:t xml:space="preserve">Smart city management </w:t>
      </w:r>
      <w:r>
        <w:t>of security and privacy lifecycle.</w:t>
      </w:r>
      <w:r w:rsidRPr="0077794A">
        <w:t xml:space="preserve"> </w:t>
      </w:r>
    </w:p>
    <w:p w14:paraId="2B4EADA9" w14:textId="77777777" w:rsidR="008D1698" w:rsidRDefault="008D1698" w:rsidP="009434EF">
      <w:pPr>
        <w:rPr>
          <w:lang w:eastAsia="hi-IN" w:bidi="hi-IN"/>
        </w:rPr>
      </w:pPr>
    </w:p>
    <w:p w14:paraId="22777570" w14:textId="40E84FEA" w:rsidR="009434EF" w:rsidRDefault="009434EF" w:rsidP="009434EF">
      <w:pPr>
        <w:rPr>
          <w:lang w:eastAsia="hi-IN" w:bidi="hi-IN"/>
        </w:rPr>
      </w:pPr>
      <w:r>
        <w:rPr>
          <w:lang w:eastAsia="hi-IN" w:bidi="hi-IN"/>
        </w:rPr>
        <w:t>The following guidance is provided:</w:t>
      </w:r>
    </w:p>
    <w:p w14:paraId="5BE10A0D" w14:textId="77777777" w:rsidR="009434EF" w:rsidRDefault="009434EF" w:rsidP="009434EF">
      <w:pPr>
        <w:pStyle w:val="bullet0"/>
        <w:numPr>
          <w:ilvl w:val="0"/>
          <w:numId w:val="1"/>
        </w:numPr>
        <w:tabs>
          <w:tab w:val="num" w:pos="1342"/>
        </w:tabs>
        <w:ind w:left="714" w:hanging="357"/>
        <w:rPr>
          <w:lang w:bidi="hi-IN"/>
        </w:rPr>
      </w:pPr>
      <w:r>
        <w:rPr>
          <w:lang w:bidi="hi-IN"/>
        </w:rPr>
        <w:t>at the ecosystem level,</w:t>
      </w:r>
    </w:p>
    <w:p w14:paraId="634B6FAF" w14:textId="77777777" w:rsidR="009434EF" w:rsidRDefault="009434EF" w:rsidP="00A957D5">
      <w:pPr>
        <w:pStyle w:val="bullet20"/>
        <w:numPr>
          <w:ilvl w:val="1"/>
          <w:numId w:val="21"/>
        </w:numPr>
      </w:pPr>
      <w:r>
        <w:t xml:space="preserve">identify the processes in the ecosystem lifecycle where coordination is needed (assurance, compliance </w:t>
      </w:r>
      <w:r w:rsidRPr="00052F1F">
        <w:t>verification</w:t>
      </w:r>
      <w:r>
        <w:t>, incident management, audit).</w:t>
      </w:r>
    </w:p>
    <w:p w14:paraId="60087A0B" w14:textId="77777777" w:rsidR="009434EF" w:rsidRDefault="009434EF" w:rsidP="00A957D5">
      <w:pPr>
        <w:pStyle w:val="bullet20"/>
        <w:numPr>
          <w:ilvl w:val="1"/>
          <w:numId w:val="21"/>
        </w:numPr>
      </w:pPr>
      <w:r>
        <w:t xml:space="preserve">Identify the controls that are implemented in the ecosystem further to the risk analysis coordination. </w:t>
      </w:r>
    </w:p>
    <w:p w14:paraId="403EE04C" w14:textId="77777777" w:rsidR="009434EF" w:rsidRDefault="009434EF" w:rsidP="00A957D5">
      <w:pPr>
        <w:pStyle w:val="bullet20"/>
        <w:numPr>
          <w:ilvl w:val="1"/>
          <w:numId w:val="21"/>
        </w:numPr>
      </w:pPr>
      <w:r>
        <w:t>establish control coordination schemes in the ecosystem, including measures for compliance, assurance and audits of controls.</w:t>
      </w:r>
    </w:p>
    <w:p w14:paraId="472F9774" w14:textId="77777777" w:rsidR="009434EF" w:rsidRDefault="009434EF" w:rsidP="009434EF">
      <w:pPr>
        <w:pStyle w:val="bullet0"/>
        <w:numPr>
          <w:ilvl w:val="0"/>
          <w:numId w:val="1"/>
        </w:numPr>
        <w:tabs>
          <w:tab w:val="num" w:pos="1342"/>
        </w:tabs>
        <w:ind w:left="714" w:hanging="357"/>
        <w:rPr>
          <w:lang w:bidi="hi-IN"/>
        </w:rPr>
      </w:pPr>
      <w:r>
        <w:rPr>
          <w:lang w:bidi="hi-IN"/>
        </w:rPr>
        <w:t>at the organization level</w:t>
      </w:r>
    </w:p>
    <w:p w14:paraId="07D220CD" w14:textId="77777777" w:rsidR="009434EF" w:rsidRDefault="009434EF" w:rsidP="00A957D5">
      <w:pPr>
        <w:pStyle w:val="bullet20"/>
        <w:numPr>
          <w:ilvl w:val="1"/>
          <w:numId w:val="22"/>
        </w:numPr>
      </w:pPr>
      <w:r>
        <w:t>identify the processes in the system lifecycle where security and privacy concerns need to be integrated.</w:t>
      </w:r>
    </w:p>
    <w:p w14:paraId="2340FBEA" w14:textId="77777777" w:rsidR="009434EF" w:rsidRDefault="009434EF" w:rsidP="00A957D5">
      <w:pPr>
        <w:pStyle w:val="bullet20"/>
        <w:numPr>
          <w:ilvl w:val="1"/>
          <w:numId w:val="22"/>
        </w:numPr>
      </w:pPr>
      <w:r>
        <w:t>identify the controls that are implemented in the system further to the risk analysis process;</w:t>
      </w:r>
    </w:p>
    <w:p w14:paraId="0F0D16A1" w14:textId="77777777" w:rsidR="009434EF" w:rsidRPr="001177D3" w:rsidRDefault="009434EF" w:rsidP="00A957D5">
      <w:pPr>
        <w:pStyle w:val="bullet20"/>
        <w:numPr>
          <w:ilvl w:val="1"/>
          <w:numId w:val="22"/>
        </w:numPr>
        <w:rPr>
          <w:lang w:val="en-GB"/>
        </w:rPr>
      </w:pPr>
      <w:r>
        <w:t>establish the lifecycle process in accordance with the smart city management</w:t>
      </w:r>
    </w:p>
    <w:p w14:paraId="40E04FEF" w14:textId="6171AD65" w:rsidR="009434EF" w:rsidRDefault="009434EF" w:rsidP="009434EF">
      <w:pPr>
        <w:rPr>
          <w:lang w:bidi="ar-DZ"/>
        </w:rPr>
      </w:pPr>
    </w:p>
    <w:p w14:paraId="39D33B4A" w14:textId="1F9D688A" w:rsidR="00CD7E95" w:rsidRDefault="00CD7E95" w:rsidP="009A7DB4">
      <w:pPr>
        <w:pStyle w:val="Heading2"/>
        <w:numPr>
          <w:ilvl w:val="1"/>
          <w:numId w:val="13"/>
        </w:numPr>
      </w:pPr>
      <w:bookmarkStart w:id="69" w:name="_Toc4629846"/>
      <w:bookmarkStart w:id="70" w:name="_Toc14367837"/>
      <w:r>
        <w:t xml:space="preserve">Risk management </w:t>
      </w:r>
      <w:bookmarkEnd w:id="69"/>
      <w:r w:rsidR="008D4BA9">
        <w:t>in data processing and management</w:t>
      </w:r>
      <w:bookmarkEnd w:id="70"/>
    </w:p>
    <w:p w14:paraId="07E8BD6C" w14:textId="33C14D79" w:rsidR="008D4BA9" w:rsidRDefault="008D4BA9" w:rsidP="009A7DB4">
      <w:pPr>
        <w:tabs>
          <w:tab w:val="left" w:pos="4500"/>
        </w:tabs>
        <w:spacing w:before="60" w:after="60"/>
        <w:jc w:val="both"/>
      </w:pPr>
      <w:r w:rsidRPr="002C05F7">
        <w:t>Data processing and management in Smart Cities and IoT generate uncertainty</w:t>
      </w:r>
      <w:r>
        <w:t>, many unknown unknow</w:t>
      </w:r>
      <w:r w:rsidR="009A7DB4">
        <w:t>n</w:t>
      </w:r>
      <w:r>
        <w:t>s that</w:t>
      </w:r>
      <w:r w:rsidRPr="002C05F7">
        <w:t xml:space="preserve"> may constitute a threat </w:t>
      </w:r>
      <w:r w:rsidR="009A7DB4">
        <w:t>to</w:t>
      </w:r>
      <w:r w:rsidRPr="002C05F7">
        <w:t xml:space="preserve"> the stability of the </w:t>
      </w:r>
      <w:r>
        <w:t>s</w:t>
      </w:r>
      <w:r w:rsidRPr="002C05F7">
        <w:t xml:space="preserve">ystem, the efficiency of the operations, or the wealth, the health or the dignity of the persons. Thus, it is the responsibility of the ecosystem to </w:t>
      </w:r>
      <w:r>
        <w:t xml:space="preserve">identify and </w:t>
      </w:r>
      <w:r w:rsidRPr="002C05F7">
        <w:t>measure the risks linked to data</w:t>
      </w:r>
      <w:r>
        <w:t xml:space="preserve"> processing and management</w:t>
      </w:r>
      <w:r w:rsidRPr="002C05F7">
        <w:t>, and to manage it.</w:t>
      </w:r>
    </w:p>
    <w:p w14:paraId="06B78EB6" w14:textId="77777777" w:rsidR="008D4BA9" w:rsidRDefault="008D4BA9" w:rsidP="009A7DB4">
      <w:pPr>
        <w:tabs>
          <w:tab w:val="left" w:pos="4500"/>
        </w:tabs>
        <w:spacing w:before="60" w:after="60"/>
        <w:jc w:val="both"/>
      </w:pPr>
      <w:r w:rsidRPr="009A7DB4">
        <w:t>Risk is a cross-cutting element that relates to security and privacy but also has a broader relevance that needs to be addressed.</w:t>
      </w:r>
    </w:p>
    <w:p w14:paraId="4AEA919E" w14:textId="570F66D3" w:rsidR="008D4BA9" w:rsidRDefault="008D4BA9" w:rsidP="009A7DB4">
      <w:pPr>
        <w:jc w:val="both"/>
      </w:pPr>
      <w:r>
        <w:t>Regarding security and privacy, dedicated methodologies can be used. But more generally, global risk methodologies should be embraced to ensure a full securi</w:t>
      </w:r>
      <w:r w:rsidR="009A7DB4">
        <w:t>ng</w:t>
      </w:r>
      <w:r>
        <w:t xml:space="preserve"> of the ecosystem and an optimal forecasting and management of all the different risks.</w:t>
      </w:r>
    </w:p>
    <w:p w14:paraId="0F8324DD" w14:textId="196D2E29" w:rsidR="008D4BA9" w:rsidRPr="008D4BA9" w:rsidRDefault="008D4BA9" w:rsidP="009A7DB4">
      <w:pPr>
        <w:jc w:val="both"/>
      </w:pPr>
      <w:r>
        <w:t>Whatever the methodology, p</w:t>
      </w:r>
      <w:r w:rsidRPr="0062767A">
        <w:t xml:space="preserve">rojects under construction should be challenged in the light of </w:t>
      </w:r>
      <w:r>
        <w:t>identified</w:t>
      </w:r>
      <w:r w:rsidRPr="008D4BA9">
        <w:rPr>
          <w:rFonts w:ascii="Arial" w:hAnsi="Arial" w:cs="Arial"/>
        </w:rPr>
        <w:t xml:space="preserve"> </w:t>
      </w:r>
      <w:r w:rsidRPr="0078679B">
        <w:t>risks and threats</w:t>
      </w:r>
      <w:r>
        <w:t xml:space="preserve"> to ensure their success in term of economics, social and societal growth.</w:t>
      </w:r>
    </w:p>
    <w:p w14:paraId="7796589A" w14:textId="4F83AFCC" w:rsidR="00CD7E95" w:rsidRPr="00E44EE9" w:rsidRDefault="00CD7E95" w:rsidP="00CD7E95">
      <w:pPr>
        <w:pStyle w:val="Heading3"/>
      </w:pPr>
      <w:bookmarkStart w:id="71" w:name="_Toc4629847"/>
      <w:bookmarkStart w:id="72" w:name="_Toc14367838"/>
      <w:r>
        <w:t>6.3.1</w:t>
      </w:r>
      <w:r>
        <w:tab/>
        <w:t>Security and privacy r</w:t>
      </w:r>
      <w:r w:rsidRPr="00E44EE9">
        <w:t xml:space="preserve">isk </w:t>
      </w:r>
      <w:r>
        <w:t>a</w:t>
      </w:r>
      <w:r w:rsidRPr="00E44EE9">
        <w:t>nalysis</w:t>
      </w:r>
      <w:bookmarkEnd w:id="71"/>
      <w:bookmarkEnd w:id="72"/>
    </w:p>
    <w:p w14:paraId="5DD1FA2A" w14:textId="4D2BDB4E" w:rsidR="00CD7E95" w:rsidRPr="00E44EE9" w:rsidRDefault="00AC02DA" w:rsidP="00CD7E95">
      <w:r>
        <w:t xml:space="preserve">Figure 4 </w:t>
      </w:r>
      <w:r w:rsidR="00CD7E95" w:rsidRPr="00E44EE9">
        <w:t>depicts the relations between the components of a security and privacy risk analysis; the risk sources, the breaches and the consequences. Risk sources include</w:t>
      </w:r>
      <w:r w:rsidR="00CD7E95">
        <w:t>:</w:t>
      </w:r>
    </w:p>
    <w:p w14:paraId="5B76FE97" w14:textId="0C908D2D" w:rsidR="00CD7E95" w:rsidRPr="00E44EE9" w:rsidRDefault="0016546A" w:rsidP="00CD7E95">
      <w:pPr>
        <w:pStyle w:val="bullet0"/>
        <w:numPr>
          <w:ilvl w:val="0"/>
          <w:numId w:val="1"/>
        </w:numPr>
        <w:tabs>
          <w:tab w:val="num" w:pos="1342"/>
        </w:tabs>
        <w:ind w:left="714" w:hanging="357"/>
      </w:pPr>
      <w:r>
        <w:t>Personal data</w:t>
      </w:r>
      <w:r w:rsidRPr="00E44EE9">
        <w:t xml:space="preserve"> </w:t>
      </w:r>
      <w:r w:rsidR="00CD7E95" w:rsidRPr="00E44EE9">
        <w:t>processing risks arising from the operations of the system itself such as distortion, surveillance, or unanticipated revelation</w:t>
      </w:r>
    </w:p>
    <w:p w14:paraId="7F11BED1" w14:textId="39444CB4" w:rsidR="00CD7E95" w:rsidRPr="00E44EE9" w:rsidRDefault="00CD7E95" w:rsidP="00CD7E95">
      <w:pPr>
        <w:pStyle w:val="bullet0"/>
        <w:numPr>
          <w:ilvl w:val="0"/>
          <w:numId w:val="1"/>
        </w:numPr>
        <w:tabs>
          <w:tab w:val="num" w:pos="1342"/>
        </w:tabs>
        <w:ind w:left="714" w:hanging="357"/>
      </w:pPr>
      <w:r w:rsidRPr="00E44EE9">
        <w:lastRenderedPageBreak/>
        <w:t>risks caused by potential threats and vulnerability of a system, such as an unauthorized access to data.</w:t>
      </w:r>
    </w:p>
    <w:p w14:paraId="66D26191" w14:textId="77777777" w:rsidR="00CD7E95" w:rsidRPr="00E44EE9" w:rsidRDefault="00CD7E95" w:rsidP="00CD7E95">
      <w:r w:rsidRPr="00E44EE9">
        <w:t xml:space="preserve">Consequences that might arise as a result of privacy risks include: </w:t>
      </w:r>
    </w:p>
    <w:p w14:paraId="2FF5EB71" w14:textId="44491643" w:rsidR="00CD7E95" w:rsidRPr="00E44EE9" w:rsidRDefault="00CD7E95" w:rsidP="00CD7E95">
      <w:pPr>
        <w:pStyle w:val="bullet0"/>
        <w:numPr>
          <w:ilvl w:val="0"/>
          <w:numId w:val="1"/>
        </w:numPr>
        <w:tabs>
          <w:tab w:val="num" w:pos="1342"/>
        </w:tabs>
        <w:ind w:left="714" w:hanging="357"/>
      </w:pPr>
      <w:r w:rsidRPr="00E44EE9">
        <w:t>impact on citizens’ privacy, such as exclusion, stigmatization, economic loss</w:t>
      </w:r>
      <w:r w:rsidR="0016546A">
        <w:t>, control, influence or blackmail</w:t>
      </w:r>
      <w:r w:rsidRPr="00E44EE9">
        <w:t>;</w:t>
      </w:r>
    </w:p>
    <w:p w14:paraId="085619E2" w14:textId="77777777" w:rsidR="00CD7E95" w:rsidRPr="00E44EE9" w:rsidRDefault="00CD7E95" w:rsidP="00CD7E95">
      <w:pPr>
        <w:pStyle w:val="bullet0"/>
        <w:numPr>
          <w:ilvl w:val="0"/>
          <w:numId w:val="1"/>
        </w:numPr>
        <w:tabs>
          <w:tab w:val="num" w:pos="1342"/>
        </w:tabs>
        <w:ind w:left="714" w:hanging="357"/>
      </w:pPr>
      <w:r w:rsidRPr="00E44EE9">
        <w:t>impact on the operations and business of an organization, such as the impossibility to run the business</w:t>
      </w:r>
    </w:p>
    <w:p w14:paraId="6A2B9FAF" w14:textId="77777777" w:rsidR="00CD7E95" w:rsidRPr="00E44EE9" w:rsidRDefault="00CD7E95" w:rsidP="00CD7E95"/>
    <w:p w14:paraId="2699D956" w14:textId="77777777" w:rsidR="00CD7E95" w:rsidRPr="00E44EE9" w:rsidRDefault="00CD7E95" w:rsidP="00CD7E95">
      <w:pPr>
        <w:pStyle w:val="figurecentred"/>
      </w:pPr>
      <w:r w:rsidRPr="009D34EB">
        <w:rPr>
          <w:noProof/>
          <w:lang w:val="en-GB" w:eastAsia="en-GB" w:bidi="ar-SA"/>
        </w:rPr>
        <w:drawing>
          <wp:inline distT="0" distB="0" distL="0" distR="0" wp14:anchorId="0C3FF9F4" wp14:editId="0D64C290">
            <wp:extent cx="3555365" cy="2026285"/>
            <wp:effectExtent l="0" t="0" r="6985" b="0"/>
            <wp:docPr id="1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55365" cy="2026285"/>
                    </a:xfrm>
                    <a:prstGeom prst="rect">
                      <a:avLst/>
                    </a:prstGeom>
                    <a:noFill/>
                    <a:ln>
                      <a:noFill/>
                    </a:ln>
                  </pic:spPr>
                </pic:pic>
              </a:graphicData>
            </a:graphic>
          </wp:inline>
        </w:drawing>
      </w:r>
    </w:p>
    <w:p w14:paraId="77338D22" w14:textId="0C3F6F15" w:rsidR="00CD7E95" w:rsidRPr="00E44EE9" w:rsidRDefault="00CD7E95" w:rsidP="00CD7E95">
      <w:pPr>
        <w:pStyle w:val="figurecentred"/>
      </w:pPr>
      <w:r w:rsidRPr="00E44EE9">
        <w:t xml:space="preserve">Figure </w:t>
      </w:r>
      <w:r w:rsidR="008D1698">
        <w:t>8</w:t>
      </w:r>
      <w:r w:rsidRPr="00E44EE9">
        <w:t xml:space="preserve"> – Security and Privacy Risk Sources, Breaches and Consequences</w:t>
      </w:r>
    </w:p>
    <w:p w14:paraId="0FBA49D7" w14:textId="432EA4E7" w:rsidR="00CD7E95" w:rsidRDefault="00CD7E95" w:rsidP="00CD7E95">
      <w:r w:rsidRPr="00E44EE9">
        <w:t xml:space="preserve">Several methods are possible. The example below </w:t>
      </w:r>
      <w:r w:rsidR="0016546A">
        <w:t xml:space="preserve">(Table 5) is </w:t>
      </w:r>
      <w:r w:rsidRPr="00E44EE9">
        <w:t>based on the TVRA method</w:t>
      </w:r>
      <w:r w:rsidRPr="00E44EE9">
        <w:rPr>
          <w:position w:val="6"/>
          <w:sz w:val="18"/>
        </w:rPr>
        <w:footnoteReference w:id="28"/>
      </w:r>
      <w:r>
        <w:t>. TVRA focuses on security. We have extend</w:t>
      </w:r>
      <w:r w:rsidR="009A7DB4">
        <w:t>ed</w:t>
      </w:r>
      <w:r>
        <w:t xml:space="preserve"> it t</w:t>
      </w:r>
      <w:r w:rsidRPr="00E44EE9">
        <w:t>o cover both security and privac</w:t>
      </w:r>
      <w:r>
        <w:t>y</w:t>
      </w:r>
      <w:r w:rsidRPr="00E44EE9">
        <w:t>.</w:t>
      </w:r>
    </w:p>
    <w:p w14:paraId="0D58DF6D" w14:textId="77777777" w:rsidR="009A7DB4" w:rsidRPr="00E44EE9" w:rsidRDefault="009A7DB4" w:rsidP="00CD7E95"/>
    <w:tbl>
      <w:tblPr>
        <w:tblStyle w:val="TableGrid7"/>
        <w:tblW w:w="0" w:type="auto"/>
        <w:tblLook w:val="04A0" w:firstRow="1" w:lastRow="0" w:firstColumn="1" w:lastColumn="0" w:noHBand="0" w:noVBand="1"/>
      </w:tblPr>
      <w:tblGrid>
        <w:gridCol w:w="4803"/>
        <w:gridCol w:w="4803"/>
      </w:tblGrid>
      <w:tr w:rsidR="00CD7E95" w:rsidRPr="00314BA1" w14:paraId="40DD7EA4" w14:textId="77777777" w:rsidTr="00D72003">
        <w:tc>
          <w:tcPr>
            <w:tcW w:w="480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AF7393" w14:textId="77777777" w:rsidR="00CD7E95" w:rsidRPr="00314BA1" w:rsidRDefault="00CD7E95" w:rsidP="00D72003">
            <w:pPr>
              <w:pStyle w:val="TableauNormal1"/>
              <w:rPr>
                <w:rFonts w:cs="Times New Roman"/>
              </w:rPr>
            </w:pPr>
            <w:r w:rsidRPr="00314BA1">
              <w:t>TVRA Method process</w:t>
            </w:r>
          </w:p>
        </w:tc>
        <w:tc>
          <w:tcPr>
            <w:tcW w:w="480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F1D0A0" w14:textId="77777777" w:rsidR="00CD7E95" w:rsidRPr="00314BA1" w:rsidRDefault="00CD7E95" w:rsidP="00D72003">
            <w:pPr>
              <w:pStyle w:val="TableauNormal1"/>
              <w:rPr>
                <w:rFonts w:cs="Times New Roman"/>
              </w:rPr>
            </w:pPr>
            <w:r w:rsidRPr="00314BA1">
              <w:t>Extension to data processing security and privacy risk</w:t>
            </w:r>
          </w:p>
        </w:tc>
      </w:tr>
      <w:tr w:rsidR="00CD7E95" w:rsidRPr="00314BA1" w14:paraId="0D941981" w14:textId="77777777" w:rsidTr="00D72003">
        <w:tc>
          <w:tcPr>
            <w:tcW w:w="4803" w:type="dxa"/>
            <w:tcBorders>
              <w:top w:val="single" w:sz="4" w:space="0" w:color="auto"/>
              <w:left w:val="single" w:sz="4" w:space="0" w:color="auto"/>
              <w:bottom w:val="single" w:sz="4" w:space="0" w:color="auto"/>
              <w:right w:val="single" w:sz="4" w:space="0" w:color="auto"/>
            </w:tcBorders>
            <w:hideMark/>
          </w:tcPr>
          <w:p w14:paraId="0C501E71" w14:textId="77777777" w:rsidR="00CD7E95" w:rsidRPr="00314BA1" w:rsidRDefault="00CD7E95" w:rsidP="00D72003">
            <w:pPr>
              <w:pStyle w:val="TableauNormal1"/>
              <w:rPr>
                <w:rFonts w:cs="Times New Roman"/>
              </w:rPr>
            </w:pPr>
            <w:r w:rsidRPr="00314BA1">
              <w:t>Identification of target of evaluation</w:t>
            </w:r>
          </w:p>
        </w:tc>
        <w:tc>
          <w:tcPr>
            <w:tcW w:w="4803" w:type="dxa"/>
            <w:tcBorders>
              <w:top w:val="single" w:sz="4" w:space="0" w:color="auto"/>
              <w:left w:val="single" w:sz="4" w:space="0" w:color="auto"/>
              <w:bottom w:val="single" w:sz="4" w:space="0" w:color="auto"/>
              <w:right w:val="single" w:sz="4" w:space="0" w:color="auto"/>
            </w:tcBorders>
            <w:hideMark/>
          </w:tcPr>
          <w:p w14:paraId="78AC85C0" w14:textId="77777777" w:rsidR="00CD7E95" w:rsidRPr="00314BA1" w:rsidRDefault="00CD7E95" w:rsidP="00D72003">
            <w:pPr>
              <w:pStyle w:val="TableauNormal1"/>
              <w:rPr>
                <w:rFonts w:cs="Times New Roman"/>
              </w:rPr>
            </w:pPr>
            <w:r w:rsidRPr="00314BA1">
              <w:t>Selection of data processing stakeholder</w:t>
            </w:r>
          </w:p>
        </w:tc>
      </w:tr>
      <w:tr w:rsidR="00CD7E95" w:rsidRPr="00314BA1" w14:paraId="05855F28" w14:textId="77777777" w:rsidTr="00D72003">
        <w:tc>
          <w:tcPr>
            <w:tcW w:w="4803" w:type="dxa"/>
            <w:tcBorders>
              <w:top w:val="single" w:sz="4" w:space="0" w:color="auto"/>
              <w:left w:val="single" w:sz="4" w:space="0" w:color="auto"/>
              <w:bottom w:val="single" w:sz="4" w:space="0" w:color="auto"/>
              <w:right w:val="single" w:sz="4" w:space="0" w:color="auto"/>
            </w:tcBorders>
            <w:hideMark/>
          </w:tcPr>
          <w:p w14:paraId="05A31BFF" w14:textId="77777777" w:rsidR="00CD7E95" w:rsidRPr="00314BA1" w:rsidRDefault="00CD7E95" w:rsidP="00D72003">
            <w:pPr>
              <w:pStyle w:val="TableauNormal1"/>
              <w:rPr>
                <w:rFonts w:cs="Times New Roman"/>
              </w:rPr>
            </w:pPr>
            <w:r w:rsidRPr="00314BA1">
              <w:t>Identification of objectives</w:t>
            </w:r>
          </w:p>
        </w:tc>
        <w:tc>
          <w:tcPr>
            <w:tcW w:w="4803" w:type="dxa"/>
            <w:tcBorders>
              <w:top w:val="single" w:sz="4" w:space="0" w:color="auto"/>
              <w:left w:val="single" w:sz="4" w:space="0" w:color="auto"/>
              <w:bottom w:val="single" w:sz="4" w:space="0" w:color="auto"/>
              <w:right w:val="single" w:sz="4" w:space="0" w:color="auto"/>
            </w:tcBorders>
            <w:hideMark/>
          </w:tcPr>
          <w:p w14:paraId="5D75A69B" w14:textId="77777777" w:rsidR="00CD7E95" w:rsidRPr="00314BA1" w:rsidRDefault="00CD7E95" w:rsidP="00D72003">
            <w:pPr>
              <w:pStyle w:val="TableauNormal1"/>
              <w:rPr>
                <w:rFonts w:cs="Times New Roman"/>
              </w:rPr>
            </w:pPr>
            <w:r w:rsidRPr="00314BA1">
              <w:t>Identification of security and privacy objectives objectives</w:t>
            </w:r>
          </w:p>
        </w:tc>
      </w:tr>
      <w:tr w:rsidR="00CD7E95" w:rsidRPr="00314BA1" w14:paraId="4FDB4E3B" w14:textId="77777777" w:rsidTr="00D72003">
        <w:tc>
          <w:tcPr>
            <w:tcW w:w="4803" w:type="dxa"/>
            <w:tcBorders>
              <w:top w:val="single" w:sz="4" w:space="0" w:color="auto"/>
              <w:left w:val="single" w:sz="4" w:space="0" w:color="auto"/>
              <w:bottom w:val="single" w:sz="4" w:space="0" w:color="auto"/>
              <w:right w:val="single" w:sz="4" w:space="0" w:color="auto"/>
            </w:tcBorders>
            <w:hideMark/>
          </w:tcPr>
          <w:p w14:paraId="68A022A6" w14:textId="77777777" w:rsidR="00CD7E95" w:rsidRPr="00314BA1" w:rsidRDefault="00CD7E95" w:rsidP="00D72003">
            <w:pPr>
              <w:pStyle w:val="TableauNormal1"/>
              <w:rPr>
                <w:rFonts w:cs="Times New Roman"/>
              </w:rPr>
            </w:pPr>
            <w:r w:rsidRPr="00314BA1">
              <w:t>Identification of functional security requirements</w:t>
            </w:r>
          </w:p>
        </w:tc>
        <w:tc>
          <w:tcPr>
            <w:tcW w:w="4803" w:type="dxa"/>
            <w:tcBorders>
              <w:top w:val="single" w:sz="4" w:space="0" w:color="auto"/>
              <w:left w:val="single" w:sz="4" w:space="0" w:color="auto"/>
              <w:bottom w:val="single" w:sz="4" w:space="0" w:color="auto"/>
              <w:right w:val="single" w:sz="4" w:space="0" w:color="auto"/>
            </w:tcBorders>
            <w:hideMark/>
          </w:tcPr>
          <w:p w14:paraId="625E1F15" w14:textId="77777777" w:rsidR="00CD7E95" w:rsidRPr="00314BA1" w:rsidRDefault="00CD7E95" w:rsidP="00D72003">
            <w:pPr>
              <w:pStyle w:val="TableauNormal1"/>
              <w:rPr>
                <w:rFonts w:cs="Times New Roman"/>
              </w:rPr>
            </w:pPr>
            <w:r w:rsidRPr="00314BA1">
              <w:t>Identification of functional security and privacy requirements</w:t>
            </w:r>
          </w:p>
        </w:tc>
      </w:tr>
      <w:tr w:rsidR="00CD7E95" w:rsidRPr="00314BA1" w14:paraId="201877C8" w14:textId="77777777" w:rsidTr="00D72003">
        <w:tc>
          <w:tcPr>
            <w:tcW w:w="4803" w:type="dxa"/>
            <w:tcBorders>
              <w:top w:val="single" w:sz="4" w:space="0" w:color="auto"/>
              <w:left w:val="single" w:sz="4" w:space="0" w:color="auto"/>
              <w:bottom w:val="single" w:sz="4" w:space="0" w:color="auto"/>
              <w:right w:val="single" w:sz="4" w:space="0" w:color="auto"/>
            </w:tcBorders>
            <w:hideMark/>
          </w:tcPr>
          <w:p w14:paraId="2B5512F7" w14:textId="77777777" w:rsidR="00CD7E95" w:rsidRPr="00314BA1" w:rsidRDefault="00CD7E95" w:rsidP="00D72003">
            <w:pPr>
              <w:pStyle w:val="TableauNormal1"/>
              <w:rPr>
                <w:rFonts w:cs="Times New Roman"/>
              </w:rPr>
            </w:pPr>
            <w:r w:rsidRPr="00314BA1">
              <w:t>Systematic inventory of assets</w:t>
            </w:r>
          </w:p>
        </w:tc>
        <w:tc>
          <w:tcPr>
            <w:tcW w:w="4803" w:type="dxa"/>
            <w:tcBorders>
              <w:top w:val="single" w:sz="4" w:space="0" w:color="auto"/>
              <w:left w:val="single" w:sz="4" w:space="0" w:color="auto"/>
              <w:bottom w:val="single" w:sz="4" w:space="0" w:color="auto"/>
              <w:right w:val="single" w:sz="4" w:space="0" w:color="auto"/>
            </w:tcBorders>
            <w:hideMark/>
          </w:tcPr>
          <w:p w14:paraId="79C545EC" w14:textId="77777777" w:rsidR="00CD7E95" w:rsidRPr="00314BA1" w:rsidRDefault="00CD7E95" w:rsidP="00D72003">
            <w:pPr>
              <w:pStyle w:val="TableauNormal1"/>
              <w:rPr>
                <w:rFonts w:cs="Times New Roman"/>
              </w:rPr>
            </w:pPr>
            <w:r w:rsidRPr="00314BA1">
              <w:t>Systematic inventory of assets</w:t>
            </w:r>
          </w:p>
        </w:tc>
      </w:tr>
      <w:tr w:rsidR="00CD7E95" w:rsidRPr="00314BA1" w14:paraId="3096481B" w14:textId="77777777" w:rsidTr="00D72003">
        <w:tc>
          <w:tcPr>
            <w:tcW w:w="4803" w:type="dxa"/>
            <w:tcBorders>
              <w:top w:val="single" w:sz="4" w:space="0" w:color="auto"/>
              <w:left w:val="single" w:sz="4" w:space="0" w:color="auto"/>
              <w:bottom w:val="single" w:sz="4" w:space="0" w:color="auto"/>
              <w:right w:val="single" w:sz="4" w:space="0" w:color="auto"/>
            </w:tcBorders>
            <w:hideMark/>
          </w:tcPr>
          <w:p w14:paraId="65B7EFAC" w14:textId="77777777" w:rsidR="00CD7E95" w:rsidRPr="00314BA1" w:rsidRDefault="00CD7E95" w:rsidP="00D72003">
            <w:pPr>
              <w:pStyle w:val="TableauNormal1"/>
              <w:rPr>
                <w:rFonts w:cs="Times New Roman"/>
              </w:rPr>
            </w:pPr>
            <w:r w:rsidRPr="00314BA1">
              <w:t>Systematic identification of vulnerabilities</w:t>
            </w:r>
          </w:p>
        </w:tc>
        <w:tc>
          <w:tcPr>
            <w:tcW w:w="4803" w:type="dxa"/>
            <w:tcBorders>
              <w:top w:val="single" w:sz="4" w:space="0" w:color="auto"/>
              <w:left w:val="single" w:sz="4" w:space="0" w:color="auto"/>
              <w:bottom w:val="single" w:sz="4" w:space="0" w:color="auto"/>
              <w:right w:val="single" w:sz="4" w:space="0" w:color="auto"/>
            </w:tcBorders>
            <w:hideMark/>
          </w:tcPr>
          <w:p w14:paraId="5C728647" w14:textId="77777777" w:rsidR="00CD7E95" w:rsidRPr="00314BA1" w:rsidRDefault="00CD7E95" w:rsidP="00D72003">
            <w:pPr>
              <w:pStyle w:val="TableauNormal1"/>
              <w:rPr>
                <w:rFonts w:cs="Times New Roman"/>
              </w:rPr>
            </w:pPr>
            <w:r w:rsidRPr="00314BA1">
              <w:t>Systematic identification of vulnerabilities using STRIDE</w:t>
            </w:r>
            <w:r w:rsidRPr="00314BA1">
              <w:rPr>
                <w:position w:val="6"/>
              </w:rPr>
              <w:footnoteReference w:id="29"/>
            </w:r>
            <w:r w:rsidRPr="00314BA1">
              <w:t xml:space="preserve"> and LINDDUN</w:t>
            </w:r>
            <w:r w:rsidRPr="00314BA1">
              <w:rPr>
                <w:position w:val="6"/>
              </w:rPr>
              <w:footnoteReference w:id="30"/>
            </w:r>
          </w:p>
        </w:tc>
      </w:tr>
      <w:tr w:rsidR="00CD7E95" w:rsidRPr="00314BA1" w14:paraId="0EFFB2D2" w14:textId="77777777" w:rsidTr="00D72003">
        <w:tc>
          <w:tcPr>
            <w:tcW w:w="4803" w:type="dxa"/>
            <w:tcBorders>
              <w:top w:val="single" w:sz="4" w:space="0" w:color="auto"/>
              <w:left w:val="single" w:sz="4" w:space="0" w:color="auto"/>
              <w:bottom w:val="single" w:sz="4" w:space="0" w:color="auto"/>
              <w:right w:val="single" w:sz="4" w:space="0" w:color="auto"/>
            </w:tcBorders>
            <w:hideMark/>
          </w:tcPr>
          <w:p w14:paraId="10590662" w14:textId="77777777" w:rsidR="00CD7E95" w:rsidRPr="00314BA1" w:rsidRDefault="00CD7E95" w:rsidP="00D72003">
            <w:pPr>
              <w:pStyle w:val="TableauNormal1"/>
              <w:rPr>
                <w:rFonts w:cs="Times New Roman"/>
              </w:rPr>
            </w:pPr>
            <w:r w:rsidRPr="00314BA1">
              <w:t>Calculation of the likelihood of the attack and its impact</w:t>
            </w:r>
          </w:p>
        </w:tc>
        <w:tc>
          <w:tcPr>
            <w:tcW w:w="4803" w:type="dxa"/>
            <w:tcBorders>
              <w:top w:val="single" w:sz="4" w:space="0" w:color="auto"/>
              <w:left w:val="single" w:sz="4" w:space="0" w:color="auto"/>
              <w:bottom w:val="single" w:sz="4" w:space="0" w:color="auto"/>
              <w:right w:val="single" w:sz="4" w:space="0" w:color="auto"/>
            </w:tcBorders>
            <w:hideMark/>
          </w:tcPr>
          <w:p w14:paraId="42569785" w14:textId="77777777" w:rsidR="00CD7E95" w:rsidRPr="00314BA1" w:rsidRDefault="00CD7E95" w:rsidP="00D72003">
            <w:pPr>
              <w:pStyle w:val="TableauNormal1"/>
              <w:rPr>
                <w:rFonts w:cs="Times New Roman"/>
              </w:rPr>
            </w:pPr>
            <w:r w:rsidRPr="00314BA1">
              <w:t>Calculation of the likelihood of the attack and its impact</w:t>
            </w:r>
          </w:p>
        </w:tc>
      </w:tr>
      <w:tr w:rsidR="00CD7E95" w:rsidRPr="00314BA1" w14:paraId="63E825C3" w14:textId="77777777" w:rsidTr="00D72003">
        <w:tc>
          <w:tcPr>
            <w:tcW w:w="4803" w:type="dxa"/>
            <w:tcBorders>
              <w:top w:val="single" w:sz="4" w:space="0" w:color="auto"/>
              <w:left w:val="single" w:sz="4" w:space="0" w:color="auto"/>
              <w:bottom w:val="single" w:sz="4" w:space="0" w:color="auto"/>
              <w:right w:val="single" w:sz="4" w:space="0" w:color="auto"/>
            </w:tcBorders>
            <w:hideMark/>
          </w:tcPr>
          <w:p w14:paraId="027BCC2E" w14:textId="77777777" w:rsidR="00CD7E95" w:rsidRPr="00314BA1" w:rsidRDefault="00CD7E95" w:rsidP="00D72003">
            <w:pPr>
              <w:pStyle w:val="TableauNormal1"/>
              <w:rPr>
                <w:rFonts w:cs="Times New Roman"/>
              </w:rPr>
            </w:pPr>
            <w:r w:rsidRPr="00314BA1">
              <w:t>Establishment of risks</w:t>
            </w:r>
          </w:p>
        </w:tc>
        <w:tc>
          <w:tcPr>
            <w:tcW w:w="4803" w:type="dxa"/>
            <w:tcBorders>
              <w:top w:val="single" w:sz="4" w:space="0" w:color="auto"/>
              <w:left w:val="single" w:sz="4" w:space="0" w:color="auto"/>
              <w:bottom w:val="single" w:sz="4" w:space="0" w:color="auto"/>
              <w:right w:val="single" w:sz="4" w:space="0" w:color="auto"/>
            </w:tcBorders>
            <w:hideMark/>
          </w:tcPr>
          <w:p w14:paraId="6254A26D" w14:textId="77777777" w:rsidR="00CD7E95" w:rsidRPr="00314BA1" w:rsidRDefault="00CD7E95" w:rsidP="00D72003">
            <w:pPr>
              <w:pStyle w:val="TableauNormal1"/>
              <w:rPr>
                <w:rFonts w:cs="Times New Roman"/>
              </w:rPr>
            </w:pPr>
            <w:r w:rsidRPr="00314BA1">
              <w:t>Establishment of risks</w:t>
            </w:r>
          </w:p>
        </w:tc>
      </w:tr>
      <w:tr w:rsidR="00CD7E95" w:rsidRPr="00314BA1" w14:paraId="358453DE" w14:textId="77777777" w:rsidTr="00D72003">
        <w:tc>
          <w:tcPr>
            <w:tcW w:w="4803" w:type="dxa"/>
            <w:tcBorders>
              <w:top w:val="single" w:sz="4" w:space="0" w:color="auto"/>
              <w:left w:val="single" w:sz="4" w:space="0" w:color="auto"/>
              <w:bottom w:val="single" w:sz="4" w:space="0" w:color="auto"/>
              <w:right w:val="single" w:sz="4" w:space="0" w:color="auto"/>
            </w:tcBorders>
            <w:hideMark/>
          </w:tcPr>
          <w:p w14:paraId="5BFD857A" w14:textId="77777777" w:rsidR="00CD7E95" w:rsidRPr="00314BA1" w:rsidRDefault="00CD7E95" w:rsidP="00D72003">
            <w:pPr>
              <w:pStyle w:val="TableauNormal1"/>
              <w:rPr>
                <w:rFonts w:cs="Times New Roman"/>
              </w:rPr>
            </w:pPr>
            <w:r w:rsidRPr="00314BA1">
              <w:t>Security and privacy countermeasure identification</w:t>
            </w:r>
          </w:p>
        </w:tc>
        <w:tc>
          <w:tcPr>
            <w:tcW w:w="4803" w:type="dxa"/>
            <w:tcBorders>
              <w:top w:val="single" w:sz="4" w:space="0" w:color="auto"/>
              <w:left w:val="single" w:sz="4" w:space="0" w:color="auto"/>
              <w:bottom w:val="single" w:sz="4" w:space="0" w:color="auto"/>
              <w:right w:val="single" w:sz="4" w:space="0" w:color="auto"/>
            </w:tcBorders>
            <w:hideMark/>
          </w:tcPr>
          <w:p w14:paraId="27F678C8" w14:textId="77777777" w:rsidR="00CD7E95" w:rsidRPr="00314BA1" w:rsidRDefault="00CD7E95" w:rsidP="00D72003">
            <w:pPr>
              <w:pStyle w:val="TableauNormal1"/>
              <w:rPr>
                <w:rFonts w:cs="Times New Roman"/>
              </w:rPr>
            </w:pPr>
            <w:r w:rsidRPr="00314BA1">
              <w:t>Security and privacy countermeasure identification using categorisation of controls as used in ISO</w:t>
            </w:r>
            <w:r w:rsidRPr="00314BA1">
              <w:rPr>
                <w:position w:val="6"/>
              </w:rPr>
              <w:footnoteReference w:id="31"/>
            </w:r>
          </w:p>
        </w:tc>
      </w:tr>
      <w:tr w:rsidR="00CD7E95" w:rsidRPr="00314BA1" w14:paraId="2B9CEAD9" w14:textId="77777777" w:rsidTr="00D72003">
        <w:tc>
          <w:tcPr>
            <w:tcW w:w="4803" w:type="dxa"/>
            <w:tcBorders>
              <w:top w:val="single" w:sz="4" w:space="0" w:color="auto"/>
              <w:left w:val="single" w:sz="4" w:space="0" w:color="auto"/>
              <w:bottom w:val="single" w:sz="4" w:space="0" w:color="auto"/>
              <w:right w:val="single" w:sz="4" w:space="0" w:color="auto"/>
            </w:tcBorders>
            <w:hideMark/>
          </w:tcPr>
          <w:p w14:paraId="309242DE" w14:textId="77777777" w:rsidR="00CD7E95" w:rsidRPr="00314BA1" w:rsidRDefault="00CD7E95" w:rsidP="00D72003">
            <w:pPr>
              <w:pStyle w:val="TableauNormal1"/>
              <w:rPr>
                <w:rFonts w:cs="Times New Roman"/>
              </w:rPr>
            </w:pPr>
            <w:r w:rsidRPr="00314BA1">
              <w:t>Countermeasure cost-benefit analysis</w:t>
            </w:r>
          </w:p>
        </w:tc>
        <w:tc>
          <w:tcPr>
            <w:tcW w:w="4803" w:type="dxa"/>
            <w:tcBorders>
              <w:top w:val="single" w:sz="4" w:space="0" w:color="auto"/>
              <w:left w:val="single" w:sz="4" w:space="0" w:color="auto"/>
              <w:bottom w:val="single" w:sz="4" w:space="0" w:color="auto"/>
              <w:right w:val="single" w:sz="4" w:space="0" w:color="auto"/>
            </w:tcBorders>
            <w:hideMark/>
          </w:tcPr>
          <w:p w14:paraId="761C029B" w14:textId="77777777" w:rsidR="00CD7E95" w:rsidRPr="00314BA1" w:rsidRDefault="00CD7E95" w:rsidP="00D72003">
            <w:pPr>
              <w:pStyle w:val="TableauNormal1"/>
              <w:rPr>
                <w:rFonts w:cs="Times New Roman"/>
              </w:rPr>
            </w:pPr>
            <w:r w:rsidRPr="00314BA1">
              <w:t>Countermeasure cost-benefit analysis</w:t>
            </w:r>
          </w:p>
        </w:tc>
      </w:tr>
      <w:tr w:rsidR="00CD7E95" w:rsidRPr="00314BA1" w14:paraId="2E55C3C9" w14:textId="77777777" w:rsidTr="00D72003">
        <w:tc>
          <w:tcPr>
            <w:tcW w:w="4803" w:type="dxa"/>
            <w:tcBorders>
              <w:top w:val="single" w:sz="4" w:space="0" w:color="auto"/>
              <w:left w:val="single" w:sz="4" w:space="0" w:color="auto"/>
              <w:bottom w:val="single" w:sz="4" w:space="0" w:color="auto"/>
              <w:right w:val="single" w:sz="4" w:space="0" w:color="auto"/>
            </w:tcBorders>
            <w:hideMark/>
          </w:tcPr>
          <w:p w14:paraId="3DEA4818" w14:textId="77777777" w:rsidR="00CD7E95" w:rsidRPr="00314BA1" w:rsidRDefault="00CD7E95" w:rsidP="00D72003">
            <w:pPr>
              <w:pStyle w:val="TableauNormal1"/>
              <w:rPr>
                <w:rFonts w:cs="Times New Roman"/>
              </w:rPr>
            </w:pPr>
            <w:r w:rsidRPr="00314BA1">
              <w:t>Specification of detailed requirements</w:t>
            </w:r>
          </w:p>
        </w:tc>
        <w:tc>
          <w:tcPr>
            <w:tcW w:w="4803" w:type="dxa"/>
            <w:tcBorders>
              <w:top w:val="single" w:sz="4" w:space="0" w:color="auto"/>
              <w:left w:val="single" w:sz="4" w:space="0" w:color="auto"/>
              <w:bottom w:val="single" w:sz="4" w:space="0" w:color="auto"/>
              <w:right w:val="single" w:sz="4" w:space="0" w:color="auto"/>
            </w:tcBorders>
            <w:hideMark/>
          </w:tcPr>
          <w:p w14:paraId="5FDCA293" w14:textId="77777777" w:rsidR="00CD7E95" w:rsidRPr="00314BA1" w:rsidRDefault="00CD7E95" w:rsidP="00D72003">
            <w:pPr>
              <w:pStyle w:val="TableauNormal1"/>
              <w:rPr>
                <w:rFonts w:cs="Times New Roman"/>
              </w:rPr>
            </w:pPr>
            <w:r w:rsidRPr="00314BA1">
              <w:t>Specification of detailed requirements</w:t>
            </w:r>
          </w:p>
        </w:tc>
      </w:tr>
    </w:tbl>
    <w:p w14:paraId="2B44BC74" w14:textId="14BD2E97" w:rsidR="00CD7E95" w:rsidRPr="007B208A" w:rsidRDefault="00CD7E95" w:rsidP="00CD7E95">
      <w:pPr>
        <w:pStyle w:val="figurecentred"/>
      </w:pPr>
      <w:r w:rsidRPr="00E44EE9">
        <w:t xml:space="preserve">Table </w:t>
      </w:r>
      <w:r>
        <w:rPr>
          <w:noProof/>
        </w:rPr>
        <w:fldChar w:fldCharType="begin"/>
      </w:r>
      <w:r>
        <w:rPr>
          <w:noProof/>
        </w:rPr>
        <w:instrText xml:space="preserve"> SEQ "Table" \* MERGEFORMAT </w:instrText>
      </w:r>
      <w:r>
        <w:rPr>
          <w:noProof/>
        </w:rPr>
        <w:fldChar w:fldCharType="separate"/>
      </w:r>
      <w:r w:rsidR="004946F7">
        <w:rPr>
          <w:noProof/>
        </w:rPr>
        <w:t>5</w:t>
      </w:r>
      <w:r>
        <w:rPr>
          <w:noProof/>
        </w:rPr>
        <w:fldChar w:fldCharType="end"/>
      </w:r>
      <w:r w:rsidRPr="00E44EE9">
        <w:rPr>
          <w:noProof/>
        </w:rPr>
        <w:t xml:space="preserve"> –</w:t>
      </w:r>
      <w:r w:rsidRPr="00E44EE9">
        <w:t xml:space="preserve"> Risk Analysis Process</w:t>
      </w:r>
    </w:p>
    <w:p w14:paraId="12F7FD32" w14:textId="307A2F15" w:rsidR="00F01A84" w:rsidRPr="00CC413D" w:rsidRDefault="00F01A84" w:rsidP="009A7DB4">
      <w:bookmarkStart w:id="73" w:name="_Toc4629848"/>
      <w:r w:rsidRPr="009A7DB4">
        <w:rPr>
          <w:lang w:val="en-GB"/>
        </w:rPr>
        <w:t>To go further, ISO/IEC FDIS 27005:2010(E) provides a detailed overview of different Information security risk assessment approaches</w:t>
      </w:r>
      <w:r w:rsidRPr="00812233">
        <w:rPr>
          <w:vertAlign w:val="superscript"/>
        </w:rPr>
        <w:footnoteReference w:id="32"/>
      </w:r>
      <w:r w:rsidRPr="009A7DB4">
        <w:rPr>
          <w:lang w:val="en-GB"/>
        </w:rPr>
        <w:t>.</w:t>
      </w:r>
    </w:p>
    <w:p w14:paraId="6C380AED" w14:textId="0D395BCC" w:rsidR="00CD7E95" w:rsidRDefault="00AC02DA" w:rsidP="009A7DB4">
      <w:pPr>
        <w:pStyle w:val="Heading3"/>
      </w:pPr>
      <w:bookmarkStart w:id="74" w:name="_Toc14367839"/>
      <w:r>
        <w:lastRenderedPageBreak/>
        <w:t>6</w:t>
      </w:r>
      <w:r w:rsidR="00CD7E95">
        <w:t>.3.2</w:t>
      </w:r>
      <w:r w:rsidR="00CD7E95">
        <w:tab/>
        <w:t>Risk management</w:t>
      </w:r>
      <w:bookmarkEnd w:id="73"/>
      <w:bookmarkEnd w:id="74"/>
    </w:p>
    <w:p w14:paraId="3D080662" w14:textId="7A69A335" w:rsidR="00CD7E95" w:rsidRDefault="0044327B" w:rsidP="009A7DB4">
      <w:pPr>
        <w:tabs>
          <w:tab w:val="left" w:pos="4500"/>
        </w:tabs>
        <w:spacing w:before="60" w:after="60"/>
        <w:jc w:val="both"/>
      </w:pPr>
      <w:r>
        <w:t xml:space="preserve">To ensure a global risk management approach, covering most of the potential risks generated by DPM in </w:t>
      </w:r>
      <w:r w:rsidR="007946C5">
        <w:t>SC&amp;C</w:t>
      </w:r>
      <w:r>
        <w:t xml:space="preserve"> and IoT, one can rely on robust methodologies and frameworks. For example, ISO31000 standard, published in 2009</w:t>
      </w:r>
      <w:r w:rsidR="004D4B36">
        <w:t xml:space="preserve"> (and reviewed in 2018)</w:t>
      </w:r>
      <w:r>
        <w:t xml:space="preserve"> to provide principles and generic guidelines on risk management</w:t>
      </w:r>
      <w:r>
        <w:rPr>
          <w:rStyle w:val="FootnoteReference"/>
        </w:rPr>
        <w:footnoteReference w:id="33"/>
      </w:r>
      <w:r>
        <w:t xml:space="preserve">. </w:t>
      </w:r>
      <w:r w:rsidRPr="002C05F7">
        <w:t xml:space="preserve"> We can</w:t>
      </w:r>
      <w:r>
        <w:t xml:space="preserve"> also</w:t>
      </w:r>
      <w:r w:rsidRPr="002C05F7">
        <w:t xml:space="preserve"> cite Coso</w:t>
      </w:r>
      <w:r w:rsidRPr="00E465E2">
        <w:t xml:space="preserve"> </w:t>
      </w:r>
      <w:r w:rsidRPr="002C05F7">
        <w:t>Enterprise Risk Management</w:t>
      </w:r>
      <w:r w:rsidRPr="0088554D">
        <w:rPr>
          <w:vertAlign w:val="superscript"/>
        </w:rPr>
        <w:t xml:space="preserve"> </w:t>
      </w:r>
      <w:r w:rsidRPr="0088554D">
        <w:rPr>
          <w:vertAlign w:val="superscript"/>
        </w:rPr>
        <w:footnoteReference w:id="34"/>
      </w:r>
      <w:r w:rsidRPr="002C05F7">
        <w:t xml:space="preserve"> (Committee of Sponsoring Organizations of the Treadway Commission) </w:t>
      </w:r>
      <w:r>
        <w:t>or several other methodologies mainly oriented on IT such as OCTAVE, EBIOS, MEHARI or NIST SP 800-82 for example</w:t>
      </w:r>
      <w:r>
        <w:rPr>
          <w:rStyle w:val="FootnoteReference"/>
        </w:rPr>
        <w:footnoteReference w:id="35"/>
      </w:r>
      <w:r w:rsidRPr="002C05F7">
        <w:t>.</w:t>
      </w:r>
      <w:r w:rsidR="00CD7E95" w:rsidRPr="002C05F7">
        <w:t xml:space="preserve"> </w:t>
      </w:r>
      <w:r w:rsidR="00CD7E95">
        <w:t>Each methodology/framework proposes a step-by-step guidance. They can be chosen or used together according the size, the complexity or the culture of the ecosystem to which it is addressed.</w:t>
      </w:r>
    </w:p>
    <w:p w14:paraId="77E9A0CF" w14:textId="58406EFD" w:rsidR="00CD7E95" w:rsidRDefault="00CD7E95" w:rsidP="009A7DB4">
      <w:pPr>
        <w:tabs>
          <w:tab w:val="left" w:pos="4500"/>
        </w:tabs>
        <w:spacing w:before="60" w:after="60"/>
        <w:jc w:val="both"/>
      </w:pPr>
      <w:r>
        <w:t>To illustrate with an example at an Industry level, the Banking Industry works under</w:t>
      </w:r>
      <w:r w:rsidRPr="002C05F7">
        <w:t xml:space="preserve"> the</w:t>
      </w:r>
      <w:r w:rsidR="009A7DB4">
        <w:t xml:space="preserve"> </w:t>
      </w:r>
      <w:r w:rsidRPr="002C05F7">
        <w:t>Operational Risk Framework as sponsored by the Basel Committee on Banking Supervision</w:t>
      </w:r>
      <w:r w:rsidRPr="00E465E2">
        <w:rPr>
          <w:vertAlign w:val="superscript"/>
        </w:rPr>
        <w:footnoteReference w:id="36"/>
      </w:r>
      <w:r>
        <w:t xml:space="preserve">. And as another example, at a Country level, the Swiss Government proposes a </w:t>
      </w:r>
      <w:r w:rsidRPr="00F93FF6">
        <w:t>Minimum ICT Standard</w:t>
      </w:r>
      <w:r>
        <w:rPr>
          <w:rStyle w:val="FootnoteReference"/>
        </w:rPr>
        <w:footnoteReference w:id="37"/>
      </w:r>
      <w:r w:rsidRPr="00F93FF6">
        <w:t xml:space="preserve"> based on the NIST Cybersecurity Framework Core</w:t>
      </w:r>
      <w:r>
        <w:rPr>
          <w:rStyle w:val="FootnoteReference"/>
        </w:rPr>
        <w:footnoteReference w:id="38"/>
      </w:r>
      <w:r>
        <w:t>.</w:t>
      </w:r>
    </w:p>
    <w:p w14:paraId="58CB22C7" w14:textId="4201E21F" w:rsidR="00CD7E95" w:rsidRDefault="00CD7E95" w:rsidP="00AF7B5D">
      <w:pPr>
        <w:tabs>
          <w:tab w:val="left" w:pos="4500"/>
        </w:tabs>
        <w:spacing w:before="60" w:after="60"/>
        <w:jc w:val="both"/>
      </w:pPr>
      <w:r>
        <w:t xml:space="preserve">For our specific focus on Risk Management linked to data processing and management in </w:t>
      </w:r>
      <w:r w:rsidR="007946C5">
        <w:t>SC&amp;C</w:t>
      </w:r>
      <w:r>
        <w:t xml:space="preserve"> and IoT, and with the main objective to open a discussion and help stakeholders implementing Risk Management and adapt it to their specific needs and context, we propose to use the common canvas of </w:t>
      </w:r>
      <w:r w:rsidRPr="002C05F7">
        <w:t xml:space="preserve">Coso </w:t>
      </w:r>
      <w:r>
        <w:t>(mainly oriented on</w:t>
      </w:r>
      <w:r w:rsidRPr="002C05F7">
        <w:t xml:space="preserve"> Governance and Communication</w:t>
      </w:r>
      <w:r>
        <w:t>) and</w:t>
      </w:r>
      <w:r w:rsidRPr="002C05F7">
        <w:t xml:space="preserve"> Basel standard</w:t>
      </w:r>
      <w:r>
        <w:t xml:space="preserve"> (mainly oriented</w:t>
      </w:r>
      <w:r w:rsidRPr="002C05F7">
        <w:t xml:space="preserve"> on calculation accuracy and losses model</w:t>
      </w:r>
      <w:r w:rsidR="00AF7B5D">
        <w:t>ling</w:t>
      </w:r>
      <w:r>
        <w:t>)</w:t>
      </w:r>
      <w:r w:rsidRPr="002C05F7">
        <w:t xml:space="preserve"> (</w:t>
      </w:r>
      <w:r>
        <w:t xml:space="preserve">Figure </w:t>
      </w:r>
      <w:r w:rsidR="00AF7B5D">
        <w:t>9</w:t>
      </w:r>
      <w:r w:rsidRPr="002C05F7">
        <w:t>)</w:t>
      </w:r>
      <w:r>
        <w:t>, which is in line with the ISO31000 Standard.</w:t>
      </w:r>
    </w:p>
    <w:p w14:paraId="0402169F" w14:textId="77777777" w:rsidR="00CD7E95" w:rsidRDefault="00CD7E95" w:rsidP="00CD7E95">
      <w:r>
        <w:rPr>
          <w:b/>
          <w:noProof/>
          <w:lang w:val="en-GB"/>
        </w:rPr>
        <w:drawing>
          <wp:inline distT="0" distB="0" distL="0" distR="0" wp14:anchorId="6D88B546" wp14:editId="309F29A7">
            <wp:extent cx="6159500" cy="882650"/>
            <wp:effectExtent l="0" t="0" r="31750" b="0"/>
            <wp:docPr id="23" name="Diagramme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5F2A7B92" w14:textId="4C451309" w:rsidR="00CD7E95" w:rsidRPr="0077794A" w:rsidRDefault="00CD7E95" w:rsidP="00CD7E95">
      <w:pPr>
        <w:pStyle w:val="Caption"/>
      </w:pPr>
      <w:r w:rsidRPr="0077794A">
        <w:t xml:space="preserve">Figure </w:t>
      </w:r>
      <w:r w:rsidR="008D1698">
        <w:t>9</w:t>
      </w:r>
      <w:r w:rsidR="008D1698" w:rsidRPr="0077794A">
        <w:t xml:space="preserve"> </w:t>
      </w:r>
      <w:r w:rsidRPr="0077794A">
        <w:t xml:space="preserve">– </w:t>
      </w:r>
      <w:r>
        <w:t>Steps to risk management</w:t>
      </w:r>
      <w:r w:rsidRPr="0077794A">
        <w:t xml:space="preserve"> </w:t>
      </w:r>
    </w:p>
    <w:p w14:paraId="7BD37783" w14:textId="40F705DF" w:rsidR="00CD7E95" w:rsidRPr="00CA0FBC" w:rsidRDefault="00CD7E95" w:rsidP="00342FDC">
      <w:pPr>
        <w:pStyle w:val="Heading4"/>
        <w:numPr>
          <w:ilvl w:val="0"/>
          <w:numId w:val="39"/>
        </w:numPr>
      </w:pPr>
      <w:r w:rsidRPr="00CA0FBC">
        <w:t>Risk identification</w:t>
      </w:r>
    </w:p>
    <w:p w14:paraId="7A9CD6DF" w14:textId="77777777" w:rsidR="00CD7E95" w:rsidRDefault="00CD7E95" w:rsidP="00CD7E95">
      <w:pPr>
        <w:tabs>
          <w:tab w:val="left" w:pos="4500"/>
        </w:tabs>
        <w:spacing w:before="60" w:after="60"/>
      </w:pPr>
      <w:r>
        <w:t>The first step of the risk management process is the risk identification through a bottom-up approach based on proven risks, enriched with a prospective, top-down approach whose goal is to anticipate potential risks.</w:t>
      </w:r>
    </w:p>
    <w:p w14:paraId="473A4F55" w14:textId="55466D5F" w:rsidR="00CD7E95" w:rsidRDefault="00CD7E95" w:rsidP="00342FDC">
      <w:pPr>
        <w:tabs>
          <w:tab w:val="left" w:pos="4500"/>
        </w:tabs>
        <w:spacing w:before="60" w:after="60"/>
      </w:pPr>
      <w:r w:rsidRPr="003616CD">
        <w:t>ISO/IEC FDIS 27005:2010(E)</w:t>
      </w:r>
      <w:r w:rsidRPr="003616CD">
        <w:rPr>
          <w:rStyle w:val="FootnoteReference"/>
        </w:rPr>
        <w:footnoteReference w:id="39"/>
      </w:r>
      <w:r w:rsidRPr="003616CD">
        <w:t xml:space="preserve"> list</w:t>
      </w:r>
      <w:r w:rsidR="00AC02DA">
        <w:t>s</w:t>
      </w:r>
      <w:r w:rsidRPr="003616CD">
        <w:t xml:space="preserve"> typical threats about Information technology/Security techniques/Information security risk management.</w:t>
      </w:r>
    </w:p>
    <w:p w14:paraId="2B3A395A" w14:textId="61C24363" w:rsidR="00CD7E95" w:rsidRPr="00F4586C" w:rsidRDefault="00CD7E95" w:rsidP="00342FDC">
      <w:pPr>
        <w:pStyle w:val="Heading4"/>
        <w:numPr>
          <w:ilvl w:val="0"/>
          <w:numId w:val="39"/>
        </w:numPr>
        <w:rPr>
          <w:lang w:val="en-US"/>
        </w:rPr>
      </w:pPr>
      <w:r w:rsidRPr="00F4586C">
        <w:rPr>
          <w:lang w:val="en-US"/>
        </w:rPr>
        <w:t>Risk analysis</w:t>
      </w:r>
    </w:p>
    <w:p w14:paraId="73B6FAAC" w14:textId="45F748D3" w:rsidR="00CD7E95" w:rsidRDefault="0044327B" w:rsidP="00CD7E95">
      <w:pPr>
        <w:tabs>
          <w:tab w:val="left" w:pos="4500"/>
        </w:tabs>
        <w:spacing w:before="60" w:after="60"/>
      </w:pPr>
      <w:r>
        <w:t xml:space="preserve">Risk analysis is the second step. </w:t>
      </w:r>
      <w:r w:rsidR="00CD7E95">
        <w:t>Several methodologies can be used to analyze the risk. As described in ISO/IEC 27005, “risk analysis may be undertaken in varying degrees of detail depending on the criticality of assets, extent of vulnerabilities known, and prior incidents involving in the organization.”</w:t>
      </w:r>
    </w:p>
    <w:p w14:paraId="4DBB958A" w14:textId="77777777" w:rsidR="00CD7E95" w:rsidRDefault="00CD7E95" w:rsidP="00CD7E95">
      <w:pPr>
        <w:tabs>
          <w:tab w:val="left" w:pos="4500"/>
        </w:tabs>
        <w:spacing w:before="60" w:after="60"/>
      </w:pPr>
      <w:r>
        <w:t>Whatever the chosen methodology, the objective is to be able, f</w:t>
      </w:r>
      <w:r w:rsidRPr="00A63666">
        <w:t>or each risk identified (cf risk</w:t>
      </w:r>
      <w:r>
        <w:t xml:space="preserve"> identification</w:t>
      </w:r>
      <w:r w:rsidRPr="00A63666">
        <w:t xml:space="preserve">) </w:t>
      </w:r>
      <w:r>
        <w:t>to</w:t>
      </w:r>
      <w:r w:rsidRPr="00A63666">
        <w:t xml:space="preserve"> assess</w:t>
      </w:r>
      <w:r>
        <w:t xml:space="preserve"> its impact in term of consequences and likelihood.</w:t>
      </w:r>
    </w:p>
    <w:p w14:paraId="3064AF1E" w14:textId="67400735" w:rsidR="00CD7E95" w:rsidRDefault="00CD7E95" w:rsidP="00CD7E95">
      <w:pPr>
        <w:tabs>
          <w:tab w:val="left" w:pos="4500"/>
        </w:tabs>
        <w:spacing w:before="60" w:after="60"/>
      </w:pPr>
      <w:r>
        <w:t xml:space="preserve">Let us illustrate this, </w:t>
      </w:r>
      <w:r w:rsidR="0044327B">
        <w:t xml:space="preserve">by </w:t>
      </w:r>
      <w:r>
        <w:t>tak</w:t>
      </w:r>
      <w:r w:rsidR="0044327B">
        <w:t>ing</w:t>
      </w:r>
      <w:r>
        <w:t xml:space="preserve"> several examples of risk analysis application.</w:t>
      </w:r>
    </w:p>
    <w:p w14:paraId="219EDF87" w14:textId="1F71026C" w:rsidR="00CD7E95" w:rsidRPr="00E067A5" w:rsidRDefault="00CD7E95" w:rsidP="00CD7E95">
      <w:pPr>
        <w:rPr>
          <w:b/>
          <w:u w:val="single"/>
        </w:rPr>
      </w:pPr>
      <w:r>
        <w:lastRenderedPageBreak/>
        <w:t>First example, Coso proposes to apply a methodology</w:t>
      </w:r>
      <w:r w:rsidRPr="00A63666">
        <w:t xml:space="preserve"> calls Heat Map</w:t>
      </w:r>
      <w:r w:rsidRPr="00055A0B">
        <w:rPr>
          <w:sz w:val="22"/>
          <w:vertAlign w:val="superscript"/>
        </w:rPr>
        <w:footnoteReference w:id="40"/>
      </w:r>
      <w:r w:rsidRPr="00A63666">
        <w:t xml:space="preserve"> as shown </w:t>
      </w:r>
      <w:r>
        <w:t>in the following</w:t>
      </w:r>
      <w:r w:rsidRPr="00A63666">
        <w:t xml:space="preserve"> simple example (</w:t>
      </w:r>
      <w:r>
        <w:t xml:space="preserve">Figure </w:t>
      </w:r>
      <w:r w:rsidR="00342FDC">
        <w:t>10</w:t>
      </w:r>
      <w:r w:rsidRPr="00A63666">
        <w:t>)</w:t>
      </w:r>
      <w:r>
        <w:t xml:space="preserve"> where consequences (here called potential impact) and likelihood are classified according the level of risk.</w:t>
      </w:r>
    </w:p>
    <w:p w14:paraId="66F1F869" w14:textId="77777777" w:rsidR="00CD7E95" w:rsidRDefault="00CD7E95" w:rsidP="001B3AC4">
      <w:pPr>
        <w:pStyle w:val="Caption"/>
        <w:jc w:val="center"/>
      </w:pPr>
      <w:r w:rsidRPr="009A5541">
        <w:rPr>
          <w:noProof/>
          <w:lang w:val="en-GB" w:eastAsia="en-GB"/>
        </w:rPr>
        <w:drawing>
          <wp:inline distT="0" distB="0" distL="0" distR="0" wp14:anchorId="3C8CB5E1" wp14:editId="7D2A5FD6">
            <wp:extent cx="3381884" cy="2331720"/>
            <wp:effectExtent l="0" t="0" r="952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387080" cy="2335302"/>
                    </a:xfrm>
                    <a:prstGeom prst="rect">
                      <a:avLst/>
                    </a:prstGeom>
                  </pic:spPr>
                </pic:pic>
              </a:graphicData>
            </a:graphic>
          </wp:inline>
        </w:drawing>
      </w:r>
    </w:p>
    <w:p w14:paraId="6BD3C117" w14:textId="5C832B79" w:rsidR="00CD7E95" w:rsidRDefault="00CD7E95" w:rsidP="00CD7E95">
      <w:pPr>
        <w:pStyle w:val="Caption"/>
      </w:pPr>
      <w:r w:rsidRPr="0077794A">
        <w:t xml:space="preserve">Figure </w:t>
      </w:r>
      <w:r w:rsidR="008D1698">
        <w:t>10</w:t>
      </w:r>
      <w:r w:rsidR="008D1698" w:rsidRPr="0077794A">
        <w:t xml:space="preserve"> </w:t>
      </w:r>
      <w:r w:rsidRPr="0077794A">
        <w:t xml:space="preserve">– </w:t>
      </w:r>
      <w:r w:rsidRPr="009A5541">
        <w:t>Enterprise Risk Assessment scale, source : CGMA (Chartered Global  Management accountant) Jan</w:t>
      </w:r>
      <w:r>
        <w:t>uary</w:t>
      </w:r>
      <w:r w:rsidRPr="009A5541">
        <w:t xml:space="preserve"> 2012</w:t>
      </w:r>
    </w:p>
    <w:p w14:paraId="35A36D3E" w14:textId="2F27B938" w:rsidR="00CD7E95" w:rsidRDefault="003956B3" w:rsidP="00342FDC">
      <w:pPr>
        <w:tabs>
          <w:tab w:val="left" w:pos="4500"/>
        </w:tabs>
        <w:spacing w:before="60" w:after="60"/>
        <w:jc w:val="both"/>
      </w:pPr>
      <w:r>
        <w:t>For a s</w:t>
      </w:r>
      <w:r w:rsidR="00CD7E95">
        <w:t xml:space="preserve">econd example, let us illustrate risk analysis at an </w:t>
      </w:r>
      <w:r>
        <w:t>i</w:t>
      </w:r>
      <w:r w:rsidR="00CD7E95">
        <w:t xml:space="preserve">ndustry level. In the </w:t>
      </w:r>
      <w:r>
        <w:t>b</w:t>
      </w:r>
      <w:r w:rsidR="00CD7E95">
        <w:t xml:space="preserve">anking </w:t>
      </w:r>
      <w:r>
        <w:t>i</w:t>
      </w:r>
      <w:r w:rsidR="00CD7E95">
        <w:t xml:space="preserve">ndustry, risk related to Data Processing and Management </w:t>
      </w:r>
      <w:r w:rsidR="00CD7E95" w:rsidRPr="00A63666">
        <w:t xml:space="preserve">can be categorized in </w:t>
      </w:r>
      <w:r w:rsidR="00CD7E95">
        <w:t>O</w:t>
      </w:r>
      <w:r w:rsidR="00CD7E95" w:rsidRPr="00A63666">
        <w:t xml:space="preserve">perational </w:t>
      </w:r>
      <w:r w:rsidR="00CD7E95">
        <w:t>R</w:t>
      </w:r>
      <w:r w:rsidR="00CD7E95" w:rsidRPr="00A63666">
        <w:t>isks</w:t>
      </w:r>
      <w:r w:rsidR="00CD7E95">
        <w:t xml:space="preserve"> </w:t>
      </w:r>
      <w:r w:rsidR="00CD7E95" w:rsidRPr="00A63666">
        <w:t xml:space="preserve">with </w:t>
      </w:r>
      <w:r w:rsidR="00CD7E95">
        <w:t xml:space="preserve">historical of losses often described as a Loi de Poisson </w:t>
      </w:r>
      <w:r w:rsidR="00CD7E95" w:rsidRPr="00A63666">
        <w:t>(</w:t>
      </w:r>
      <w:r w:rsidR="00C375F7">
        <w:t>Figure 8</w:t>
      </w:r>
      <w:r w:rsidR="00CD7E95" w:rsidRPr="00A63666">
        <w:t>)</w:t>
      </w:r>
      <w:r w:rsidR="00CD7E95">
        <w:t xml:space="preserve">: likelihood (here called loss frequency) and consequences (here called loss severity) show </w:t>
      </w:r>
      <w:r w:rsidR="00CD7E95" w:rsidRPr="00A63666">
        <w:t>1/</w:t>
      </w:r>
      <w:r w:rsidR="00342FDC">
        <w:t xml:space="preserve"> </w:t>
      </w:r>
      <w:r w:rsidR="00CD7E95" w:rsidRPr="00A63666">
        <w:t xml:space="preserve">frequent events with low probability of loss and 2/ low frequency events with high severity loss (extreme events). </w:t>
      </w:r>
      <w:r w:rsidR="00CD7E95">
        <w:t>In Banking, data about</w:t>
      </w:r>
      <w:r w:rsidR="00CD7E95" w:rsidRPr="00A63666">
        <w:t xml:space="preserve"> frequency and severity </w:t>
      </w:r>
      <w:r w:rsidR="00CD7E95">
        <w:t xml:space="preserve">of losses are collected </w:t>
      </w:r>
      <w:r w:rsidR="0044327B">
        <w:t xml:space="preserve">and gathered </w:t>
      </w:r>
      <w:r w:rsidR="00CD7E95">
        <w:t>to improve the accuracy of the risk analysis for the whole Industry</w:t>
      </w:r>
      <w:r w:rsidR="00CD7E95">
        <w:rPr>
          <w:rStyle w:val="FootnoteReference"/>
        </w:rPr>
        <w:footnoteReference w:id="41"/>
      </w:r>
      <w:r w:rsidR="00CD7E95" w:rsidRPr="00A63666">
        <w:t>.</w:t>
      </w:r>
    </w:p>
    <w:p w14:paraId="59A2ADED" w14:textId="77777777" w:rsidR="00CD7E95" w:rsidRDefault="00CD7E95" w:rsidP="003956B3">
      <w:pPr>
        <w:pStyle w:val="Caption"/>
        <w:jc w:val="center"/>
      </w:pPr>
      <w:r w:rsidRPr="009A5541">
        <w:rPr>
          <w:noProof/>
          <w:lang w:val="en-GB" w:eastAsia="en-GB"/>
        </w:rPr>
        <w:drawing>
          <wp:inline distT="0" distB="0" distL="0" distR="0" wp14:anchorId="5DAB928C" wp14:editId="1A21DDCD">
            <wp:extent cx="3120899" cy="2183130"/>
            <wp:effectExtent l="0" t="0" r="3810" b="762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120921" cy="2183145"/>
                    </a:xfrm>
                    <a:prstGeom prst="rect">
                      <a:avLst/>
                    </a:prstGeom>
                  </pic:spPr>
                </pic:pic>
              </a:graphicData>
            </a:graphic>
          </wp:inline>
        </w:drawing>
      </w:r>
    </w:p>
    <w:p w14:paraId="50F74519" w14:textId="4D21FA4E" w:rsidR="00CD7E95" w:rsidRPr="002154F5" w:rsidRDefault="00CD7E95" w:rsidP="00CD7E95">
      <w:pPr>
        <w:pStyle w:val="Caption"/>
      </w:pPr>
      <w:r w:rsidRPr="002154F5">
        <w:t xml:space="preserve">Figure </w:t>
      </w:r>
      <w:r w:rsidR="008D1698">
        <w:t>11</w:t>
      </w:r>
      <w:r w:rsidR="008D1698" w:rsidRPr="002154F5">
        <w:t xml:space="preserve"> </w:t>
      </w:r>
      <w:r w:rsidRPr="002154F5">
        <w:t>– Operational risk</w:t>
      </w:r>
      <w:r w:rsidRPr="002154F5">
        <w:rPr>
          <w:rStyle w:val="FootnoteReference"/>
          <w:vertAlign w:val="superscript"/>
        </w:rPr>
        <w:footnoteReference w:id="42"/>
      </w:r>
    </w:p>
    <w:p w14:paraId="028A0CA7" w14:textId="1455ACE1" w:rsidR="00CD7E95" w:rsidRPr="00CF17CE" w:rsidRDefault="00B41414" w:rsidP="003F45DE">
      <w:pPr>
        <w:tabs>
          <w:tab w:val="left" w:pos="4500"/>
        </w:tabs>
        <w:spacing w:before="60" w:after="60"/>
        <w:jc w:val="both"/>
      </w:pPr>
      <w:r>
        <w:t>As a t</w:t>
      </w:r>
      <w:r w:rsidR="00CD7E95" w:rsidRPr="006739FF">
        <w:t xml:space="preserve">hird example, the </w:t>
      </w:r>
      <w:r w:rsidR="0044327B">
        <w:t>a</w:t>
      </w:r>
      <w:r w:rsidR="00CD7E95" w:rsidRPr="006739FF">
        <w:t>eronautic</w:t>
      </w:r>
      <w:r w:rsidR="0044327B">
        <w:t>al</w:t>
      </w:r>
      <w:r w:rsidR="00CD7E95" w:rsidRPr="006739FF">
        <w:t xml:space="preserve"> </w:t>
      </w:r>
      <w:r w:rsidR="0044327B">
        <w:t>i</w:t>
      </w:r>
      <w:r w:rsidR="00CD7E95" w:rsidRPr="006739FF">
        <w:t xml:space="preserve">ndustry also collects data about incidents to improve </w:t>
      </w:r>
      <w:r w:rsidR="00CD7E95">
        <w:t xml:space="preserve">accident prevention and </w:t>
      </w:r>
      <w:r w:rsidR="00CD7E95" w:rsidRPr="006739FF">
        <w:t xml:space="preserve">risk management for the whole </w:t>
      </w:r>
      <w:r w:rsidR="00CD7E95">
        <w:t>I</w:t>
      </w:r>
      <w:r w:rsidR="00CD7E95" w:rsidRPr="006739FF">
        <w:t>ndustry</w:t>
      </w:r>
      <w:r w:rsidR="00CD7E95" w:rsidRPr="002154F5">
        <w:rPr>
          <w:vertAlign w:val="superscript"/>
        </w:rPr>
        <w:footnoteReference w:id="43"/>
      </w:r>
      <w:r w:rsidR="00CD7E95" w:rsidRPr="006739FF">
        <w:t>.</w:t>
      </w:r>
      <w:r w:rsidR="003F45DE">
        <w:t xml:space="preserve"> </w:t>
      </w:r>
      <w:r w:rsidR="0044327B" w:rsidRPr="002F70FA">
        <w:t xml:space="preserve">Such collections should be organized at a high level in the Smart Cities and IoT </w:t>
      </w:r>
      <w:r w:rsidR="003F45DE">
        <w:t xml:space="preserve">ecosystem </w:t>
      </w:r>
      <w:r w:rsidR="0044327B" w:rsidRPr="002F70FA">
        <w:t xml:space="preserve">to help the whole ecosystem </w:t>
      </w:r>
      <w:r w:rsidR="003F45DE">
        <w:t xml:space="preserve">in </w:t>
      </w:r>
      <w:r w:rsidR="0044327B" w:rsidRPr="002F70FA">
        <w:t>improving risk assessment</w:t>
      </w:r>
      <w:r w:rsidR="003F45DE">
        <w:t>s</w:t>
      </w:r>
      <w:r w:rsidR="0044327B" w:rsidRPr="002F70FA">
        <w:t>.</w:t>
      </w:r>
    </w:p>
    <w:p w14:paraId="0514049D" w14:textId="069ADEF4" w:rsidR="00CD7E95" w:rsidRDefault="00CD7E95" w:rsidP="003F45DE">
      <w:pPr>
        <w:pStyle w:val="Heading4"/>
        <w:numPr>
          <w:ilvl w:val="0"/>
          <w:numId w:val="39"/>
        </w:numPr>
        <w:rPr>
          <w:lang w:val="en-US"/>
        </w:rPr>
      </w:pPr>
      <w:r w:rsidRPr="00CE4A8E">
        <w:rPr>
          <w:lang w:val="en-US"/>
        </w:rPr>
        <w:lastRenderedPageBreak/>
        <w:t xml:space="preserve">Risk </w:t>
      </w:r>
      <w:r>
        <w:rPr>
          <w:lang w:val="en-US"/>
        </w:rPr>
        <w:t>evaluation</w:t>
      </w:r>
    </w:p>
    <w:p w14:paraId="6C01B960" w14:textId="77777777" w:rsidR="00CD7E95" w:rsidRPr="005E762C" w:rsidRDefault="00CD7E95" w:rsidP="003F45DE">
      <w:pPr>
        <w:tabs>
          <w:tab w:val="left" w:pos="4500"/>
        </w:tabs>
        <w:spacing w:before="60" w:after="60"/>
        <w:jc w:val="both"/>
      </w:pPr>
      <w:r w:rsidRPr="005E762C">
        <w:t>“The purpose of risk evaluation is to assist in making decisions, based on the outcomes of risk analysis, about which risks need treatment and the priority for treatment implementation. Decisions should take account of the wider context of the risk and include consideration of the tolerance of the risks borne by parties other than the organization that benefits from the risk”</w:t>
      </w:r>
      <w:r w:rsidRPr="005E762C">
        <w:rPr>
          <w:rStyle w:val="FootnoteReference"/>
        </w:rPr>
        <w:t xml:space="preserve"> </w:t>
      </w:r>
      <w:r w:rsidRPr="005E762C">
        <w:rPr>
          <w:rStyle w:val="FootnoteReference"/>
        </w:rPr>
        <w:footnoteReference w:id="44"/>
      </w:r>
    </w:p>
    <w:p w14:paraId="19318D81" w14:textId="799A1294" w:rsidR="00CD7E95" w:rsidRDefault="00CD7E95" w:rsidP="003F45DE">
      <w:pPr>
        <w:tabs>
          <w:tab w:val="left" w:pos="4500"/>
        </w:tabs>
        <w:spacing w:before="60" w:after="60"/>
        <w:jc w:val="both"/>
      </w:pPr>
      <w:r w:rsidRPr="005E762C">
        <w:t xml:space="preserve">Risk evaluation and decisions should take into account the organizations tolerance, also called risk appetite: “Risk appetite can be defined as ‘the amount and type of risk that an organization is willing </w:t>
      </w:r>
      <w:r w:rsidRPr="00CE4A8E">
        <w:t>to take in order to meet their strategic objectives</w:t>
      </w:r>
      <w:r>
        <w:t xml:space="preserve">. […] </w:t>
      </w:r>
      <w:r w:rsidRPr="00CE4A8E">
        <w:t>Organizations have to take some risks and avoid others. To do so, they need to be clear about what successful performance looks like. This question may be easier to answer for a commercial organization than for a government department,</w:t>
      </w:r>
      <w:r w:rsidR="003F45DE">
        <w:t xml:space="preserve"> </w:t>
      </w:r>
      <w:r w:rsidRPr="00CE4A8E">
        <w:t>but can usefully be asked by boards in all sectors</w:t>
      </w:r>
      <w:r>
        <w:rPr>
          <w:rFonts w:ascii="Arial" w:hAnsi="Arial" w:cs="Arial"/>
          <w:color w:val="000000"/>
        </w:rPr>
        <w:t>.”</w:t>
      </w:r>
      <w:r>
        <w:rPr>
          <w:rStyle w:val="FootnoteReference"/>
        </w:rPr>
        <w:footnoteReference w:id="45"/>
      </w:r>
      <w:r w:rsidRPr="00CE4A8E">
        <w:t>.</w:t>
      </w:r>
      <w:r>
        <w:t xml:space="preserve"> This quote, from Institute of risk management, invites all kind of organization to discuss their risk appetite, whatever the difficulty to do so. The maximum risk an organization, an ecosystem is willing to take is something that should be clearly articulate and communicate. The risk appetite of any organization should be defined. This means that the amount of loss that the organization accepts (is able) to bear should be assessed to adapt the risk treatment accordingly.</w:t>
      </w:r>
    </w:p>
    <w:p w14:paraId="4B6B448C" w14:textId="5BDA0BCD" w:rsidR="00CD7E95" w:rsidRDefault="00CD7E95" w:rsidP="003F45DE">
      <w:pPr>
        <w:spacing w:line="276" w:lineRule="auto"/>
        <w:contextualSpacing/>
        <w:jc w:val="both"/>
      </w:pPr>
      <w:r>
        <w:t xml:space="preserve">In other words, </w:t>
      </w:r>
      <w:r w:rsidR="007946C5">
        <w:t>SC&amp;C</w:t>
      </w:r>
      <w:r w:rsidRPr="007C6816">
        <w:t xml:space="preserve"> and IoT stakeholders should be able to assess their risk appetite and manage the consequences and the costs of uncertainty generated by their operations</w:t>
      </w:r>
      <w:r>
        <w:t>.</w:t>
      </w:r>
    </w:p>
    <w:p w14:paraId="6D318972" w14:textId="5BAB0599" w:rsidR="00CD7E95" w:rsidRPr="0044327B" w:rsidRDefault="00CD7E95" w:rsidP="003F45DE">
      <w:pPr>
        <w:pStyle w:val="Heading4"/>
        <w:numPr>
          <w:ilvl w:val="0"/>
          <w:numId w:val="39"/>
        </w:numPr>
        <w:rPr>
          <w:szCs w:val="24"/>
          <w:lang w:val="en-US"/>
        </w:rPr>
      </w:pPr>
      <w:r w:rsidRPr="0044327B">
        <w:rPr>
          <w:szCs w:val="24"/>
          <w:lang w:val="en-US"/>
        </w:rPr>
        <w:t>Risk treatment</w:t>
      </w:r>
    </w:p>
    <w:p w14:paraId="2072CB68" w14:textId="77777777" w:rsidR="00CD7E95" w:rsidRPr="0044327B" w:rsidRDefault="00CD7E95" w:rsidP="00CD7E95">
      <w:pPr>
        <w:tabs>
          <w:tab w:val="left" w:pos="4500"/>
        </w:tabs>
        <w:spacing w:before="60" w:after="60"/>
      </w:pPr>
      <w:r w:rsidRPr="0044327B">
        <w:t xml:space="preserve">Risk </w:t>
      </w:r>
      <w:r w:rsidRPr="00CC413D">
        <w:t>treatment can be defined as “preventive measures designed to minimize the probability that the negative events described can occur [and] containment measures designed to detect and limit the effects on the</w:t>
      </w:r>
      <w:r w:rsidRPr="00642074">
        <w:t xml:space="preserve"> business of events which</w:t>
      </w:r>
      <w:r w:rsidRPr="008E18D4">
        <w:t xml:space="preserve"> bypass preventive controls and threaten operations.”</w:t>
      </w:r>
      <w:r w:rsidRPr="003F45DE">
        <w:rPr>
          <w:rStyle w:val="FootnoteReference"/>
          <w:sz w:val="24"/>
        </w:rPr>
        <w:t xml:space="preserve"> </w:t>
      </w:r>
      <w:r w:rsidRPr="003F45DE">
        <w:rPr>
          <w:rStyle w:val="FootnoteReference"/>
        </w:rPr>
        <w:footnoteReference w:id="46"/>
      </w:r>
      <w:r w:rsidRPr="0044327B">
        <w:t xml:space="preserve"> </w:t>
      </w:r>
    </w:p>
    <w:p w14:paraId="4F197565" w14:textId="77777777" w:rsidR="0044327B" w:rsidRPr="00642074" w:rsidRDefault="00CD7E95" w:rsidP="00CD7E95">
      <w:pPr>
        <w:tabs>
          <w:tab w:val="left" w:pos="4500"/>
        </w:tabs>
        <w:spacing w:before="60" w:after="60"/>
      </w:pPr>
      <w:r w:rsidRPr="0044327B">
        <w:t xml:space="preserve">Four </w:t>
      </w:r>
      <w:r w:rsidRPr="00CC413D">
        <w:t xml:space="preserve">risks responses are commonly described and used by the risk managers community to treat the risk: </w:t>
      </w:r>
    </w:p>
    <w:p w14:paraId="2DBC2327" w14:textId="77777777" w:rsidR="0044327B" w:rsidRPr="003F45DE" w:rsidRDefault="00CD7E95" w:rsidP="0044327B">
      <w:pPr>
        <w:pStyle w:val="ListParagraph"/>
        <w:numPr>
          <w:ilvl w:val="0"/>
          <w:numId w:val="37"/>
        </w:numPr>
        <w:tabs>
          <w:tab w:val="left" w:pos="4500"/>
        </w:tabs>
        <w:spacing w:before="60" w:after="60"/>
        <w:rPr>
          <w:rFonts w:ascii="Times New Roman" w:hAnsi="Times New Roman" w:cs="Times New Roman"/>
          <w:sz w:val="24"/>
          <w:szCs w:val="24"/>
        </w:rPr>
      </w:pPr>
      <w:r w:rsidRPr="003F45DE">
        <w:rPr>
          <w:rFonts w:ascii="Times New Roman" w:hAnsi="Times New Roman" w:cs="Times New Roman"/>
          <w:sz w:val="24"/>
          <w:szCs w:val="24"/>
        </w:rPr>
        <w:t xml:space="preserve">Modification, </w:t>
      </w:r>
    </w:p>
    <w:p w14:paraId="219331C1" w14:textId="77777777" w:rsidR="0044327B" w:rsidRPr="003F45DE" w:rsidRDefault="00CD7E95" w:rsidP="0044327B">
      <w:pPr>
        <w:pStyle w:val="ListParagraph"/>
        <w:numPr>
          <w:ilvl w:val="0"/>
          <w:numId w:val="37"/>
        </w:numPr>
        <w:tabs>
          <w:tab w:val="left" w:pos="4500"/>
        </w:tabs>
        <w:spacing w:before="60" w:after="60"/>
        <w:rPr>
          <w:rFonts w:ascii="Times New Roman" w:hAnsi="Times New Roman" w:cs="Times New Roman"/>
          <w:sz w:val="24"/>
          <w:szCs w:val="24"/>
        </w:rPr>
      </w:pPr>
      <w:r w:rsidRPr="003F45DE">
        <w:rPr>
          <w:rFonts w:ascii="Times New Roman" w:hAnsi="Times New Roman" w:cs="Times New Roman"/>
          <w:sz w:val="24"/>
          <w:szCs w:val="24"/>
        </w:rPr>
        <w:t xml:space="preserve">Retention, </w:t>
      </w:r>
    </w:p>
    <w:p w14:paraId="42D91222" w14:textId="77777777" w:rsidR="0044327B" w:rsidRPr="003F45DE" w:rsidRDefault="00CD7E95" w:rsidP="0044327B">
      <w:pPr>
        <w:pStyle w:val="ListParagraph"/>
        <w:numPr>
          <w:ilvl w:val="0"/>
          <w:numId w:val="37"/>
        </w:numPr>
        <w:tabs>
          <w:tab w:val="left" w:pos="4500"/>
        </w:tabs>
        <w:spacing w:before="60" w:after="60"/>
        <w:rPr>
          <w:rFonts w:ascii="Times New Roman" w:hAnsi="Times New Roman" w:cs="Times New Roman"/>
          <w:sz w:val="24"/>
          <w:szCs w:val="24"/>
        </w:rPr>
      </w:pPr>
      <w:r w:rsidRPr="003F45DE">
        <w:rPr>
          <w:rFonts w:ascii="Times New Roman" w:hAnsi="Times New Roman" w:cs="Times New Roman"/>
          <w:sz w:val="24"/>
          <w:szCs w:val="24"/>
        </w:rPr>
        <w:t xml:space="preserve">Avoidance, </w:t>
      </w:r>
    </w:p>
    <w:p w14:paraId="4638A13E" w14:textId="77777777" w:rsidR="0044327B" w:rsidRPr="003F45DE" w:rsidRDefault="00CD7E95" w:rsidP="0044327B">
      <w:pPr>
        <w:pStyle w:val="ListParagraph"/>
        <w:numPr>
          <w:ilvl w:val="0"/>
          <w:numId w:val="37"/>
        </w:numPr>
        <w:tabs>
          <w:tab w:val="left" w:pos="4500"/>
        </w:tabs>
        <w:spacing w:before="60" w:after="60"/>
        <w:rPr>
          <w:rFonts w:ascii="Times New Roman" w:hAnsi="Times New Roman" w:cs="Times New Roman"/>
          <w:sz w:val="24"/>
          <w:szCs w:val="24"/>
        </w:rPr>
      </w:pPr>
      <w:r w:rsidRPr="003F45DE">
        <w:rPr>
          <w:rFonts w:ascii="Times New Roman" w:hAnsi="Times New Roman" w:cs="Times New Roman"/>
          <w:sz w:val="24"/>
          <w:szCs w:val="24"/>
        </w:rPr>
        <w:t xml:space="preserve">Sharing. </w:t>
      </w:r>
    </w:p>
    <w:p w14:paraId="6EF22B52" w14:textId="364660FA" w:rsidR="00CD7E95" w:rsidRPr="0069280E" w:rsidRDefault="0044327B" w:rsidP="003F45DE">
      <w:pPr>
        <w:tabs>
          <w:tab w:val="left" w:pos="4500"/>
        </w:tabs>
        <w:spacing w:before="60" w:after="60"/>
        <w:jc w:val="both"/>
      </w:pPr>
      <w:r>
        <w:t xml:space="preserve">So, various actions, such as </w:t>
      </w:r>
      <w:r w:rsidR="003F45DE">
        <w:t xml:space="preserve">the </w:t>
      </w:r>
      <w:r>
        <w:t xml:space="preserve">improvement of tools and processes, monitoring and control, training, data literacy, insurance, subcontracting etc. </w:t>
      </w:r>
      <w:r w:rsidR="003F45DE">
        <w:t xml:space="preserve">all </w:t>
      </w:r>
      <w:r>
        <w:t xml:space="preserve">contribute </w:t>
      </w:r>
      <w:r w:rsidR="003F45DE">
        <w:t>in addressing</w:t>
      </w:r>
      <w:r>
        <w:t xml:space="preserve"> risks.</w:t>
      </w:r>
      <w:r w:rsidR="003F45DE">
        <w:t xml:space="preserve"> </w:t>
      </w:r>
      <w:r w:rsidR="00CD7E95" w:rsidRPr="0044327B">
        <w:t>An efficient risk management process consists in taking risk treatment decision</w:t>
      </w:r>
      <w:r w:rsidR="003F45DE">
        <w:t>s</w:t>
      </w:r>
      <w:r w:rsidR="00CD7E95" w:rsidRPr="0044327B">
        <w:t xml:space="preserve"> based on a multidimensional analytics approach including the environment, the culture, the severity of the potential losses and th</w:t>
      </w:r>
      <w:r w:rsidR="00CD7E95" w:rsidRPr="00CC413D">
        <w:t xml:space="preserve">e risk appetite. </w:t>
      </w:r>
    </w:p>
    <w:p w14:paraId="53975BE8" w14:textId="70B32C7B" w:rsidR="00CD7E95" w:rsidRPr="00BE2B43" w:rsidRDefault="00CD7E95" w:rsidP="00CD7E95"/>
    <w:p w14:paraId="70ADC458" w14:textId="429538F9" w:rsidR="00CD7E95" w:rsidRDefault="0084325E" w:rsidP="00CD7E95">
      <w:pPr>
        <w:pStyle w:val="Heading3"/>
      </w:pPr>
      <w:bookmarkStart w:id="75" w:name="_Toc4629849"/>
      <w:bookmarkStart w:id="76" w:name="_Toc14367840"/>
      <w:r>
        <w:t>6</w:t>
      </w:r>
      <w:r w:rsidR="00CD7E95">
        <w:t>.3.3</w:t>
      </w:r>
      <w:r w:rsidR="00CD7E95">
        <w:tab/>
        <w:t>Guidance for organisations and ecosystems</w:t>
      </w:r>
      <w:bookmarkEnd w:id="75"/>
      <w:bookmarkEnd w:id="76"/>
    </w:p>
    <w:p w14:paraId="5DC273BC" w14:textId="2C315B50" w:rsidR="0044327B" w:rsidRPr="00446FA1" w:rsidRDefault="0044327B" w:rsidP="003F45DE">
      <w:pPr>
        <w:jc w:val="both"/>
      </w:pPr>
      <w:r w:rsidRPr="0044327B">
        <w:t>Each and every project</w:t>
      </w:r>
      <w:r w:rsidRPr="00CC413D">
        <w:t xml:space="preserve"> under construction should be challenged in the light of identified</w:t>
      </w:r>
      <w:r w:rsidRPr="003F45DE">
        <w:t xml:space="preserve"> </w:t>
      </w:r>
      <w:r w:rsidRPr="0044327B">
        <w:t>risks and threats to ensure their success in term of economics, social and societal growth. Whatever the chosen methodology</w:t>
      </w:r>
      <w:r w:rsidRPr="00CC413D">
        <w:t xml:space="preserve">, based on the 4-steps </w:t>
      </w:r>
      <w:r w:rsidRPr="00642074">
        <w:t>canvas</w:t>
      </w:r>
      <w:r w:rsidRPr="008E18D4">
        <w:t xml:space="preserve"> described in 6.2, </w:t>
      </w:r>
      <w:r w:rsidR="003F45DE">
        <w:t xml:space="preserve">the </w:t>
      </w:r>
      <w:r w:rsidR="003F45DE" w:rsidRPr="008E18D4">
        <w:t xml:space="preserve">following best practices </w:t>
      </w:r>
      <w:r w:rsidRPr="008E18D4">
        <w:t>are proposed:</w:t>
      </w:r>
    </w:p>
    <w:p w14:paraId="07DED6CE" w14:textId="77777777" w:rsidR="0044327B" w:rsidRPr="00446FA1" w:rsidRDefault="0044327B" w:rsidP="0044327B"/>
    <w:p w14:paraId="0AE358B5" w14:textId="77777777" w:rsidR="0044327B" w:rsidRPr="003F45DE" w:rsidRDefault="0044327B" w:rsidP="0044327B">
      <w:pPr>
        <w:pStyle w:val="ListParagraph"/>
        <w:numPr>
          <w:ilvl w:val="0"/>
          <w:numId w:val="38"/>
        </w:num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hAnsi="Times New Roman" w:cs="Times New Roman"/>
          <w:sz w:val="24"/>
          <w:szCs w:val="24"/>
        </w:rPr>
      </w:pPr>
      <w:r w:rsidRPr="003F45DE">
        <w:rPr>
          <w:rFonts w:ascii="Times New Roman" w:hAnsi="Times New Roman" w:cs="Times New Roman"/>
          <w:sz w:val="24"/>
          <w:szCs w:val="24"/>
        </w:rPr>
        <w:t>Risk identification:</w:t>
      </w:r>
    </w:p>
    <w:p w14:paraId="4ECED040" w14:textId="40ADC76E" w:rsidR="0044327B" w:rsidRPr="0044327B" w:rsidRDefault="0044327B" w:rsidP="003F45DE">
      <w:pPr>
        <w:jc w:val="both"/>
      </w:pPr>
      <w:r w:rsidRPr="0044327B">
        <w:t xml:space="preserve">A list </w:t>
      </w:r>
      <w:r w:rsidRPr="00CC413D">
        <w:t xml:space="preserve">of typical threats is a foundation that must be completed by a list of specific threats related to the studied project/environment/perimeter. In the context of our focus group, we identified four families of specific risks related to data </w:t>
      </w:r>
      <w:r w:rsidRPr="00642074">
        <w:t>processing a</w:t>
      </w:r>
      <w:r w:rsidRPr="008E18D4">
        <w:t xml:space="preserve">nd management in </w:t>
      </w:r>
      <w:r w:rsidR="007946C5">
        <w:t>SC&amp;C</w:t>
      </w:r>
      <w:r w:rsidRPr="008E18D4">
        <w:t xml:space="preserve"> and IoT (Figure</w:t>
      </w:r>
      <w:r w:rsidRPr="00446FA1">
        <w:t xml:space="preserve"> 16</w:t>
      </w:r>
      <w:r w:rsidRPr="00963C94">
        <w:t xml:space="preserve"> in </w:t>
      </w:r>
      <w:r w:rsidRPr="00963C94">
        <w:lastRenderedPageBreak/>
        <w:t>4.3</w:t>
      </w:r>
      <w:r w:rsidRPr="00BF0EE7">
        <w:t>). But d</w:t>
      </w:r>
      <w:r w:rsidRPr="0057540B">
        <w:t xml:space="preserve">ata-related threats evolve </w:t>
      </w:r>
      <w:r w:rsidRPr="008230DD">
        <w:t>as smart cities and IoT develop, prompting the evolution of the risk management fundamentals of threat lists. Hence,</w:t>
      </w:r>
      <w:r w:rsidRPr="0069280E">
        <w:t xml:space="preserve"> it is advisable to continually enrich and upda</w:t>
      </w:r>
      <w:r w:rsidRPr="0044327B">
        <w:t>te the lists of typical and specific threats on a regular basis.</w:t>
      </w:r>
      <w:r w:rsidRPr="003F45DE">
        <w:rPr>
          <w:rStyle w:val="FootnoteReference"/>
        </w:rPr>
        <w:footnoteReference w:id="47"/>
      </w:r>
    </w:p>
    <w:p w14:paraId="6F17FF70" w14:textId="77777777" w:rsidR="0044327B" w:rsidRPr="00CC413D" w:rsidRDefault="0044327B" w:rsidP="0044327B"/>
    <w:p w14:paraId="06AF63E0" w14:textId="77777777" w:rsidR="0044327B" w:rsidRPr="003F45DE" w:rsidRDefault="0044327B" w:rsidP="0044327B">
      <w:pPr>
        <w:pStyle w:val="ListParagraph"/>
        <w:numPr>
          <w:ilvl w:val="0"/>
          <w:numId w:val="38"/>
        </w:numPr>
        <w:tabs>
          <w:tab w:val="left" w:pos="794"/>
          <w:tab w:val="left" w:pos="1191"/>
          <w:tab w:val="left" w:pos="1588"/>
          <w:tab w:val="left" w:pos="1985"/>
          <w:tab w:val="left" w:pos="4500"/>
        </w:tabs>
        <w:overflowPunct w:val="0"/>
        <w:autoSpaceDE w:val="0"/>
        <w:autoSpaceDN w:val="0"/>
        <w:adjustRightInd w:val="0"/>
        <w:spacing w:before="60" w:after="60" w:line="240" w:lineRule="auto"/>
        <w:textAlignment w:val="baseline"/>
        <w:rPr>
          <w:rFonts w:ascii="Times New Roman" w:hAnsi="Times New Roman" w:cs="Times New Roman"/>
          <w:sz w:val="24"/>
          <w:szCs w:val="24"/>
        </w:rPr>
      </w:pPr>
      <w:r w:rsidRPr="003F45DE">
        <w:rPr>
          <w:rFonts w:ascii="Times New Roman" w:hAnsi="Times New Roman" w:cs="Times New Roman"/>
          <w:sz w:val="24"/>
          <w:szCs w:val="24"/>
        </w:rPr>
        <w:t>Risk analysis</w:t>
      </w:r>
    </w:p>
    <w:p w14:paraId="73E55496" w14:textId="5D82C1FF" w:rsidR="0044327B" w:rsidRPr="0044327B" w:rsidRDefault="0044327B" w:rsidP="003F45DE">
      <w:pPr>
        <w:tabs>
          <w:tab w:val="left" w:pos="4500"/>
        </w:tabs>
        <w:spacing w:before="60" w:after="60"/>
        <w:jc w:val="both"/>
      </w:pPr>
      <w:r w:rsidRPr="0044327B">
        <w:t xml:space="preserve">Based on the experience of other industries, such as banking or aeronautics, </w:t>
      </w:r>
      <w:r w:rsidRPr="00CC413D">
        <w:t xml:space="preserve">it could be benefic to start building, without delay, a loss collection related to Data Processing and Management in IoT and </w:t>
      </w:r>
      <w:r w:rsidR="007946C5">
        <w:t>SC&amp;C</w:t>
      </w:r>
      <w:r w:rsidRPr="00CC413D">
        <w:t>, fed and shared by all the stakeholders, to help the Ecosystem manag</w:t>
      </w:r>
      <w:r w:rsidRPr="00642074">
        <w:t>ing</w:t>
      </w:r>
      <w:r w:rsidRPr="008E18D4">
        <w:t xml:space="preserve"> its risks and improving</w:t>
      </w:r>
      <w:r w:rsidRPr="00446FA1">
        <w:t xml:space="preserve"> the risk assessment’s</w:t>
      </w:r>
      <w:r w:rsidRPr="00963C94">
        <w:t xml:space="preserve"> accuracy</w:t>
      </w:r>
      <w:r w:rsidRPr="00BF0EE7">
        <w:t xml:space="preserve"> by facilitating </w:t>
      </w:r>
      <w:r w:rsidRPr="0057540B">
        <w:t>lik</w:t>
      </w:r>
      <w:r w:rsidRPr="008230DD">
        <w:t>elihood calculation</w:t>
      </w:r>
      <w:r w:rsidRPr="006C5D9F">
        <w:t>.</w:t>
      </w:r>
      <w:r w:rsidR="003F45DE">
        <w:t xml:space="preserve"> </w:t>
      </w:r>
      <w:r w:rsidRPr="0069280E">
        <w:t xml:space="preserve">Such collections should be organized at a high level to </w:t>
      </w:r>
      <w:r w:rsidRPr="0044327B">
        <w:t>benefit the whole ecosystem.</w:t>
      </w:r>
    </w:p>
    <w:p w14:paraId="3FEAF15C" w14:textId="77777777" w:rsidR="0044327B" w:rsidRPr="0044327B" w:rsidRDefault="0044327B" w:rsidP="0044327B">
      <w:pPr>
        <w:tabs>
          <w:tab w:val="left" w:pos="4500"/>
        </w:tabs>
        <w:spacing w:before="60" w:after="60"/>
      </w:pPr>
    </w:p>
    <w:p w14:paraId="573B2FF7" w14:textId="74AD21A9" w:rsidR="0044327B" w:rsidRPr="00C52C8B" w:rsidRDefault="0044327B" w:rsidP="00C52C8B">
      <w:pPr>
        <w:pStyle w:val="ListParagraph"/>
        <w:numPr>
          <w:ilvl w:val="0"/>
          <w:numId w:val="38"/>
        </w:numPr>
        <w:tabs>
          <w:tab w:val="left" w:pos="794"/>
          <w:tab w:val="left" w:pos="1191"/>
          <w:tab w:val="left" w:pos="1588"/>
          <w:tab w:val="left" w:pos="1985"/>
          <w:tab w:val="left" w:pos="4500"/>
        </w:tabs>
        <w:spacing w:before="60" w:after="60" w:line="240" w:lineRule="auto"/>
        <w:rPr>
          <w:rFonts w:ascii="Times New Roman" w:hAnsi="Times New Roman" w:cs="Times New Roman"/>
          <w:sz w:val="24"/>
          <w:szCs w:val="24"/>
        </w:rPr>
      </w:pPr>
      <w:r w:rsidRPr="00C52C8B">
        <w:rPr>
          <w:rFonts w:ascii="Times New Roman" w:hAnsi="Times New Roman" w:cs="Times New Roman"/>
          <w:sz w:val="24"/>
          <w:szCs w:val="24"/>
        </w:rPr>
        <w:t>Risk evaluation</w:t>
      </w:r>
    </w:p>
    <w:p w14:paraId="225E6C8B" w14:textId="7912B186" w:rsidR="0044327B" w:rsidRPr="0044327B" w:rsidRDefault="0044327B" w:rsidP="00C52C8B">
      <w:pPr>
        <w:tabs>
          <w:tab w:val="left" w:pos="4500"/>
        </w:tabs>
        <w:spacing w:before="60" w:after="60"/>
        <w:jc w:val="both"/>
      </w:pPr>
      <w:r w:rsidRPr="0044327B">
        <w:t xml:space="preserve">The question of </w:t>
      </w:r>
      <w:r w:rsidRPr="00CC413D">
        <w:t>risk appetite and, more pragmatically, who bears the risks and will have to bear the costs of uncertainty (companies, governments, cities or citizens?</w:t>
      </w:r>
      <w:r w:rsidRPr="00642074">
        <w:t>) is a critical issue.</w:t>
      </w:r>
      <w:r w:rsidRPr="008E18D4">
        <w:t xml:space="preserve"> The maximum risk an organization</w:t>
      </w:r>
      <w:r w:rsidRPr="00446FA1">
        <w:t xml:space="preserve"> or</w:t>
      </w:r>
      <w:r w:rsidRPr="00963C94">
        <w:t xml:space="preserve"> an ecosystem is willing to take is something that should be clearly articulate</w:t>
      </w:r>
      <w:r w:rsidR="00C52C8B">
        <w:t>d</w:t>
      </w:r>
      <w:r w:rsidRPr="00963C94">
        <w:t xml:space="preserve"> and communicate</w:t>
      </w:r>
      <w:r w:rsidR="00C52C8B">
        <w:t>d</w:t>
      </w:r>
      <w:r w:rsidRPr="00963C94">
        <w:t>.</w:t>
      </w:r>
      <w:r w:rsidRPr="00BF0EE7">
        <w:t xml:space="preserve"> The risk appetite of any organization should be defined. T</w:t>
      </w:r>
      <w:r w:rsidRPr="0057540B">
        <w:t xml:space="preserve">his means that the amount of </w:t>
      </w:r>
      <w:r w:rsidRPr="0069280E">
        <w:t>loss that the organization accepts (</w:t>
      </w:r>
      <w:r w:rsidR="00C52C8B">
        <w:t xml:space="preserve">or </w:t>
      </w:r>
      <w:r w:rsidRPr="0069280E">
        <w:t>is able) to bear should be assessed</w:t>
      </w:r>
      <w:r w:rsidRPr="0044327B">
        <w:t xml:space="preserve"> to adapt the risk treatment accordingly. Stakeholders should be able to assess their risk appetite and manage the consequences and the costs of uncertainty generated by their operations.</w:t>
      </w:r>
      <w:r w:rsidR="00C52C8B">
        <w:t xml:space="preserve"> </w:t>
      </w:r>
      <w:r w:rsidRPr="0044327B">
        <w:t>In a UN perspective, for each potential risk/breach, the Ecosystem should propose an appropriate response that preserves the poorest and most vulnerable people.</w:t>
      </w:r>
    </w:p>
    <w:p w14:paraId="1B76C9D2" w14:textId="77777777" w:rsidR="0044327B" w:rsidRPr="0044327B" w:rsidRDefault="0044327B" w:rsidP="0044327B">
      <w:pPr>
        <w:tabs>
          <w:tab w:val="left" w:pos="4500"/>
        </w:tabs>
        <w:spacing w:before="60" w:after="60"/>
        <w:rPr>
          <w:lang w:val="it-IT"/>
        </w:rPr>
      </w:pPr>
    </w:p>
    <w:p w14:paraId="41FE83DA" w14:textId="603AB436" w:rsidR="0044327B" w:rsidRPr="00C52C8B" w:rsidRDefault="0044327B" w:rsidP="0044327B">
      <w:pPr>
        <w:pStyle w:val="ListParagraph"/>
        <w:numPr>
          <w:ilvl w:val="0"/>
          <w:numId w:val="38"/>
        </w:numPr>
        <w:tabs>
          <w:tab w:val="left" w:pos="794"/>
          <w:tab w:val="left" w:pos="1191"/>
          <w:tab w:val="left" w:pos="1588"/>
          <w:tab w:val="left" w:pos="1985"/>
          <w:tab w:val="left" w:pos="4500"/>
        </w:tabs>
        <w:overflowPunct w:val="0"/>
        <w:autoSpaceDE w:val="0"/>
        <w:autoSpaceDN w:val="0"/>
        <w:adjustRightInd w:val="0"/>
        <w:spacing w:before="60" w:after="60" w:line="240" w:lineRule="auto"/>
        <w:textAlignment w:val="baseline"/>
        <w:rPr>
          <w:rFonts w:ascii="Times New Roman" w:hAnsi="Times New Roman" w:cs="Times New Roman"/>
          <w:sz w:val="24"/>
          <w:szCs w:val="24"/>
        </w:rPr>
      </w:pPr>
      <w:r w:rsidRPr="00C52C8B">
        <w:rPr>
          <w:rFonts w:ascii="Times New Roman" w:hAnsi="Times New Roman" w:cs="Times New Roman"/>
          <w:sz w:val="24"/>
          <w:szCs w:val="24"/>
        </w:rPr>
        <w:t>Risk treatment</w:t>
      </w:r>
    </w:p>
    <w:p w14:paraId="2DC51AC4" w14:textId="7CD705F2" w:rsidR="0044327B" w:rsidRPr="00CC413D" w:rsidRDefault="00C52C8B" w:rsidP="00C52C8B">
      <w:pPr>
        <w:tabs>
          <w:tab w:val="left" w:pos="4500"/>
        </w:tabs>
        <w:spacing w:before="60" w:after="60"/>
      </w:pPr>
      <w:r>
        <w:t>The following is</w:t>
      </w:r>
      <w:r w:rsidR="0044327B" w:rsidRPr="0044327B">
        <w:t xml:space="preserve"> a selection of efficient actions that can </w:t>
      </w:r>
      <w:r w:rsidR="0044327B" w:rsidRPr="00CC413D">
        <w:t>be taken in the specific context of DPM in IoT and SC&amp;C:</w:t>
      </w:r>
    </w:p>
    <w:p w14:paraId="7DA0A139" w14:textId="470E6175" w:rsidR="0044327B" w:rsidRPr="0044327B" w:rsidRDefault="0044327B" w:rsidP="0044327B">
      <w:pPr>
        <w:tabs>
          <w:tab w:val="left" w:pos="4500"/>
        </w:tabs>
        <w:spacing w:before="60" w:after="60"/>
        <w:ind w:left="360"/>
      </w:pPr>
      <w:r w:rsidRPr="00CC413D">
        <w:t>d.1</w:t>
      </w:r>
      <w:r w:rsidR="00C52C8B">
        <w:t xml:space="preserve"> </w:t>
      </w:r>
      <w:r w:rsidRPr="00CC413D">
        <w:t>-</w:t>
      </w:r>
      <w:r w:rsidR="00C52C8B">
        <w:t xml:space="preserve"> </w:t>
      </w:r>
      <w:r w:rsidRPr="00CC413D">
        <w:t>Data minimization</w:t>
      </w:r>
      <w:r w:rsidRPr="00C52C8B">
        <w:rPr>
          <w:rStyle w:val="FootnoteReference"/>
          <w:sz w:val="20"/>
        </w:rPr>
        <w:footnoteReference w:id="48"/>
      </w:r>
      <w:r w:rsidRPr="00A6007F">
        <w:t>:</w:t>
      </w:r>
    </w:p>
    <w:p w14:paraId="1656079D" w14:textId="77777777" w:rsidR="0044327B" w:rsidRPr="00CC413D" w:rsidRDefault="0044327B" w:rsidP="00A6007F">
      <w:pPr>
        <w:tabs>
          <w:tab w:val="left" w:pos="4500"/>
        </w:tabs>
        <w:spacing w:before="60" w:after="60"/>
        <w:jc w:val="both"/>
      </w:pPr>
      <w:r w:rsidRPr="00CC413D">
        <w:t>As of today, data are considered as an asset, and often compared to oil or gold. So then it is tempting to collect and store a maximum of data, even sometime “just in case” or for “legacy” purposes. This behavior is reinforced by the ease of storage at lower cost made possible by more and more efficient technologies.</w:t>
      </w:r>
    </w:p>
    <w:p w14:paraId="7D6EC7E8" w14:textId="77777777" w:rsidR="0044327B" w:rsidRPr="008E18D4" w:rsidRDefault="0044327B" w:rsidP="00A6007F">
      <w:pPr>
        <w:tabs>
          <w:tab w:val="left" w:pos="4500"/>
        </w:tabs>
        <w:spacing w:before="60" w:after="60"/>
        <w:jc w:val="both"/>
      </w:pPr>
      <w:r w:rsidRPr="00642074">
        <w:t xml:space="preserve">But data is not an asset like the others: ubiquity, obsolescence, heterogeneity (quality, format, historical depth…) make their management complicated and their value is related to a multiplicity of factors. </w:t>
      </w:r>
    </w:p>
    <w:p w14:paraId="1DF80020" w14:textId="77777777" w:rsidR="0044327B" w:rsidRPr="00446FA1" w:rsidRDefault="0044327B" w:rsidP="00A6007F">
      <w:pPr>
        <w:tabs>
          <w:tab w:val="left" w:pos="4500"/>
        </w:tabs>
        <w:spacing w:before="60" w:after="60"/>
        <w:jc w:val="both"/>
      </w:pPr>
      <w:r w:rsidRPr="008E18D4">
        <w:t>Hence, minimize data collection and storage has</w:t>
      </w:r>
      <w:r w:rsidRPr="00446FA1">
        <w:t xml:space="preserve"> often no impact on efficiency or business and reduces significantly the related risks.</w:t>
      </w:r>
    </w:p>
    <w:p w14:paraId="4E299461" w14:textId="77777777" w:rsidR="0044327B" w:rsidRPr="0044327B" w:rsidRDefault="0044327B" w:rsidP="00A6007F">
      <w:pPr>
        <w:tabs>
          <w:tab w:val="left" w:pos="4500"/>
        </w:tabs>
        <w:spacing w:before="60" w:after="60"/>
        <w:jc w:val="both"/>
      </w:pPr>
      <w:r w:rsidRPr="00963C94">
        <w:t>To support this, we can recall that</w:t>
      </w:r>
      <w:r w:rsidRPr="00BF0EE7">
        <w:t>,</w:t>
      </w:r>
      <w:r w:rsidRPr="0057540B">
        <w:t xml:space="preserve"> according Veritas Databerg report</w:t>
      </w:r>
      <w:r w:rsidRPr="00A6007F">
        <w:rPr>
          <w:rStyle w:val="FootnoteReference"/>
        </w:rPr>
        <w:footnoteReference w:id="49"/>
      </w:r>
      <w:r w:rsidRPr="0044327B">
        <w:t>, only 14% of data are business critical. The other 86% or either dark, or ROT (redundant, obsolete or trivial).</w:t>
      </w:r>
    </w:p>
    <w:p w14:paraId="2C2E3564" w14:textId="77777777" w:rsidR="0044327B" w:rsidRPr="00CC413D" w:rsidRDefault="0044327B" w:rsidP="00A6007F">
      <w:pPr>
        <w:tabs>
          <w:tab w:val="left" w:pos="4500"/>
        </w:tabs>
        <w:spacing w:before="60" w:after="60"/>
      </w:pPr>
      <w:r w:rsidRPr="00CC413D">
        <w:t>Two other examples:</w:t>
      </w:r>
    </w:p>
    <w:p w14:paraId="03C3033D" w14:textId="77777777" w:rsidR="0044327B" w:rsidRPr="0044327B" w:rsidRDefault="0044327B" w:rsidP="0044327B">
      <w:pPr>
        <w:pStyle w:val="bullet20"/>
        <w:numPr>
          <w:ilvl w:val="1"/>
          <w:numId w:val="1"/>
        </w:numPr>
        <w:tabs>
          <w:tab w:val="num" w:pos="622"/>
        </w:tabs>
        <w:ind w:left="993" w:hanging="284"/>
        <w:rPr>
          <w:lang w:val="en-US"/>
        </w:rPr>
      </w:pPr>
      <w:r w:rsidRPr="00CC413D">
        <w:rPr>
          <w:lang w:val="en-US"/>
        </w:rPr>
        <w:t>the French CNIL. From EBIOS methodology, guide to manage the risks. Frame Maintenance and Data destruction</w:t>
      </w:r>
      <w:r w:rsidRPr="00A6007F">
        <w:rPr>
          <w:lang w:val="en-US"/>
        </w:rPr>
        <w:t>.</w:t>
      </w:r>
      <w:r w:rsidRPr="00A6007F">
        <w:rPr>
          <w:rStyle w:val="FootnoteReference"/>
          <w:sz w:val="20"/>
          <w:lang w:val="fr-CH"/>
        </w:rPr>
        <w:footnoteReference w:id="50"/>
      </w:r>
      <w:r w:rsidRPr="00A6007F">
        <w:rPr>
          <w:lang w:val="en-US"/>
        </w:rPr>
        <w:t>.</w:t>
      </w:r>
    </w:p>
    <w:p w14:paraId="6B6000B1" w14:textId="77777777" w:rsidR="0044327B" w:rsidRPr="0044327B" w:rsidRDefault="0044327B" w:rsidP="0044327B">
      <w:pPr>
        <w:pStyle w:val="bullet20"/>
        <w:numPr>
          <w:ilvl w:val="1"/>
          <w:numId w:val="1"/>
        </w:numPr>
        <w:tabs>
          <w:tab w:val="num" w:pos="622"/>
        </w:tabs>
        <w:ind w:left="993" w:hanging="284"/>
        <w:rPr>
          <w:lang w:val="en-US"/>
        </w:rPr>
      </w:pPr>
      <w:r w:rsidRPr="00CC413D">
        <w:rPr>
          <w:lang w:val="en-US"/>
        </w:rPr>
        <w:lastRenderedPageBreak/>
        <w:t>Effective contingency plans, provisions for off-site backup of critical data files, of software and of hardware, as well as alternative means of processing information</w:t>
      </w:r>
      <w:r w:rsidRPr="00A6007F">
        <w:rPr>
          <w:rStyle w:val="FootnoteReference"/>
          <w:sz w:val="20"/>
          <w:lang w:val="en-US"/>
        </w:rPr>
        <w:footnoteReference w:id="51"/>
      </w:r>
      <w:r w:rsidRPr="00A6007F">
        <w:rPr>
          <w:lang w:val="en-US"/>
        </w:rPr>
        <w:t>.</w:t>
      </w:r>
    </w:p>
    <w:p w14:paraId="5D0775B8" w14:textId="77777777" w:rsidR="0044327B" w:rsidRPr="00CC413D" w:rsidRDefault="0044327B" w:rsidP="0044327B">
      <w:pPr>
        <w:pStyle w:val="bullet0"/>
        <w:tabs>
          <w:tab w:val="clear" w:pos="1342"/>
        </w:tabs>
        <w:ind w:left="0" w:firstLine="0"/>
        <w:rPr>
          <w:lang w:val="en-US"/>
        </w:rPr>
      </w:pPr>
    </w:p>
    <w:p w14:paraId="023BF195" w14:textId="77777777" w:rsidR="0044327B" w:rsidRPr="00CC413D" w:rsidRDefault="0044327B" w:rsidP="0044327B">
      <w:pPr>
        <w:pStyle w:val="bullet0"/>
        <w:ind w:firstLine="357"/>
      </w:pPr>
      <w:r w:rsidRPr="00CC413D">
        <w:rPr>
          <w:lang w:val="en-US"/>
        </w:rPr>
        <w:t>d.2-</w:t>
      </w:r>
      <w:r w:rsidRPr="00CC413D">
        <w:rPr>
          <w:lang w:val="en-US"/>
        </w:rPr>
        <w:tab/>
        <w:t>Foster data aggregation capabilities and end-to-end visibility of treatments</w:t>
      </w:r>
    </w:p>
    <w:p w14:paraId="50AF9D85" w14:textId="77777777" w:rsidR="0044327B" w:rsidRPr="0057540B" w:rsidRDefault="0044327B" w:rsidP="0044327B">
      <w:pPr>
        <w:pStyle w:val="bullet0"/>
        <w:numPr>
          <w:ilvl w:val="0"/>
          <w:numId w:val="1"/>
        </w:numPr>
        <w:tabs>
          <w:tab w:val="num" w:pos="1342"/>
        </w:tabs>
        <w:ind w:left="714" w:hanging="357"/>
      </w:pPr>
      <w:r w:rsidRPr="00CC413D">
        <w:rPr>
          <w:lang w:val="en-US"/>
        </w:rPr>
        <w:t xml:space="preserve">Global risk monitoring relies on the ability to analyze data and capture the big picture of an activity through a capacity of reporting and data aggregation. It also relies on the end-to-end visibility of treatments. </w:t>
      </w:r>
      <w:r w:rsidRPr="00CC413D">
        <w:t xml:space="preserve">Indeed, operational data governance is </w:t>
      </w:r>
      <w:r w:rsidRPr="00642074">
        <w:t>a condition to control, monitor and protect the ecosystem</w:t>
      </w:r>
      <w:r w:rsidRPr="008E18D4">
        <w:t xml:space="preserve"> as it allows the cartographic understanding of the data </w:t>
      </w:r>
      <w:r w:rsidRPr="00446FA1">
        <w:t xml:space="preserve">owned, used and stored by the system: </w:t>
      </w:r>
      <w:r w:rsidRPr="00963C94">
        <w:t>what data, who produces the data and why, where do the data come from and where are they stored and secu</w:t>
      </w:r>
      <w:r w:rsidRPr="00BF0EE7">
        <w:t>red.</w:t>
      </w:r>
    </w:p>
    <w:p w14:paraId="608EF787" w14:textId="45793F3B" w:rsidR="0044327B" w:rsidRPr="0044327B" w:rsidRDefault="0044327B" w:rsidP="00A6007F">
      <w:pPr>
        <w:pStyle w:val="bullet0"/>
        <w:numPr>
          <w:ilvl w:val="0"/>
          <w:numId w:val="1"/>
        </w:numPr>
        <w:tabs>
          <w:tab w:val="num" w:pos="1342"/>
        </w:tabs>
        <w:ind w:left="714" w:hanging="357"/>
      </w:pPr>
      <w:r w:rsidRPr="008230DD">
        <w:t>Main o</w:t>
      </w:r>
      <w:r w:rsidRPr="006C5D9F">
        <w:rPr>
          <w:lang w:val="en-US"/>
        </w:rPr>
        <w:t>bstacles to reporting, data aggregation capabilities an</w:t>
      </w:r>
      <w:r w:rsidRPr="0069280E">
        <w:rPr>
          <w:lang w:val="en-US"/>
        </w:rPr>
        <w:t xml:space="preserve">d end-to-end visibility are: shadow systems, existence of silos, system or language heterogeneity, problems of interoperability or technical issues. Hence, </w:t>
      </w:r>
      <w:r w:rsidRPr="0069280E">
        <w:t>organisations and ecosystems shoul</w:t>
      </w:r>
      <w:r w:rsidRPr="0044327B">
        <w:t xml:space="preserve">d also coordonate efforts at a high level to foster </w:t>
      </w:r>
      <w:r w:rsidRPr="0044327B">
        <w:rPr>
          <w:lang w:val="en-US"/>
        </w:rPr>
        <w:t>data aggregation capabilities and end-to-end visibility of treatments</w:t>
      </w:r>
      <w:r w:rsidRPr="00A6007F">
        <w:rPr>
          <w:rStyle w:val="FootnoteReference"/>
          <w:lang w:val="en-US"/>
        </w:rPr>
        <w:footnoteReference w:id="52"/>
      </w:r>
      <w:r w:rsidRPr="0044327B">
        <w:rPr>
          <w:lang w:val="en-US"/>
        </w:rPr>
        <w:t>.</w:t>
      </w:r>
    </w:p>
    <w:p w14:paraId="67BAEE60" w14:textId="77777777" w:rsidR="0044327B" w:rsidRPr="00CC413D" w:rsidRDefault="0044327B" w:rsidP="0044327B">
      <w:pPr>
        <w:pStyle w:val="bullet0"/>
      </w:pPr>
    </w:p>
    <w:p w14:paraId="0957CE24" w14:textId="77777777" w:rsidR="0044327B" w:rsidRPr="00CC413D" w:rsidRDefault="0044327B" w:rsidP="0044327B">
      <w:pPr>
        <w:pStyle w:val="bullet0"/>
        <w:tabs>
          <w:tab w:val="clear" w:pos="1342"/>
        </w:tabs>
        <w:ind w:left="360" w:firstLine="0"/>
        <w:rPr>
          <w:lang w:val="en-US"/>
        </w:rPr>
      </w:pPr>
      <w:r w:rsidRPr="00CC413D">
        <w:rPr>
          <w:lang w:val="en-US"/>
        </w:rPr>
        <w:t>d.3-</w:t>
      </w:r>
      <w:r w:rsidRPr="00CC413D">
        <w:rPr>
          <w:lang w:val="en-US"/>
        </w:rPr>
        <w:tab/>
        <w:t>Communication</w:t>
      </w:r>
    </w:p>
    <w:p w14:paraId="088BF8D3" w14:textId="77777777" w:rsidR="0044327B" w:rsidRPr="00E416B9" w:rsidRDefault="0044327B" w:rsidP="0044327B">
      <w:pPr>
        <w:pStyle w:val="bullet1"/>
        <w:numPr>
          <w:ilvl w:val="0"/>
          <w:numId w:val="0"/>
        </w:numPr>
        <w:ind w:left="714"/>
        <w:rPr>
          <w:rFonts w:cs="Times New Roman"/>
        </w:rPr>
      </w:pPr>
      <w:r w:rsidRPr="00CC413D">
        <w:rPr>
          <w:rFonts w:cs="Times New Roman"/>
          <w:lang w:val="en-US"/>
        </w:rPr>
        <w:t>Risk management is a process, ongoing and flowing</w:t>
      </w:r>
      <w:r w:rsidRPr="00A6007F">
        <w:rPr>
          <w:rStyle w:val="FootnoteReference"/>
          <w:rFonts w:cs="Times New Roman"/>
          <w:sz w:val="20"/>
          <w:lang w:val="en-US"/>
        </w:rPr>
        <w:footnoteReference w:id="53"/>
      </w:r>
      <w:r w:rsidRPr="0044327B">
        <w:rPr>
          <w:rFonts w:cs="Times New Roman"/>
          <w:lang w:val="en-US"/>
        </w:rPr>
        <w:t xml:space="preserve"> through each entity of a system. It relies on guidelines, machines and people, at each stage of the organization. Thus, risk can be mitigated thanks to a</w:t>
      </w:r>
      <w:r w:rsidRPr="00CC413D">
        <w:rPr>
          <w:rFonts w:cs="Times New Roman"/>
          <w:lang w:val="en-US"/>
        </w:rPr>
        <w:t xml:space="preserve"> fluent communication between heterogeneous systems and players, and the dissemination of clear g</w:t>
      </w:r>
      <w:r w:rsidRPr="00CC413D">
        <w:rPr>
          <w:rFonts w:cs="Times New Roman"/>
          <w:noProof/>
          <w:lang w:val="en-US" w:eastAsia="fr-FR"/>
        </w:rPr>
        <w:t>uidel</w:t>
      </w:r>
      <w:r w:rsidRPr="00642074">
        <w:rPr>
          <w:rFonts w:cs="Times New Roman"/>
          <w:noProof/>
          <w:lang w:val="en-US" w:eastAsia="fr-FR"/>
        </w:rPr>
        <w:t>ines established and based on a common language</w:t>
      </w:r>
      <w:r w:rsidRPr="008E18D4">
        <w:rPr>
          <w:rFonts w:cs="Times New Roman"/>
          <w:noProof/>
          <w:lang w:val="en-US" w:eastAsia="fr-FR"/>
        </w:rPr>
        <w:t>, t</w:t>
      </w:r>
      <w:r w:rsidRPr="008E18D4">
        <w:rPr>
          <w:rFonts w:cs="Times New Roman"/>
        </w:rPr>
        <w:t>he availability of a readable documentation, including definitions and calcula</w:t>
      </w:r>
      <w:r w:rsidRPr="00446FA1">
        <w:rPr>
          <w:rFonts w:cs="Times New Roman"/>
        </w:rPr>
        <w:t>tion methodologies if any, clear labels and metadata</w:t>
      </w:r>
      <w:r w:rsidRPr="00446FA1">
        <w:rPr>
          <w:rFonts w:cs="Times New Roman"/>
          <w:noProof/>
          <w:lang w:val="en-US" w:eastAsia="fr-FR"/>
        </w:rPr>
        <w:t xml:space="preserve"> encouraging da</w:t>
      </w:r>
      <w:r w:rsidRPr="00963C94">
        <w:rPr>
          <w:rFonts w:cs="Times New Roman"/>
        </w:rPr>
        <w:t>ta lineage and e</w:t>
      </w:r>
      <w:r w:rsidRPr="00BF0EE7">
        <w:rPr>
          <w:rFonts w:cs="Times New Roman"/>
        </w:rPr>
        <w:t>nd-to-end visibility of data processing</w:t>
      </w:r>
      <w:r w:rsidRPr="0069280E">
        <w:rPr>
          <w:rFonts w:cs="Times New Roman"/>
        </w:rPr>
        <w:t>.</w:t>
      </w:r>
    </w:p>
    <w:p w14:paraId="7CD55D89" w14:textId="77777777" w:rsidR="0044327B" w:rsidRPr="0044327B" w:rsidRDefault="0044327B" w:rsidP="0044327B">
      <w:pPr>
        <w:pStyle w:val="bullet0"/>
        <w:tabs>
          <w:tab w:val="clear" w:pos="1342"/>
        </w:tabs>
        <w:ind w:left="360" w:firstLine="0"/>
      </w:pPr>
    </w:p>
    <w:p w14:paraId="20725B64" w14:textId="77777777" w:rsidR="0044327B" w:rsidRPr="0044327B" w:rsidRDefault="0044327B" w:rsidP="0044327B">
      <w:pPr>
        <w:pStyle w:val="bullet0"/>
        <w:ind w:left="360"/>
        <w:rPr>
          <w:lang w:val="en-US"/>
        </w:rPr>
      </w:pPr>
      <w:r w:rsidRPr="0044327B">
        <w:rPr>
          <w:lang w:val="en-US"/>
        </w:rPr>
        <w:t>d.4-</w:t>
      </w:r>
      <w:r w:rsidRPr="0044327B">
        <w:rPr>
          <w:lang w:val="en-US"/>
        </w:rPr>
        <w:tab/>
        <w:t>Dissemination of a risk and data culture</w:t>
      </w:r>
    </w:p>
    <w:p w14:paraId="5C6633EB" w14:textId="2A6CA051" w:rsidR="0044327B" w:rsidRPr="00A6007F" w:rsidRDefault="0044327B" w:rsidP="00A6007F">
      <w:pPr>
        <w:tabs>
          <w:tab w:val="left" w:pos="4500"/>
        </w:tabs>
        <w:spacing w:before="60" w:after="60"/>
        <w:ind w:left="714"/>
        <w:jc w:val="both"/>
      </w:pPr>
      <w:r w:rsidRPr="0044327B">
        <w:t>Risk can be mitigated thanks to the dissemination of data literacy and the development of a data culture. Awarness about data and risks is key to mitigate the risks. This postulate was one of the major themes of the Internet Governance Forum (</w:t>
      </w:r>
      <w:r w:rsidR="00A6007F">
        <w:t>D</w:t>
      </w:r>
      <w:r w:rsidRPr="0044327B">
        <w:t>ec. 2017, Geneva) whose title was “Shape your digital future!”</w:t>
      </w:r>
      <w:r w:rsidRPr="00A6007F">
        <w:rPr>
          <w:rStyle w:val="FootnoteReference"/>
          <w:sz w:val="22"/>
          <w:szCs w:val="22"/>
          <w:lang w:val="fr-BE"/>
        </w:rPr>
        <w:footnoteReference w:id="54"/>
      </w:r>
      <w:r w:rsidRPr="00A6007F">
        <w:t xml:space="preserve">. </w:t>
      </w:r>
      <w:r w:rsidRPr="0044327B">
        <w:t>Through these works and discussions, a consensus emerges about the three following points:</w:t>
      </w:r>
    </w:p>
    <w:p w14:paraId="57E2B86E" w14:textId="77777777" w:rsidR="0044327B" w:rsidRPr="0044327B" w:rsidRDefault="0044327B" w:rsidP="0044327B">
      <w:pPr>
        <w:pStyle w:val="bullet20"/>
        <w:numPr>
          <w:ilvl w:val="1"/>
          <w:numId w:val="1"/>
        </w:numPr>
        <w:tabs>
          <w:tab w:val="num" w:pos="622"/>
        </w:tabs>
        <w:ind w:left="993" w:hanging="284"/>
        <w:rPr>
          <w:lang w:val="en-US"/>
        </w:rPr>
      </w:pPr>
      <w:r w:rsidRPr="0044327B">
        <w:rPr>
          <w:lang w:val="en-US"/>
        </w:rPr>
        <w:t>The need to evaluate people available skills and compare them to the one that are needed to apprehend our digital world</w:t>
      </w:r>
      <w:r w:rsidRPr="00CC413D">
        <w:rPr>
          <w:lang w:val="en-US"/>
        </w:rPr>
        <w:t>. See for example, DigComp</w:t>
      </w:r>
      <w:r w:rsidRPr="0044327B">
        <w:rPr>
          <w:vertAlign w:val="superscript"/>
          <w:lang w:val="en-US"/>
        </w:rPr>
        <w:footnoteReference w:id="55"/>
      </w:r>
      <w:r w:rsidRPr="0044327B">
        <w:rPr>
          <w:lang w:val="en-US"/>
        </w:rPr>
        <w:t xml:space="preserve"> framework, or the proposition of personalized management of training and self-evaluation courses</w:t>
      </w:r>
      <w:r w:rsidRPr="0044327B">
        <w:rPr>
          <w:vertAlign w:val="superscript"/>
          <w:lang w:val="en-US"/>
        </w:rPr>
        <w:footnoteReference w:id="56"/>
      </w:r>
      <w:r w:rsidRPr="0044327B">
        <w:rPr>
          <w:lang w:val="en-US"/>
        </w:rPr>
        <w:t>;</w:t>
      </w:r>
    </w:p>
    <w:p w14:paraId="2FCA29AE" w14:textId="77777777" w:rsidR="0044327B" w:rsidRPr="0044327B" w:rsidRDefault="0044327B" w:rsidP="0044327B">
      <w:pPr>
        <w:pStyle w:val="bullet20"/>
        <w:numPr>
          <w:ilvl w:val="1"/>
          <w:numId w:val="1"/>
        </w:numPr>
        <w:tabs>
          <w:tab w:val="num" w:pos="622"/>
        </w:tabs>
        <w:ind w:left="993" w:hanging="284"/>
        <w:rPr>
          <w:lang w:val="en-US"/>
        </w:rPr>
      </w:pPr>
      <w:r w:rsidRPr="00CC413D">
        <w:rPr>
          <w:lang w:val="en-US"/>
        </w:rPr>
        <w:lastRenderedPageBreak/>
        <w:t>The need to bridge gaps and train individuals through continuous and flexible training plans. As remind us the council of Europe</w:t>
      </w:r>
      <w:r w:rsidRPr="0044327B">
        <w:rPr>
          <w:vertAlign w:val="superscript"/>
          <w:lang w:val="en-US"/>
        </w:rPr>
        <w:footnoteReference w:id="57"/>
      </w:r>
      <w:r w:rsidRPr="0044327B">
        <w:rPr>
          <w:lang w:val="en-US"/>
        </w:rPr>
        <w:t>, digital training is a process, not a state that individuals reach after validating a training;</w:t>
      </w:r>
    </w:p>
    <w:p w14:paraId="79ADCA41" w14:textId="77777777" w:rsidR="0044327B" w:rsidRPr="00CC413D" w:rsidRDefault="0044327B" w:rsidP="0044327B">
      <w:pPr>
        <w:pStyle w:val="bullet20"/>
        <w:numPr>
          <w:ilvl w:val="1"/>
          <w:numId w:val="1"/>
        </w:numPr>
        <w:tabs>
          <w:tab w:val="num" w:pos="622"/>
        </w:tabs>
        <w:ind w:left="993" w:hanging="284"/>
        <w:rPr>
          <w:lang w:val="en-US"/>
        </w:rPr>
      </w:pPr>
      <w:r w:rsidRPr="00CC413D">
        <w:rPr>
          <w:lang w:val="en-US"/>
        </w:rPr>
        <w:t>The need to become aware of the importance of soft skills, to encourage curiosity and creativity to understand and understand the digital world and the changes it generates.</w:t>
      </w:r>
    </w:p>
    <w:p w14:paraId="1B351BD9" w14:textId="77777777" w:rsidR="0044327B" w:rsidRPr="00CC413D" w:rsidRDefault="0044327B" w:rsidP="0044327B">
      <w:pPr>
        <w:pStyle w:val="bullet0"/>
        <w:tabs>
          <w:tab w:val="clear" w:pos="1342"/>
        </w:tabs>
        <w:ind w:left="0" w:firstLine="0"/>
        <w:rPr>
          <w:lang w:val="en-US"/>
        </w:rPr>
      </w:pPr>
    </w:p>
    <w:p w14:paraId="4FE9F756" w14:textId="31B75464" w:rsidR="0044327B" w:rsidRPr="008E18D4" w:rsidRDefault="0044327B" w:rsidP="00CD7E95">
      <w:r w:rsidRPr="00642074">
        <w:t>d.5</w:t>
      </w:r>
      <w:r w:rsidRPr="00642074">
        <w:tab/>
        <w:t>Coordination</w:t>
      </w:r>
    </w:p>
    <w:p w14:paraId="555267D7" w14:textId="65518491" w:rsidR="00CD7E95" w:rsidRDefault="00CD7E95" w:rsidP="003A6822">
      <w:pPr>
        <w:jc w:val="both"/>
      </w:pPr>
      <w:r>
        <w:t xml:space="preserve">Smart city management is needed on the risk management process. For instance if the data collected by a IoT system operator and provided as a dataset to a service provider is compromised, then the operations of the service provider will be compromised. </w:t>
      </w:r>
    </w:p>
    <w:p w14:paraId="55669751" w14:textId="2131CFEF" w:rsidR="00CD7E95" w:rsidRDefault="00CD7E95" w:rsidP="00CD7E95">
      <w:pPr>
        <w:pStyle w:val="bullet0"/>
        <w:numPr>
          <w:ilvl w:val="0"/>
          <w:numId w:val="1"/>
        </w:numPr>
        <w:tabs>
          <w:tab w:val="num" w:pos="1342"/>
        </w:tabs>
        <w:ind w:left="714" w:hanging="357"/>
      </w:pPr>
      <w:r>
        <w:t xml:space="preserve">each organization </w:t>
      </w:r>
      <w:r w:rsidR="00CC413D">
        <w:t xml:space="preserve">or project should </w:t>
      </w:r>
      <w:r>
        <w:t>carr</w:t>
      </w:r>
      <w:r w:rsidR="00CC413D">
        <w:t>y</w:t>
      </w:r>
      <w:r>
        <w:t xml:space="preserve"> out its own management of</w:t>
      </w:r>
      <w:r w:rsidR="003A6822">
        <w:t xml:space="preserve"> </w:t>
      </w:r>
      <w:r>
        <w:t>risk;</w:t>
      </w:r>
    </w:p>
    <w:p w14:paraId="5BC7F410" w14:textId="38C2B8A1" w:rsidR="00CD7E95" w:rsidRPr="0083767D" w:rsidRDefault="00CD7E95" w:rsidP="00CD7E95">
      <w:pPr>
        <w:pStyle w:val="bullet0"/>
        <w:numPr>
          <w:ilvl w:val="0"/>
          <w:numId w:val="1"/>
        </w:numPr>
        <w:tabs>
          <w:tab w:val="num" w:pos="1342"/>
        </w:tabs>
        <w:ind w:left="714" w:hanging="357"/>
        <w:rPr>
          <w:rStyle w:val="EditorNote"/>
          <w:i w:val="0"/>
        </w:rPr>
      </w:pPr>
      <w:r>
        <w:t>an overall coordination of risk management ensures a common understanding of the risks at ecosystem level.</w:t>
      </w:r>
    </w:p>
    <w:p w14:paraId="20EAEA66" w14:textId="77777777" w:rsidR="00CD7E95" w:rsidRDefault="00CD7E95" w:rsidP="00CD7E95">
      <w:pPr>
        <w:jc w:val="center"/>
      </w:pPr>
      <w:r w:rsidRPr="00DF73D4">
        <w:rPr>
          <w:noProof/>
          <w:lang w:val="en-GB"/>
        </w:rPr>
        <w:drawing>
          <wp:inline distT="0" distB="0" distL="0" distR="0" wp14:anchorId="2046CC41" wp14:editId="571697BA">
            <wp:extent cx="4003707" cy="1565139"/>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006773" cy="1566338"/>
                    </a:xfrm>
                    <a:prstGeom prst="rect">
                      <a:avLst/>
                    </a:prstGeom>
                  </pic:spPr>
                </pic:pic>
              </a:graphicData>
            </a:graphic>
          </wp:inline>
        </w:drawing>
      </w:r>
    </w:p>
    <w:p w14:paraId="6F2F03B3" w14:textId="48CAD652" w:rsidR="00CD7E95" w:rsidRPr="0077794A" w:rsidRDefault="00CD7E95" w:rsidP="00CD7E95">
      <w:pPr>
        <w:pStyle w:val="Caption"/>
      </w:pPr>
      <w:r w:rsidRPr="0077794A">
        <w:t xml:space="preserve">Figure </w:t>
      </w:r>
      <w:r w:rsidR="008D1698">
        <w:t>12</w:t>
      </w:r>
      <w:r w:rsidRPr="0077794A">
        <w:t xml:space="preserve"> – </w:t>
      </w:r>
      <w:r w:rsidRPr="00F421B0">
        <w:t xml:space="preserve">Smart city management </w:t>
      </w:r>
      <w:r>
        <w:t>of security and privacy risk</w:t>
      </w:r>
      <w:r w:rsidRPr="0077794A">
        <w:t xml:space="preserve"> </w:t>
      </w:r>
    </w:p>
    <w:p w14:paraId="48E436E8" w14:textId="7A371B62" w:rsidR="009718A5" w:rsidRPr="009718A5" w:rsidRDefault="009718A5" w:rsidP="009718A5">
      <w:pPr>
        <w:pStyle w:val="bullet20"/>
        <w:ind w:left="0" w:firstLine="0"/>
        <w:rPr>
          <w:b/>
        </w:rPr>
      </w:pPr>
    </w:p>
    <w:p w14:paraId="0F69DD35" w14:textId="41BA1505" w:rsidR="00D72003" w:rsidRDefault="00C96871" w:rsidP="00470F6A">
      <w:pPr>
        <w:pStyle w:val="Heading1"/>
        <w:keepLines w:val="0"/>
        <w:numPr>
          <w:ilvl w:val="0"/>
          <w:numId w:val="13"/>
        </w:numPr>
        <w:overflowPunct/>
        <w:autoSpaceDE/>
        <w:autoSpaceDN/>
        <w:adjustRightInd/>
        <w:spacing w:before="240" w:after="60"/>
        <w:textAlignment w:val="auto"/>
      </w:pPr>
      <w:bookmarkStart w:id="77" w:name="_Toc14367841"/>
      <w:r>
        <w:t xml:space="preserve">Governance framework for </w:t>
      </w:r>
      <w:r w:rsidR="00CC413D">
        <w:t>data processing and management</w:t>
      </w:r>
      <w:bookmarkEnd w:id="77"/>
    </w:p>
    <w:p w14:paraId="2C9A9F03" w14:textId="1AA7795F" w:rsidR="00D72003" w:rsidRDefault="007201C3" w:rsidP="00D72003">
      <w:pPr>
        <w:pStyle w:val="Heading3"/>
      </w:pPr>
      <w:bookmarkStart w:id="78" w:name="_Toc4629857"/>
      <w:bookmarkStart w:id="79" w:name="_Toc14367842"/>
      <w:r>
        <w:t>7</w:t>
      </w:r>
      <w:r w:rsidR="00D72003">
        <w:t>.</w:t>
      </w:r>
      <w:r w:rsidR="009C39A7">
        <w:t>1</w:t>
      </w:r>
      <w:r w:rsidR="00D72003">
        <w:tab/>
        <w:t>Pillars of data governance</w:t>
      </w:r>
      <w:bookmarkEnd w:id="78"/>
      <w:bookmarkEnd w:id="79"/>
    </w:p>
    <w:p w14:paraId="42D3001F" w14:textId="77777777" w:rsidR="00D72003" w:rsidRPr="00B36061" w:rsidRDefault="00D72003" w:rsidP="00D72003">
      <w:r>
        <w:t>The 3 pilla</w:t>
      </w:r>
      <w:r w:rsidRPr="00B36061">
        <w:t xml:space="preserve">rs </w:t>
      </w:r>
      <w:r>
        <w:t>of data governance are</w:t>
      </w:r>
      <w:r w:rsidRPr="00B36061">
        <w:t>:</w:t>
      </w:r>
    </w:p>
    <w:p w14:paraId="33B86A6C" w14:textId="4BF9B2CD" w:rsidR="00D72003" w:rsidRPr="00B36061" w:rsidRDefault="00D72003" w:rsidP="00D72003">
      <w:pPr>
        <w:pStyle w:val="bullet0"/>
        <w:numPr>
          <w:ilvl w:val="0"/>
          <w:numId w:val="1"/>
        </w:numPr>
        <w:tabs>
          <w:tab w:val="num" w:pos="1342"/>
        </w:tabs>
        <w:ind w:left="714" w:hanging="357"/>
      </w:pPr>
      <w:r>
        <w:t>Rules and policies that would allow a smart city governing body</w:t>
      </w:r>
      <w:r w:rsidR="002C14AD">
        <w:t xml:space="preserve"> or national authority</w:t>
      </w:r>
      <w:r>
        <w:t xml:space="preserve"> to </w:t>
      </w:r>
      <w:r w:rsidRPr="002C14AD">
        <w:rPr>
          <w:iCs/>
        </w:rPr>
        <w:t>supervise the activities related to DPM</w:t>
      </w:r>
      <w:r>
        <w:t xml:space="preserve">, i.e. to capture a </w:t>
      </w:r>
      <w:r w:rsidRPr="00FA49C8">
        <w:rPr>
          <w:i/>
        </w:rPr>
        <w:t>big picture</w:t>
      </w:r>
      <w:r w:rsidRPr="00B36061">
        <w:t xml:space="preserve"> of its activity and by extension, </w:t>
      </w:r>
      <w:r>
        <w:t>of the related</w:t>
      </w:r>
      <w:r w:rsidRPr="00B36061">
        <w:t xml:space="preserve"> data</w:t>
      </w:r>
      <w:r>
        <w:t>.</w:t>
      </w:r>
    </w:p>
    <w:p w14:paraId="44D77DD0" w14:textId="2B97F84F" w:rsidR="00D72003" w:rsidRDefault="00D72003" w:rsidP="00A957D5">
      <w:pPr>
        <w:pStyle w:val="bullet20"/>
        <w:numPr>
          <w:ilvl w:val="1"/>
          <w:numId w:val="30"/>
        </w:numPr>
      </w:pPr>
      <w:r>
        <w:t>A smart city</w:t>
      </w:r>
      <w:r w:rsidRPr="00896A65">
        <w:t xml:space="preserve"> should be able to capture the </w:t>
      </w:r>
      <w:r>
        <w:t>b</w:t>
      </w:r>
      <w:r w:rsidRPr="00896A65">
        <w:t xml:space="preserve">ig </w:t>
      </w:r>
      <w:r>
        <w:t>p</w:t>
      </w:r>
      <w:r w:rsidRPr="00896A65">
        <w:t>icture of</w:t>
      </w:r>
      <w:r>
        <w:t xml:space="preserve"> its activity, and by extension should also be able to capture the big picture of</w:t>
      </w:r>
      <w:r w:rsidRPr="00896A65">
        <w:t xml:space="preserve"> the data owned, used and stored </w:t>
      </w:r>
      <w:r w:rsidR="00833C7E">
        <w:t>within</w:t>
      </w:r>
      <w:r w:rsidR="00833C7E" w:rsidRPr="00896A65">
        <w:t xml:space="preserve"> </w:t>
      </w:r>
      <w:r w:rsidRPr="00896A65">
        <w:t xml:space="preserve">the </w:t>
      </w:r>
      <w:r w:rsidR="00833C7E">
        <w:t>eco</w:t>
      </w:r>
      <w:r w:rsidRPr="00896A65">
        <w:t>system.</w:t>
      </w:r>
    </w:p>
    <w:p w14:paraId="1A026078" w14:textId="18E755AB" w:rsidR="00D72003" w:rsidRPr="005F5C31" w:rsidRDefault="00D72003" w:rsidP="00A957D5">
      <w:pPr>
        <w:pStyle w:val="bullet20"/>
        <w:numPr>
          <w:ilvl w:val="1"/>
          <w:numId w:val="30"/>
        </w:numPr>
      </w:pPr>
      <w:r>
        <w:t>The big picture s</w:t>
      </w:r>
      <w:r w:rsidRPr="005F5C31">
        <w:t>hould accurately capture the activity</w:t>
      </w:r>
      <w:r>
        <w:t>. Organizations of the ecosystem involved in data processing should facilitate</w:t>
      </w:r>
      <w:r w:rsidRPr="00A52655">
        <w:t xml:space="preserve"> </w:t>
      </w:r>
      <w:r>
        <w:t>data aggregation capabilities and</w:t>
      </w:r>
      <w:r w:rsidRPr="005F5C31">
        <w:t xml:space="preserve"> reporting p</w:t>
      </w:r>
      <w:r>
        <w:t>ractic</w:t>
      </w:r>
      <w:r w:rsidRPr="005F5C31">
        <w:t>es</w:t>
      </w:r>
      <w:r>
        <w:t xml:space="preserve"> to enhance activity and risk monitoring, supervision, and to be able to </w:t>
      </w:r>
      <w:r w:rsidRPr="005F5C31">
        <w:t>identify</w:t>
      </w:r>
      <w:r>
        <w:t xml:space="preserve"> and track</w:t>
      </w:r>
      <w:r w:rsidRPr="005F5C31">
        <w:t xml:space="preserve"> problems quickly. </w:t>
      </w:r>
    </w:p>
    <w:p w14:paraId="683B8F24" w14:textId="77777777" w:rsidR="00D72003" w:rsidRDefault="00D72003" w:rsidP="00A957D5">
      <w:pPr>
        <w:pStyle w:val="bullet20"/>
        <w:numPr>
          <w:ilvl w:val="1"/>
          <w:numId w:val="30"/>
        </w:numPr>
      </w:pPr>
      <w:r>
        <w:t>Data lineage and e</w:t>
      </w:r>
      <w:r w:rsidRPr="00A52655">
        <w:t>nd-to-end visibility of data processing may be hampered by the existence of silos, the lack of a common language</w:t>
      </w:r>
      <w:r>
        <w:t xml:space="preserve"> or</w:t>
      </w:r>
      <w:r w:rsidRPr="00A52655">
        <w:t xml:space="preserve"> </w:t>
      </w:r>
      <w:r>
        <w:t>the existence of</w:t>
      </w:r>
      <w:r w:rsidRPr="00A52655">
        <w:t xml:space="preserve"> shadow system</w:t>
      </w:r>
      <w:r>
        <w:t>. This is the reason why an interoperability viewpoint must also be taken (covered below)</w:t>
      </w:r>
    </w:p>
    <w:p w14:paraId="4FEF5715" w14:textId="5E0B9B38" w:rsidR="00D72003" w:rsidRPr="005F5C31" w:rsidRDefault="00833C7E" w:rsidP="00A957D5">
      <w:pPr>
        <w:pStyle w:val="bullet20"/>
        <w:numPr>
          <w:ilvl w:val="1"/>
          <w:numId w:val="30"/>
        </w:numPr>
      </w:pPr>
      <w:r>
        <w:t>The m</w:t>
      </w:r>
      <w:r w:rsidR="00D72003" w:rsidRPr="005F5C31">
        <w:t>anipulation of data</w:t>
      </w:r>
      <w:r w:rsidR="00D72003">
        <w:t xml:space="preserve"> requires agility</w:t>
      </w:r>
      <w:r w:rsidR="00D72003" w:rsidRPr="005F5C31">
        <w:t xml:space="preserve"> provided by flexible tools that need to be sharply designed </w:t>
      </w:r>
      <w:r>
        <w:t>for clear</w:t>
      </w:r>
      <w:r w:rsidRPr="005F5C31">
        <w:t xml:space="preserve"> </w:t>
      </w:r>
      <w:r w:rsidR="00D72003" w:rsidRPr="005F5C31">
        <w:t>purpose</w:t>
      </w:r>
      <w:r>
        <w:t>s</w:t>
      </w:r>
      <w:r w:rsidR="00D72003" w:rsidRPr="005F5C31">
        <w:t xml:space="preserve">. </w:t>
      </w:r>
      <w:r w:rsidR="00D72003">
        <w:t xml:space="preserve">But it happens that the end model is unknown because it is a new activity or a new sector, as IoT and smart cities businesses. </w:t>
      </w:r>
      <w:r w:rsidR="00D72003" w:rsidRPr="005F5C31">
        <w:t xml:space="preserve">As long as the end model </w:t>
      </w:r>
      <w:r w:rsidR="00D72003" w:rsidRPr="005F5C31">
        <w:lastRenderedPageBreak/>
        <w:t xml:space="preserve">is not known, </w:t>
      </w:r>
      <w:r w:rsidR="00D72003">
        <w:t xml:space="preserve">ad-hoc tools can’t be designed and </w:t>
      </w:r>
      <w:r w:rsidR="00D72003" w:rsidRPr="005F5C31">
        <w:t>granular data should be collected to keep the maximum flexibility.</w:t>
      </w:r>
    </w:p>
    <w:p w14:paraId="2BEC95E6" w14:textId="77777777" w:rsidR="00D72003" w:rsidRDefault="00D72003" w:rsidP="00D72003">
      <w:pPr>
        <w:pStyle w:val="bullet0"/>
        <w:numPr>
          <w:ilvl w:val="0"/>
          <w:numId w:val="1"/>
        </w:numPr>
        <w:tabs>
          <w:tab w:val="num" w:pos="1342"/>
        </w:tabs>
        <w:ind w:left="714" w:hanging="357"/>
      </w:pPr>
      <w:r>
        <w:t xml:space="preserve">Rules and policies on </w:t>
      </w:r>
      <w:r w:rsidRPr="00FA49C8">
        <w:rPr>
          <w:i/>
        </w:rPr>
        <w:t>data quality</w:t>
      </w:r>
      <w:r>
        <w:t>.</w:t>
      </w:r>
    </w:p>
    <w:p w14:paraId="2E3F6728" w14:textId="77777777" w:rsidR="00D72003" w:rsidRDefault="00D72003" w:rsidP="00A957D5">
      <w:pPr>
        <w:pStyle w:val="bullet20"/>
        <w:numPr>
          <w:ilvl w:val="1"/>
          <w:numId w:val="31"/>
        </w:numPr>
      </w:pPr>
      <w:r>
        <w:t>Each organization should be able to classify data and recognize whether data are critical for the organization or not.</w:t>
      </w:r>
    </w:p>
    <w:p w14:paraId="516531C3" w14:textId="77777777" w:rsidR="00D72003" w:rsidRDefault="00D72003" w:rsidP="00A957D5">
      <w:pPr>
        <w:pStyle w:val="bullet20"/>
        <w:numPr>
          <w:ilvl w:val="1"/>
          <w:numId w:val="31"/>
        </w:numPr>
      </w:pPr>
      <w:r w:rsidRPr="008F554F">
        <w:t>Critical data should always be secured, updated, and everything should be done to keep their highest level of quality through time.</w:t>
      </w:r>
    </w:p>
    <w:p w14:paraId="3232E394" w14:textId="77777777" w:rsidR="00D72003" w:rsidRPr="005F5C31" w:rsidRDefault="00D72003" w:rsidP="00A957D5">
      <w:pPr>
        <w:pStyle w:val="bullet20"/>
        <w:numPr>
          <w:ilvl w:val="1"/>
          <w:numId w:val="31"/>
        </w:numPr>
      </w:pPr>
      <w:r>
        <w:t>T</w:t>
      </w:r>
      <w:r w:rsidRPr="005F5C31">
        <w:t>he quality of high value data needs to be monitored on a regular basis and should be everyone’s business in the Ecosystem.</w:t>
      </w:r>
    </w:p>
    <w:p w14:paraId="65516128" w14:textId="77777777" w:rsidR="00D72003" w:rsidRPr="005F5C31" w:rsidRDefault="00D72003" w:rsidP="00A957D5">
      <w:pPr>
        <w:pStyle w:val="bullet20"/>
        <w:numPr>
          <w:ilvl w:val="1"/>
          <w:numId w:val="31"/>
        </w:numPr>
      </w:pPr>
      <w:r w:rsidRPr="005F5C31">
        <w:t xml:space="preserve">Data quality is always the result of an ongoing effort. </w:t>
      </w:r>
    </w:p>
    <w:p w14:paraId="7E0924CD" w14:textId="77777777" w:rsidR="00D72003" w:rsidRDefault="00D72003" w:rsidP="00A957D5">
      <w:pPr>
        <w:pStyle w:val="bullet20"/>
        <w:numPr>
          <w:ilvl w:val="1"/>
          <w:numId w:val="31"/>
        </w:numPr>
      </w:pPr>
      <w:r>
        <w:t>Each type of data should be characterized by a life cycle, allowing the application of appropriated rules (i.e. delete obsolete data).</w:t>
      </w:r>
    </w:p>
    <w:p w14:paraId="3FD5D48B" w14:textId="77777777" w:rsidR="00D72003" w:rsidRDefault="00D72003" w:rsidP="00A957D5">
      <w:pPr>
        <w:pStyle w:val="bullet20"/>
        <w:numPr>
          <w:ilvl w:val="1"/>
          <w:numId w:val="31"/>
        </w:numPr>
      </w:pPr>
      <w:r w:rsidRPr="005F5C31">
        <w:t>Redundant, trivial or obsolete (ROT)</w:t>
      </w:r>
      <w:r>
        <w:rPr>
          <w:rStyle w:val="FootnoteReference"/>
        </w:rPr>
        <w:footnoteReference w:id="58"/>
      </w:r>
      <w:r w:rsidRPr="003B5665">
        <w:rPr>
          <w:vertAlign w:val="superscript"/>
        </w:rPr>
        <w:t xml:space="preserve"> </w:t>
      </w:r>
      <w:r w:rsidRPr="005F5C31">
        <w:t xml:space="preserve">data </w:t>
      </w:r>
      <w:r>
        <w:t xml:space="preserve">shouldn’t be stored and </w:t>
      </w:r>
      <w:r w:rsidRPr="005F5C31">
        <w:t>should be deleted to limit the resources wastage linked to storage, security, IT processing and data mining.</w:t>
      </w:r>
    </w:p>
    <w:p w14:paraId="0947ACF2" w14:textId="77777777" w:rsidR="00D72003" w:rsidRDefault="00D72003" w:rsidP="00A957D5">
      <w:pPr>
        <w:pStyle w:val="bullet20"/>
        <w:numPr>
          <w:ilvl w:val="1"/>
          <w:numId w:val="31"/>
        </w:numPr>
      </w:pPr>
      <w:r>
        <w:t>There is a</w:t>
      </w:r>
      <w:r w:rsidRPr="005F5C31">
        <w:t xml:space="preserve"> « butterfly effect » of data quality</w:t>
      </w:r>
      <w:r>
        <w:rPr>
          <w:rStyle w:val="FootnoteReference"/>
        </w:rPr>
        <w:footnoteReference w:id="59"/>
      </w:r>
      <w:r w:rsidRPr="005F5C31">
        <w:t>: poor data quality is contagious. Errors spread along the process because there</w:t>
      </w:r>
      <w:r>
        <w:t xml:space="preserve"> is porosity between databases.</w:t>
      </w:r>
    </w:p>
    <w:p w14:paraId="1DC2683A" w14:textId="77777777" w:rsidR="00D72003" w:rsidRDefault="00D72003" w:rsidP="00A957D5">
      <w:pPr>
        <w:pStyle w:val="bullet20"/>
        <w:numPr>
          <w:ilvl w:val="1"/>
          <w:numId w:val="31"/>
        </w:numPr>
      </w:pPr>
      <w:r>
        <w:t>P</w:t>
      </w:r>
      <w:r w:rsidRPr="005F5C31">
        <w:t xml:space="preserve">oor data quality is recurring: same anomalies come back over and over if </w:t>
      </w:r>
      <w:r>
        <w:t>the problem is not addressed.</w:t>
      </w:r>
    </w:p>
    <w:p w14:paraId="46254845" w14:textId="1883CF6B" w:rsidR="00D72003" w:rsidRPr="006A128F" w:rsidRDefault="00D72003" w:rsidP="00D72003">
      <w:pPr>
        <w:pStyle w:val="bullet0"/>
        <w:numPr>
          <w:ilvl w:val="0"/>
          <w:numId w:val="1"/>
        </w:numPr>
        <w:tabs>
          <w:tab w:val="num" w:pos="1342"/>
        </w:tabs>
        <w:ind w:left="714" w:hanging="357"/>
      </w:pPr>
      <w:r>
        <w:t xml:space="preserve">Rules and policies on </w:t>
      </w:r>
      <w:r w:rsidRPr="00A759FE">
        <w:rPr>
          <w:i/>
        </w:rPr>
        <w:t>data users, providers and lineage</w:t>
      </w:r>
      <w:r>
        <w:t xml:space="preserve">. </w:t>
      </w:r>
      <w:r w:rsidR="000227AB">
        <w:t>The</w:t>
      </w:r>
      <w:r w:rsidRPr="00B36061">
        <w:t xml:space="preserve"> identif</w:t>
      </w:r>
      <w:r w:rsidR="000227AB">
        <w:t>ication of</w:t>
      </w:r>
      <w:r w:rsidRPr="00B36061">
        <w:t xml:space="preserve"> data </w:t>
      </w:r>
      <w:r>
        <w:t xml:space="preserve">users and providers and </w:t>
      </w:r>
      <w:r w:rsidR="000227AB">
        <w:t>the</w:t>
      </w:r>
      <w:r>
        <w:t xml:space="preserve"> enhance</w:t>
      </w:r>
      <w:r w:rsidR="000227AB">
        <w:t>ment of</w:t>
      </w:r>
      <w:r>
        <w:t xml:space="preserve"> data usability and lineage through</w:t>
      </w:r>
      <w:r w:rsidRPr="00B36061">
        <w:t xml:space="preserve"> </w:t>
      </w:r>
      <w:r>
        <w:rPr>
          <w:i/>
        </w:rPr>
        <w:t>lineage management</w:t>
      </w:r>
      <w:r w:rsidRPr="00FA49C8">
        <w:rPr>
          <w:i/>
        </w:rPr>
        <w:t xml:space="preserve"> tools</w:t>
      </w:r>
      <w:r w:rsidR="000227AB">
        <w:rPr>
          <w:i/>
        </w:rPr>
        <w:t xml:space="preserve"> </w:t>
      </w:r>
      <w:r w:rsidR="000227AB">
        <w:rPr>
          <w:iCs/>
        </w:rPr>
        <w:t>are needed:</w:t>
      </w:r>
    </w:p>
    <w:p w14:paraId="1F5258AF" w14:textId="75DFB8F3" w:rsidR="00D72003" w:rsidRPr="00565022" w:rsidRDefault="00D72003" w:rsidP="00A957D5">
      <w:pPr>
        <w:pStyle w:val="bullet20"/>
        <w:numPr>
          <w:ilvl w:val="1"/>
          <w:numId w:val="32"/>
        </w:numPr>
      </w:pPr>
      <w:r>
        <w:t xml:space="preserve"> “F</w:t>
      </w:r>
      <w:r w:rsidRPr="00565022">
        <w:t>it for use data” require</w:t>
      </w:r>
      <w:r w:rsidR="000227AB">
        <w:t>s</w:t>
      </w:r>
      <w:r w:rsidRPr="00565022">
        <w:t xml:space="preserve"> communication between users and providers</w:t>
      </w:r>
      <w:r>
        <w:t>.</w:t>
      </w:r>
    </w:p>
    <w:p w14:paraId="3520EE58" w14:textId="77777777" w:rsidR="00D72003" w:rsidRDefault="00D72003" w:rsidP="00A957D5">
      <w:pPr>
        <w:pStyle w:val="bullet20"/>
        <w:numPr>
          <w:ilvl w:val="1"/>
          <w:numId w:val="32"/>
        </w:numPr>
      </w:pPr>
      <w:r>
        <w:t>The main</w:t>
      </w:r>
      <w:r w:rsidRPr="005F5C31">
        <w:t xml:space="preserve"> obstacles to communicat</w:t>
      </w:r>
      <w:r>
        <w:t>ion between users and providers</w:t>
      </w:r>
      <w:r w:rsidRPr="005F5C31">
        <w:t xml:space="preserve"> are:</w:t>
      </w:r>
    </w:p>
    <w:p w14:paraId="4B64655C" w14:textId="77777777" w:rsidR="00D72003" w:rsidRPr="00C97EF5" w:rsidRDefault="00D72003" w:rsidP="00A957D5">
      <w:pPr>
        <w:pStyle w:val="bullet2"/>
        <w:numPr>
          <w:ilvl w:val="2"/>
          <w:numId w:val="23"/>
        </w:numPr>
        <w:ind w:left="1418"/>
      </w:pPr>
      <w:r w:rsidRPr="00C97EF5">
        <w:t>users and/or providers are not clearly identified;</w:t>
      </w:r>
    </w:p>
    <w:p w14:paraId="65914785" w14:textId="77777777" w:rsidR="00D72003" w:rsidRPr="00C97EF5" w:rsidRDefault="00D72003" w:rsidP="00A957D5">
      <w:pPr>
        <w:pStyle w:val="bullet2"/>
        <w:numPr>
          <w:ilvl w:val="2"/>
          <w:numId w:val="23"/>
        </w:numPr>
        <w:ind w:left="1418"/>
      </w:pPr>
      <w:r w:rsidRPr="00C97EF5">
        <w:t>silos: sometimes people do not communicate because they do not work together, organizations are segmented;</w:t>
      </w:r>
    </w:p>
    <w:p w14:paraId="1171B600" w14:textId="77777777" w:rsidR="00D72003" w:rsidRPr="00C97EF5" w:rsidRDefault="00D72003" w:rsidP="00A957D5">
      <w:pPr>
        <w:pStyle w:val="bullet2"/>
        <w:numPr>
          <w:ilvl w:val="2"/>
          <w:numId w:val="23"/>
        </w:numPr>
        <w:ind w:left="1418"/>
      </w:pPr>
      <w:r w:rsidRPr="00C97EF5">
        <w:t>there is time lag between production and use of data: data are used several months or years after production.</w:t>
      </w:r>
    </w:p>
    <w:p w14:paraId="525FDB11" w14:textId="77777777" w:rsidR="00D72003" w:rsidRDefault="00D72003" w:rsidP="00A957D5">
      <w:pPr>
        <w:pStyle w:val="bullet20"/>
        <w:numPr>
          <w:ilvl w:val="1"/>
          <w:numId w:val="33"/>
        </w:numPr>
      </w:pPr>
      <w:r w:rsidRPr="005F5C31">
        <w:t xml:space="preserve">To improve communication, </w:t>
      </w:r>
      <w:r>
        <w:t xml:space="preserve">tools are used to improve </w:t>
      </w:r>
      <w:r w:rsidRPr="005F5C31">
        <w:t xml:space="preserve">« usability » </w:t>
      </w:r>
      <w:r>
        <w:t>and lineage of data. Those tools are:</w:t>
      </w:r>
    </w:p>
    <w:p w14:paraId="4263F670" w14:textId="77777777" w:rsidR="00D72003" w:rsidRDefault="00D72003" w:rsidP="00A957D5">
      <w:pPr>
        <w:pStyle w:val="bullet2"/>
        <w:numPr>
          <w:ilvl w:val="2"/>
          <w:numId w:val="23"/>
        </w:numPr>
        <w:ind w:left="1418"/>
      </w:pPr>
      <w:r>
        <w:t>The use of a common language;</w:t>
      </w:r>
    </w:p>
    <w:p w14:paraId="0FF209AC" w14:textId="77777777" w:rsidR="00D72003" w:rsidRDefault="00D72003" w:rsidP="00A957D5">
      <w:pPr>
        <w:pStyle w:val="bullet2"/>
        <w:numPr>
          <w:ilvl w:val="2"/>
          <w:numId w:val="23"/>
        </w:numPr>
        <w:ind w:left="1418"/>
      </w:pPr>
      <w:r>
        <w:t>The availability of a readable documentation, including definitions and calculation methodologies if any;</w:t>
      </w:r>
    </w:p>
    <w:p w14:paraId="5369BCF0" w14:textId="77777777" w:rsidR="00D72003" w:rsidRDefault="00D72003" w:rsidP="00A957D5">
      <w:pPr>
        <w:pStyle w:val="bullet2"/>
        <w:numPr>
          <w:ilvl w:val="2"/>
          <w:numId w:val="23"/>
        </w:numPr>
        <w:ind w:left="1418"/>
      </w:pPr>
      <w:r>
        <w:t>L</w:t>
      </w:r>
      <w:r w:rsidRPr="005F5C31">
        <w:t>abels</w:t>
      </w:r>
      <w:r>
        <w:t>;</w:t>
      </w:r>
    </w:p>
    <w:p w14:paraId="1A821889" w14:textId="77777777" w:rsidR="00D72003" w:rsidRDefault="00D72003" w:rsidP="00A957D5">
      <w:pPr>
        <w:pStyle w:val="bullet2"/>
        <w:numPr>
          <w:ilvl w:val="2"/>
          <w:numId w:val="23"/>
        </w:numPr>
        <w:ind w:left="1418"/>
      </w:pPr>
      <w:r>
        <w:t>Metadata.</w:t>
      </w:r>
    </w:p>
    <w:p w14:paraId="0BF3EEFA" w14:textId="77777777" w:rsidR="00D72003" w:rsidRDefault="00D72003" w:rsidP="00A957D5">
      <w:pPr>
        <w:pStyle w:val="bullet20"/>
        <w:numPr>
          <w:ilvl w:val="1"/>
          <w:numId w:val="34"/>
        </w:numPr>
      </w:pPr>
      <w:r>
        <w:t>The importance of lineage and usability of data should be known and understood by each and every provider and user.</w:t>
      </w:r>
    </w:p>
    <w:p w14:paraId="2823B0EF" w14:textId="77777777" w:rsidR="00D72003" w:rsidRDefault="00D72003" w:rsidP="00A957D5">
      <w:pPr>
        <w:pStyle w:val="bullet20"/>
        <w:numPr>
          <w:ilvl w:val="1"/>
          <w:numId w:val="34"/>
        </w:numPr>
      </w:pPr>
      <w:r>
        <w:t>G</w:t>
      </w:r>
      <w:r w:rsidRPr="00E42485">
        <w:t>overnance mu</w:t>
      </w:r>
      <w:r>
        <w:t>st foster the “Data Quality Culture”.</w:t>
      </w:r>
    </w:p>
    <w:p w14:paraId="7C477891" w14:textId="591CEB65" w:rsidR="00D72003" w:rsidRDefault="007201C3" w:rsidP="00D72003">
      <w:pPr>
        <w:pStyle w:val="Heading2"/>
      </w:pPr>
      <w:bookmarkStart w:id="80" w:name="_Toc4629858"/>
      <w:bookmarkStart w:id="81" w:name="_Toc14367843"/>
      <w:bookmarkStart w:id="82" w:name="_Toc524351623"/>
      <w:bookmarkStart w:id="83" w:name="_Hlk522614840"/>
      <w:r>
        <w:t>7</w:t>
      </w:r>
      <w:r w:rsidR="00D72003">
        <w:t>.</w:t>
      </w:r>
      <w:r w:rsidR="009C39A7">
        <w:t>2</w:t>
      </w:r>
      <w:r w:rsidR="00D72003">
        <w:tab/>
        <w:t>Relationship between security, privacy and governance</w:t>
      </w:r>
      <w:bookmarkEnd w:id="80"/>
      <w:bookmarkEnd w:id="81"/>
    </w:p>
    <w:p w14:paraId="5CE95846" w14:textId="72565180" w:rsidR="00D72003" w:rsidRPr="00E44EE9" w:rsidRDefault="00D72003" w:rsidP="00D72003">
      <w:r w:rsidRPr="00E44EE9">
        <w:t xml:space="preserve">The relationship between security and privacy is showed in </w:t>
      </w:r>
      <w:r>
        <w:fldChar w:fldCharType="begin"/>
      </w:r>
      <w:r>
        <w:instrText xml:space="preserve"> REF _Ref535393433 \h </w:instrText>
      </w:r>
      <w:r>
        <w:fldChar w:fldCharType="separate"/>
      </w:r>
      <w:r w:rsidR="004946F7" w:rsidRPr="00EA1128">
        <w:t xml:space="preserve">Figure </w:t>
      </w:r>
      <w:r w:rsidR="004946F7">
        <w:rPr>
          <w:noProof/>
        </w:rPr>
        <w:t>1</w:t>
      </w:r>
      <w:r>
        <w:fldChar w:fldCharType="end"/>
      </w:r>
      <w:r w:rsidR="00AF726F">
        <w:t>0</w:t>
      </w:r>
      <w:r>
        <w:t>.</w:t>
      </w:r>
      <w:r w:rsidRPr="00E44EE9" w:rsidDel="001B6B22">
        <w:t xml:space="preserve"> </w:t>
      </w:r>
    </w:p>
    <w:p w14:paraId="7EEC4A2C" w14:textId="457F771B" w:rsidR="00D72003" w:rsidRDefault="00BF4245" w:rsidP="00D72003">
      <w:pPr>
        <w:pStyle w:val="figurecentred"/>
      </w:pPr>
      <w:r>
        <w:rPr>
          <w:noProof/>
          <w:lang w:val="en-GB" w:eastAsia="en-GB" w:bidi="ar-SA"/>
        </w:rPr>
        <w:lastRenderedPageBreak/>
        <w:drawing>
          <wp:inline distT="0" distB="0" distL="0" distR="0" wp14:anchorId="3921A819" wp14:editId="1B5BBE04">
            <wp:extent cx="3535988" cy="1873623"/>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png"/>
                    <pic:cNvPicPr/>
                  </pic:nvPicPr>
                  <pic:blipFill>
                    <a:blip r:embed="rId34"/>
                    <a:stretch>
                      <a:fillRect/>
                    </a:stretch>
                  </pic:blipFill>
                  <pic:spPr>
                    <a:xfrm>
                      <a:off x="0" y="0"/>
                      <a:ext cx="3578722" cy="1896267"/>
                    </a:xfrm>
                    <a:prstGeom prst="rect">
                      <a:avLst/>
                    </a:prstGeom>
                  </pic:spPr>
                </pic:pic>
              </a:graphicData>
            </a:graphic>
          </wp:inline>
        </w:drawing>
      </w:r>
    </w:p>
    <w:p w14:paraId="70533444" w14:textId="2EEB61A1" w:rsidR="00BC5B82" w:rsidRPr="00E44EE9" w:rsidRDefault="00BC5B82" w:rsidP="00BF4245">
      <w:pPr>
        <w:pStyle w:val="figurecentred"/>
        <w:jc w:val="left"/>
      </w:pPr>
    </w:p>
    <w:p w14:paraId="2263CE3E" w14:textId="248A04C2" w:rsidR="0069280E" w:rsidRDefault="00D72003" w:rsidP="0069280E">
      <w:bookmarkStart w:id="84" w:name="_Ref535393433"/>
      <w:r w:rsidRPr="00EA1128">
        <w:t xml:space="preserve">Figure </w:t>
      </w:r>
      <w:r w:rsidR="007200A9">
        <w:fldChar w:fldCharType="begin"/>
      </w:r>
      <w:r w:rsidR="007200A9">
        <w:instrText xml:space="preserve"> SEQ Figure \* ARABIC </w:instrText>
      </w:r>
      <w:r w:rsidR="007200A9">
        <w:fldChar w:fldCharType="separate"/>
      </w:r>
      <w:r w:rsidR="004946F7">
        <w:rPr>
          <w:noProof/>
        </w:rPr>
        <w:t>1</w:t>
      </w:r>
      <w:r w:rsidR="007200A9">
        <w:rPr>
          <w:noProof/>
        </w:rPr>
        <w:fldChar w:fldCharType="end"/>
      </w:r>
      <w:bookmarkEnd w:id="84"/>
      <w:r w:rsidR="008D1698">
        <w:t>3</w:t>
      </w:r>
      <w:r w:rsidRPr="00EA1128">
        <w:t xml:space="preserve"> - Relationship between </w:t>
      </w:r>
      <w:r w:rsidRPr="001B6B22">
        <w:t>security</w:t>
      </w:r>
      <w:r w:rsidRPr="00EA1128">
        <w:t xml:space="preserve"> and privacy</w:t>
      </w:r>
      <w:r w:rsidR="0069280E">
        <w:t xml:space="preserve"> </w:t>
      </w:r>
      <w:r w:rsidR="0069280E" w:rsidRPr="0069280E">
        <w:t xml:space="preserve">(Source: </w:t>
      </w:r>
      <w:r w:rsidR="0069280E" w:rsidRPr="0069280E">
        <w:rPr>
          <w:color w:val="000000"/>
          <w:shd w:val="clear" w:color="auto" w:fill="FFFFFF"/>
        </w:rPr>
        <w:t>ISO/IEC 27550 privacy engineering for system life cycle processes</w:t>
      </w:r>
      <w:r w:rsidR="0069280E">
        <w:rPr>
          <w:color w:val="000000"/>
          <w:shd w:val="clear" w:color="auto" w:fill="FFFFFF"/>
        </w:rPr>
        <w:t>)</w:t>
      </w:r>
    </w:p>
    <w:p w14:paraId="49E66488" w14:textId="5F7B823A" w:rsidR="00D72003" w:rsidRPr="00EA1128" w:rsidRDefault="00D72003" w:rsidP="00D72003">
      <w:pPr>
        <w:pStyle w:val="figurecentred"/>
      </w:pPr>
    </w:p>
    <w:p w14:paraId="26AB9AA3" w14:textId="795E3320" w:rsidR="00D72003" w:rsidRPr="00E44EE9" w:rsidRDefault="00D72003" w:rsidP="00D72003">
      <w:r w:rsidRPr="00E44EE9">
        <w:t xml:space="preserve">The relationship between </w:t>
      </w:r>
      <w:r>
        <w:t>security, privacy and governance is show</w:t>
      </w:r>
      <w:r w:rsidR="00AF726F">
        <w:t>n</w:t>
      </w:r>
      <w:r w:rsidRPr="00E44EE9">
        <w:t xml:space="preserve"> in</w:t>
      </w:r>
      <w:r w:rsidR="007B25D1">
        <w:t xml:space="preserve"> Figure 11</w:t>
      </w:r>
      <w:r w:rsidRPr="00E44EE9">
        <w:t>:</w:t>
      </w:r>
    </w:p>
    <w:p w14:paraId="205821E7" w14:textId="77777777" w:rsidR="00D72003" w:rsidRDefault="00D72003" w:rsidP="00D72003">
      <w:pPr>
        <w:pStyle w:val="bullet0"/>
        <w:numPr>
          <w:ilvl w:val="0"/>
          <w:numId w:val="1"/>
        </w:numPr>
        <w:tabs>
          <w:tab w:val="num" w:pos="1342"/>
        </w:tabs>
        <w:ind w:left="714" w:hanging="357"/>
      </w:pPr>
      <w:r>
        <w:t>a governing stakeholder applies a governance process in an ecosystem</w:t>
      </w:r>
    </w:p>
    <w:p w14:paraId="701967B8" w14:textId="77777777" w:rsidR="00D72003" w:rsidRDefault="00D72003" w:rsidP="00A957D5">
      <w:pPr>
        <w:pStyle w:val="bullet20"/>
        <w:numPr>
          <w:ilvl w:val="1"/>
          <w:numId w:val="35"/>
        </w:numPr>
      </w:pPr>
      <w:r>
        <w:t>to establish policies,</w:t>
      </w:r>
    </w:p>
    <w:p w14:paraId="19ACDEA7" w14:textId="0A2AC0E9" w:rsidR="00D72003" w:rsidRDefault="00D72003" w:rsidP="00A957D5">
      <w:pPr>
        <w:pStyle w:val="bullet20"/>
        <w:numPr>
          <w:ilvl w:val="1"/>
          <w:numId w:val="35"/>
        </w:numPr>
      </w:pPr>
      <w:r>
        <w:t xml:space="preserve">to monitor </w:t>
      </w:r>
      <w:r w:rsidR="005E1235">
        <w:t xml:space="preserve">a </w:t>
      </w:r>
      <w:r>
        <w:t>data processing management (DPM) stakeholder who provides services on data assets, and</w:t>
      </w:r>
    </w:p>
    <w:p w14:paraId="17E67A39" w14:textId="77777777" w:rsidR="00D72003" w:rsidRDefault="00D72003" w:rsidP="00A957D5">
      <w:pPr>
        <w:pStyle w:val="bullet20"/>
        <w:numPr>
          <w:ilvl w:val="1"/>
          <w:numId w:val="35"/>
        </w:numPr>
      </w:pPr>
      <w:r>
        <w:t>to monitor services in operation.</w:t>
      </w:r>
    </w:p>
    <w:p w14:paraId="7FEB901B" w14:textId="77777777" w:rsidR="00D72003" w:rsidRPr="00E44EE9" w:rsidRDefault="00D72003" w:rsidP="00A957D5">
      <w:pPr>
        <w:pStyle w:val="bullet20"/>
        <w:numPr>
          <w:ilvl w:val="1"/>
          <w:numId w:val="35"/>
        </w:numPr>
      </w:pPr>
      <w:r w:rsidRPr="00E44EE9">
        <w:t>an entity can be a person, a system, an organisation;</w:t>
      </w:r>
    </w:p>
    <w:p w14:paraId="0B044CE1" w14:textId="77777777" w:rsidR="00D72003" w:rsidRDefault="00D72003" w:rsidP="00D72003">
      <w:pPr>
        <w:pStyle w:val="bullet0"/>
        <w:numPr>
          <w:ilvl w:val="0"/>
          <w:numId w:val="1"/>
        </w:numPr>
        <w:tabs>
          <w:tab w:val="num" w:pos="1342"/>
        </w:tabs>
        <w:ind w:left="714" w:hanging="357"/>
      </w:pPr>
      <w:r w:rsidRPr="00E44EE9">
        <w:t xml:space="preserve">a </w:t>
      </w:r>
      <w:r>
        <w:t xml:space="preserve">data processing management stakeholder </w:t>
      </w:r>
      <w:r w:rsidRPr="00E44EE9">
        <w:t xml:space="preserve">provides a service </w:t>
      </w:r>
      <w:r>
        <w:t>on data assets, following policies;</w:t>
      </w:r>
    </w:p>
    <w:p w14:paraId="3F060AF6" w14:textId="77777777" w:rsidR="00D72003" w:rsidRDefault="00D72003" w:rsidP="00D72003">
      <w:pPr>
        <w:pStyle w:val="bullet0"/>
        <w:numPr>
          <w:ilvl w:val="0"/>
          <w:numId w:val="1"/>
        </w:numPr>
        <w:tabs>
          <w:tab w:val="num" w:pos="1342"/>
        </w:tabs>
        <w:ind w:left="714" w:hanging="357"/>
      </w:pPr>
      <w:r>
        <w:t>a data processing management stakeholder applies the following processes:</w:t>
      </w:r>
    </w:p>
    <w:p w14:paraId="65DF542F" w14:textId="77777777" w:rsidR="00D72003" w:rsidRDefault="00D72003" w:rsidP="00A957D5">
      <w:pPr>
        <w:pStyle w:val="bullet20"/>
        <w:numPr>
          <w:ilvl w:val="1"/>
          <w:numId w:val="36"/>
        </w:numPr>
      </w:pPr>
      <w:r>
        <w:t>a collaboration process in order to manage data sharing agreements between DPM stakeholders in the ecosystem,</w:t>
      </w:r>
    </w:p>
    <w:p w14:paraId="43AD8097" w14:textId="77777777" w:rsidR="00D72003" w:rsidRDefault="00D72003" w:rsidP="00A957D5">
      <w:pPr>
        <w:pStyle w:val="bullet20"/>
        <w:numPr>
          <w:ilvl w:val="1"/>
          <w:numId w:val="36"/>
        </w:numPr>
      </w:pPr>
      <w:r>
        <w:t>a lifecycle process to manage data assets used and updated by the service, according to policies established by the governing body, and</w:t>
      </w:r>
    </w:p>
    <w:p w14:paraId="722B01CF" w14:textId="77777777" w:rsidR="00D72003" w:rsidRDefault="00D72003" w:rsidP="00A957D5">
      <w:pPr>
        <w:pStyle w:val="bullet20"/>
        <w:numPr>
          <w:ilvl w:val="1"/>
          <w:numId w:val="36"/>
        </w:numPr>
      </w:pPr>
      <w:r>
        <w:t>a risk management process to manage security and privacy risks on the data assets.</w:t>
      </w:r>
    </w:p>
    <w:p w14:paraId="76F1640C" w14:textId="77777777" w:rsidR="00D72003" w:rsidRPr="00E44EE9" w:rsidRDefault="00D72003" w:rsidP="00D72003">
      <w:pPr>
        <w:pStyle w:val="figurecentred"/>
      </w:pPr>
      <w:r w:rsidRPr="000766E9">
        <w:rPr>
          <w:noProof/>
          <w:lang w:val="en-GB" w:eastAsia="en-GB" w:bidi="ar-SA"/>
        </w:rPr>
        <w:drawing>
          <wp:inline distT="0" distB="0" distL="0" distR="0" wp14:anchorId="578620CA" wp14:editId="4FA4BDF3">
            <wp:extent cx="4133880" cy="2576531"/>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133880" cy="2576531"/>
                    </a:xfrm>
                    <a:prstGeom prst="rect">
                      <a:avLst/>
                    </a:prstGeom>
                  </pic:spPr>
                </pic:pic>
              </a:graphicData>
            </a:graphic>
          </wp:inline>
        </w:drawing>
      </w:r>
    </w:p>
    <w:p w14:paraId="25981852" w14:textId="29956C8E" w:rsidR="00D72003" w:rsidRPr="00515F28" w:rsidRDefault="00D72003" w:rsidP="00D72003">
      <w:pPr>
        <w:pStyle w:val="figurecentred"/>
      </w:pPr>
      <w:bookmarkStart w:id="85" w:name="_Ref535393350"/>
      <w:r w:rsidRPr="00E44EE9">
        <w:t xml:space="preserve">Figure </w:t>
      </w:r>
      <w:bookmarkEnd w:id="85"/>
      <w:r w:rsidR="00AF726F">
        <w:t>1</w:t>
      </w:r>
      <w:r w:rsidR="008D1698">
        <w:t>4</w:t>
      </w:r>
      <w:r w:rsidRPr="00E44EE9">
        <w:t xml:space="preserve"> – Relationship </w:t>
      </w:r>
      <w:r>
        <w:t>security, privacy and governance in DPM</w:t>
      </w:r>
      <w:r w:rsidRPr="00E44EE9">
        <w:t xml:space="preserve"> </w:t>
      </w:r>
    </w:p>
    <w:bookmarkEnd w:id="82"/>
    <w:bookmarkEnd w:id="83"/>
    <w:p w14:paraId="149DACFC" w14:textId="77777777" w:rsidR="00EC1071" w:rsidRDefault="00EC1071" w:rsidP="004564E8">
      <w:pPr>
        <w:jc w:val="both"/>
      </w:pPr>
    </w:p>
    <w:p w14:paraId="56E9D449" w14:textId="1D81B8DD" w:rsidR="00D72003" w:rsidRDefault="007B25D1" w:rsidP="004564E8">
      <w:pPr>
        <w:jc w:val="both"/>
      </w:pPr>
      <w:r>
        <w:t>Figure 1</w:t>
      </w:r>
      <w:r w:rsidR="004564E8">
        <w:t>5</w:t>
      </w:r>
      <w:r>
        <w:t xml:space="preserve"> </w:t>
      </w:r>
      <w:r w:rsidR="00D72003">
        <w:t>describes the elements for a data governance framework for IoT and SC&amp;C based on three key dimensions:</w:t>
      </w:r>
    </w:p>
    <w:p w14:paraId="6381CDD5" w14:textId="77777777" w:rsidR="00D72003" w:rsidRPr="00F13778" w:rsidRDefault="00D72003" w:rsidP="00D72003">
      <w:pPr>
        <w:pStyle w:val="bullet0"/>
        <w:numPr>
          <w:ilvl w:val="0"/>
          <w:numId w:val="1"/>
        </w:numPr>
        <w:tabs>
          <w:tab w:val="num" w:pos="1342"/>
        </w:tabs>
        <w:ind w:left="714" w:hanging="357"/>
      </w:pPr>
      <w:r w:rsidRPr="00F13778">
        <w:t>the governing subject dimension which provides a participant plan,</w:t>
      </w:r>
    </w:p>
    <w:p w14:paraId="05C25201" w14:textId="77777777" w:rsidR="00D72003" w:rsidRDefault="00D72003" w:rsidP="00D72003">
      <w:pPr>
        <w:pStyle w:val="bullet0"/>
        <w:numPr>
          <w:ilvl w:val="0"/>
          <w:numId w:val="1"/>
        </w:numPr>
        <w:tabs>
          <w:tab w:val="num" w:pos="1342"/>
        </w:tabs>
        <w:ind w:left="714" w:hanging="357"/>
      </w:pPr>
      <w:r w:rsidRPr="00F13778">
        <w:t>the govern</w:t>
      </w:r>
      <w:r>
        <w:t>ing object dimension which provides a data plan, and</w:t>
      </w:r>
    </w:p>
    <w:p w14:paraId="0AD099E1" w14:textId="42EEB33E" w:rsidR="00D72003" w:rsidRPr="00F13778" w:rsidRDefault="00D72003" w:rsidP="00D72003">
      <w:pPr>
        <w:pStyle w:val="bullet0"/>
        <w:numPr>
          <w:ilvl w:val="0"/>
          <w:numId w:val="1"/>
        </w:numPr>
        <w:tabs>
          <w:tab w:val="num" w:pos="1342"/>
        </w:tabs>
        <w:ind w:left="714" w:hanging="357"/>
      </w:pPr>
      <w:r>
        <w:t>the governing process dimension</w:t>
      </w:r>
      <w:r w:rsidRPr="00F13778">
        <w:t xml:space="preserve"> </w:t>
      </w:r>
      <w:r>
        <w:t>which provides a data process and manageme</w:t>
      </w:r>
      <w:r w:rsidR="00FD5323">
        <w:t>n</w:t>
      </w:r>
      <w:r>
        <w:t>t plan</w:t>
      </w:r>
      <w:r w:rsidRPr="00F13778">
        <w:t>.</w:t>
      </w:r>
    </w:p>
    <w:p w14:paraId="7FABF1F9" w14:textId="77777777" w:rsidR="00D72003" w:rsidRDefault="00D72003" w:rsidP="00D72003">
      <w:pPr>
        <w:rPr>
          <w:rFonts w:asciiTheme="majorBidi" w:hAnsiTheme="majorBidi" w:cstheme="majorBidi"/>
        </w:rPr>
      </w:pPr>
      <w:r>
        <w:rPr>
          <w:noProof/>
          <w:lang w:val="en-GB"/>
        </w:rPr>
        <w:drawing>
          <wp:inline distT="0" distB="0" distL="0" distR="0" wp14:anchorId="7E17E193" wp14:editId="7535BD7C">
            <wp:extent cx="6120765" cy="3406775"/>
            <wp:effectExtent l="0" t="0" r="13335" b="317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6"/>
                    <a:stretch>
                      <a:fillRect/>
                    </a:stretch>
                  </pic:blipFill>
                  <pic:spPr>
                    <a:xfrm>
                      <a:off x="0" y="0"/>
                      <a:ext cx="6120765" cy="3406775"/>
                    </a:xfrm>
                    <a:prstGeom prst="rect">
                      <a:avLst/>
                    </a:prstGeom>
                  </pic:spPr>
                </pic:pic>
              </a:graphicData>
            </a:graphic>
          </wp:inline>
        </w:drawing>
      </w:r>
    </w:p>
    <w:p w14:paraId="026EE83A" w14:textId="6CD4B4FF" w:rsidR="00D72003" w:rsidRPr="00515F28" w:rsidRDefault="00D72003" w:rsidP="00D72003">
      <w:pPr>
        <w:pStyle w:val="figurecentred"/>
      </w:pPr>
      <w:bookmarkStart w:id="86" w:name="_Ref535357358"/>
      <w:r w:rsidRPr="00E44EE9">
        <w:t xml:space="preserve">Figure </w:t>
      </w:r>
      <w:bookmarkEnd w:id="86"/>
      <w:r w:rsidR="007B25D1">
        <w:t>1</w:t>
      </w:r>
      <w:r w:rsidR="008D1698">
        <w:t>5</w:t>
      </w:r>
      <w:r w:rsidRPr="00E44EE9">
        <w:t xml:space="preserve"> – </w:t>
      </w:r>
      <w:r>
        <w:t>Key components of a data governance framework</w:t>
      </w:r>
      <w:r w:rsidRPr="00E44EE9">
        <w:t xml:space="preserve"> </w:t>
      </w:r>
    </w:p>
    <w:p w14:paraId="73CFBBD4" w14:textId="37308AA8" w:rsidR="00D72003" w:rsidRDefault="007201C3" w:rsidP="00D72003">
      <w:pPr>
        <w:pStyle w:val="Heading2"/>
      </w:pPr>
      <w:bookmarkStart w:id="87" w:name="_Toc4629859"/>
      <w:bookmarkStart w:id="88" w:name="_Toc14367844"/>
      <w:r>
        <w:t>7</w:t>
      </w:r>
      <w:r w:rsidR="00D72003">
        <w:t>.</w:t>
      </w:r>
      <w:r w:rsidR="009C39A7">
        <w:t>3</w:t>
      </w:r>
      <w:r w:rsidR="00D72003" w:rsidRPr="00EC2A42">
        <w:tab/>
      </w:r>
      <w:r w:rsidR="00D72003">
        <w:t>Impact of ecosystems on governance</w:t>
      </w:r>
      <w:bookmarkEnd w:id="87"/>
      <w:bookmarkEnd w:id="88"/>
    </w:p>
    <w:p w14:paraId="0365AE28" w14:textId="0D6DA9BB" w:rsidR="00D72003" w:rsidRPr="00E44EE9" w:rsidRDefault="00D72003" w:rsidP="009703F8">
      <w:pPr>
        <w:jc w:val="both"/>
      </w:pPr>
      <w:r w:rsidRPr="00E44EE9">
        <w:t xml:space="preserve">A </w:t>
      </w:r>
      <w:r>
        <w:t xml:space="preserve">data governance framework </w:t>
      </w:r>
      <w:r w:rsidRPr="00E44EE9">
        <w:t xml:space="preserve">should </w:t>
      </w:r>
      <w:r>
        <w:t>include</w:t>
      </w:r>
      <w:r w:rsidRPr="00E44EE9">
        <w:t xml:space="preserve"> </w:t>
      </w:r>
      <w:r>
        <w:t xml:space="preserve">an </w:t>
      </w:r>
      <w:r w:rsidRPr="00E44EE9">
        <w:t>ecosystem viewpoint</w:t>
      </w:r>
      <w:r>
        <w:t>. Data processing will not be associated with a single organisation, but with a number of interconnected stakeholders.</w:t>
      </w:r>
      <w:r w:rsidR="00B1605B">
        <w:t xml:space="preserve"> Figure 1</w:t>
      </w:r>
      <w:r w:rsidR="00C16330">
        <w:t>6</w:t>
      </w:r>
      <w:r w:rsidR="00B1605B">
        <w:t xml:space="preserve"> </w:t>
      </w:r>
      <w:r w:rsidRPr="00E44EE9">
        <w:t xml:space="preserve">lists examples of </w:t>
      </w:r>
      <w:r>
        <w:t xml:space="preserve">such </w:t>
      </w:r>
      <w:r w:rsidRPr="00E44EE9">
        <w:t>stakeholders:</w:t>
      </w:r>
    </w:p>
    <w:p w14:paraId="6ED6DB91" w14:textId="77777777" w:rsidR="00D72003" w:rsidRPr="00E44EE9" w:rsidRDefault="00D72003" w:rsidP="009703F8">
      <w:pPr>
        <w:pStyle w:val="bullet0"/>
        <w:numPr>
          <w:ilvl w:val="0"/>
          <w:numId w:val="1"/>
        </w:numPr>
        <w:tabs>
          <w:tab w:val="num" w:pos="1342"/>
        </w:tabs>
        <w:ind w:left="714" w:hanging="357"/>
      </w:pPr>
      <w:r w:rsidRPr="00E44EE9">
        <w:t>Suppliers provide the components making up the ICT infrastructure: a sensor, a (smart device), a cloud system, electronic components, security components, operating systems, middleware, tools, methods and so forth.</w:t>
      </w:r>
    </w:p>
    <w:p w14:paraId="43B23BDE" w14:textId="77777777" w:rsidR="00D72003" w:rsidRPr="00E44EE9" w:rsidRDefault="00D72003" w:rsidP="00D72003">
      <w:pPr>
        <w:pStyle w:val="bullet0"/>
        <w:numPr>
          <w:ilvl w:val="0"/>
          <w:numId w:val="1"/>
        </w:numPr>
        <w:tabs>
          <w:tab w:val="num" w:pos="1342"/>
        </w:tabs>
        <w:ind w:left="714" w:hanging="357"/>
      </w:pPr>
      <w:r w:rsidRPr="00E44EE9">
        <w:t>Integrators build an ICT system, integrating the various components provided by suppliers.</w:t>
      </w:r>
    </w:p>
    <w:p w14:paraId="27AF8699" w14:textId="77777777" w:rsidR="00D72003" w:rsidRPr="00E44EE9" w:rsidRDefault="00D72003" w:rsidP="00D72003">
      <w:pPr>
        <w:pStyle w:val="bullet0"/>
        <w:numPr>
          <w:ilvl w:val="0"/>
          <w:numId w:val="1"/>
        </w:numPr>
        <w:tabs>
          <w:tab w:val="num" w:pos="1342"/>
        </w:tabs>
        <w:ind w:left="714" w:hanging="357"/>
      </w:pPr>
      <w:r w:rsidRPr="00E44EE9">
        <w:t xml:space="preserve">Operators deploy, operate and maintain the IoT system.  </w:t>
      </w:r>
    </w:p>
    <w:p w14:paraId="13CB51FC" w14:textId="77777777" w:rsidR="00D72003" w:rsidRPr="00E44EE9" w:rsidRDefault="00D72003" w:rsidP="00D72003">
      <w:pPr>
        <w:pStyle w:val="bullet0"/>
        <w:numPr>
          <w:ilvl w:val="0"/>
          <w:numId w:val="1"/>
        </w:numPr>
        <w:tabs>
          <w:tab w:val="num" w:pos="1342"/>
        </w:tabs>
        <w:ind w:left="714" w:hanging="357"/>
      </w:pPr>
      <w:r w:rsidRPr="00E44EE9">
        <w:t>Application managers are the interface with end-users.</w:t>
      </w:r>
    </w:p>
    <w:p w14:paraId="7A14DF13" w14:textId="77777777" w:rsidR="00D72003" w:rsidRPr="00E44EE9" w:rsidRDefault="00D72003" w:rsidP="00D72003">
      <w:pPr>
        <w:pStyle w:val="bullet0"/>
        <w:numPr>
          <w:ilvl w:val="0"/>
          <w:numId w:val="1"/>
        </w:numPr>
        <w:tabs>
          <w:tab w:val="num" w:pos="1342"/>
        </w:tabs>
        <w:ind w:left="714" w:hanging="357"/>
      </w:pPr>
      <w:r w:rsidRPr="00E44EE9">
        <w:t>Policy makers provide rules concerning the application.</w:t>
      </w:r>
    </w:p>
    <w:p w14:paraId="0DBED464" w14:textId="77777777" w:rsidR="00D72003" w:rsidRPr="00E44EE9" w:rsidRDefault="00D72003" w:rsidP="00D72003">
      <w:pPr>
        <w:pStyle w:val="bullet0"/>
        <w:numPr>
          <w:ilvl w:val="0"/>
          <w:numId w:val="1"/>
        </w:numPr>
        <w:tabs>
          <w:tab w:val="num" w:pos="1342"/>
        </w:tabs>
        <w:ind w:left="714" w:hanging="357"/>
      </w:pPr>
      <w:r w:rsidRPr="00E44EE9">
        <w:t>End users are the beneficiary of the IoT system.</w:t>
      </w:r>
    </w:p>
    <w:p w14:paraId="6CE6B6CC" w14:textId="77777777" w:rsidR="00D72003" w:rsidRPr="00E44EE9" w:rsidRDefault="00D72003" w:rsidP="00D72003">
      <w:pPr>
        <w:pStyle w:val="figurecentred"/>
      </w:pPr>
      <w:r w:rsidRPr="00A759FE">
        <w:rPr>
          <w:noProof/>
          <w:lang w:val="en-GB" w:eastAsia="en-GB" w:bidi="ar-SA"/>
        </w:rPr>
        <w:lastRenderedPageBreak/>
        <w:drawing>
          <wp:inline distT="0" distB="0" distL="0" distR="0" wp14:anchorId="29B32C45" wp14:editId="59B60E09">
            <wp:extent cx="2311400" cy="2026285"/>
            <wp:effectExtent l="0" t="0" r="0" b="0"/>
            <wp:docPr id="2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11400" cy="2026285"/>
                    </a:xfrm>
                    <a:prstGeom prst="rect">
                      <a:avLst/>
                    </a:prstGeom>
                    <a:noFill/>
                    <a:ln>
                      <a:noFill/>
                    </a:ln>
                  </pic:spPr>
                </pic:pic>
              </a:graphicData>
            </a:graphic>
          </wp:inline>
        </w:drawing>
      </w:r>
    </w:p>
    <w:p w14:paraId="69FFB255" w14:textId="3F18DF31" w:rsidR="00D72003" w:rsidRPr="00E44EE9" w:rsidRDefault="00D72003" w:rsidP="00D72003">
      <w:pPr>
        <w:pStyle w:val="figurecentred"/>
      </w:pPr>
      <w:bookmarkStart w:id="89" w:name="_Ref506287947"/>
      <w:r w:rsidRPr="00E44EE9">
        <w:t xml:space="preserve">Figure </w:t>
      </w:r>
      <w:r w:rsidR="00B1605B">
        <w:t>1</w:t>
      </w:r>
      <w:r w:rsidR="008D1698">
        <w:t>6</w:t>
      </w:r>
      <w:bookmarkEnd w:id="89"/>
      <w:r w:rsidRPr="00E44EE9">
        <w:t xml:space="preserve"> – Ecosystems Stakeholders </w:t>
      </w:r>
    </w:p>
    <w:p w14:paraId="4198B1C3" w14:textId="77777777" w:rsidR="00EC1071" w:rsidRDefault="00EC1071" w:rsidP="00C16330">
      <w:pPr>
        <w:jc w:val="both"/>
      </w:pPr>
    </w:p>
    <w:p w14:paraId="11695B65" w14:textId="0D77F9C2" w:rsidR="00D72003" w:rsidRPr="00E44EE9" w:rsidRDefault="00EC1071" w:rsidP="00C16330">
      <w:pPr>
        <w:jc w:val="both"/>
      </w:pPr>
      <w:r>
        <w:t>The following</w:t>
      </w:r>
      <w:r w:rsidR="00D72003" w:rsidRPr="00E44EE9">
        <w:t xml:space="preserve"> is an example for a smart transport application providing real-time traffic advice to citizens. End users are the inhabitants of a city. The application manager and the policy maker is the city. The operator can be a local SME associated with a major international cloud operator. The integrator can be a very large company with experience in building complex systems. The suppliers can be local producers of devices (e.g. a display system), an external start-up providing features for real-time advice, and a big operating system provider.</w:t>
      </w:r>
    </w:p>
    <w:p w14:paraId="11E3F67B" w14:textId="7BC5EA8C" w:rsidR="00D72003" w:rsidRPr="00E44EE9" w:rsidRDefault="00D72003" w:rsidP="00C16330">
      <w:pPr>
        <w:jc w:val="both"/>
      </w:pPr>
      <w:r w:rsidRPr="00E44EE9">
        <w:t xml:space="preserve">The resulting complexity of an ICT ecosystem also has an impact on the way security and privacy can be integrated. </w:t>
      </w:r>
      <w:r w:rsidR="00B1605B">
        <w:t>Figure 1</w:t>
      </w:r>
      <w:r w:rsidR="00507D7A">
        <w:t>7</w:t>
      </w:r>
      <w:r w:rsidR="00B1605B">
        <w:t xml:space="preserve"> </w:t>
      </w:r>
      <w:r w:rsidRPr="00E44EE9">
        <w:t>shows the specific roles and stakeholders that need to be taken into account when focusing on security and privacy.</w:t>
      </w:r>
    </w:p>
    <w:p w14:paraId="7173766A" w14:textId="77777777" w:rsidR="00D72003" w:rsidRPr="00E44EE9" w:rsidRDefault="00D72003" w:rsidP="00D72003">
      <w:r w:rsidRPr="00E44EE9">
        <w:t>From the security viewpoint:</w:t>
      </w:r>
    </w:p>
    <w:p w14:paraId="7592C760" w14:textId="77777777" w:rsidR="00D72003" w:rsidRPr="00E44EE9" w:rsidRDefault="00D72003" w:rsidP="00D72003">
      <w:pPr>
        <w:pStyle w:val="bullet0"/>
        <w:numPr>
          <w:ilvl w:val="0"/>
          <w:numId w:val="1"/>
        </w:numPr>
        <w:tabs>
          <w:tab w:val="num" w:pos="1342"/>
        </w:tabs>
        <w:ind w:left="714" w:hanging="357"/>
      </w:pPr>
      <w:r w:rsidRPr="00E44EE9">
        <w:t>suppliers provide components that may contain security capabilities (e.g. dedicated security hardware, or security mechanisms integrated in a larger component);</w:t>
      </w:r>
    </w:p>
    <w:p w14:paraId="1AF7AC48" w14:textId="77777777" w:rsidR="00D72003" w:rsidRPr="00E44EE9" w:rsidRDefault="00D72003" w:rsidP="00D72003">
      <w:pPr>
        <w:pStyle w:val="bullet0"/>
        <w:numPr>
          <w:ilvl w:val="0"/>
          <w:numId w:val="1"/>
        </w:numPr>
        <w:tabs>
          <w:tab w:val="num" w:pos="1342"/>
        </w:tabs>
        <w:ind w:left="714" w:hanging="357"/>
      </w:pPr>
      <w:r w:rsidRPr="00E44EE9">
        <w:t>integrators have to provide the overall security capabilities integrating those provided by suppliers;</w:t>
      </w:r>
    </w:p>
    <w:p w14:paraId="2A990A1E" w14:textId="77777777" w:rsidR="00D72003" w:rsidRPr="00E44EE9" w:rsidRDefault="00D72003" w:rsidP="00D72003">
      <w:pPr>
        <w:pStyle w:val="bullet0"/>
        <w:numPr>
          <w:ilvl w:val="0"/>
          <w:numId w:val="1"/>
        </w:numPr>
        <w:tabs>
          <w:tab w:val="num" w:pos="1342"/>
        </w:tabs>
        <w:ind w:left="714" w:hanging="357"/>
      </w:pPr>
      <w:r w:rsidRPr="00E44EE9">
        <w:t>security operators have to carry out the specific security operation duties (e.g. security supervision, security incident management);</w:t>
      </w:r>
    </w:p>
    <w:p w14:paraId="4C25F112" w14:textId="77777777" w:rsidR="00D72003" w:rsidRPr="00E44EE9" w:rsidRDefault="00D72003" w:rsidP="00D72003">
      <w:pPr>
        <w:pStyle w:val="bullet0"/>
        <w:numPr>
          <w:ilvl w:val="0"/>
          <w:numId w:val="1"/>
        </w:numPr>
        <w:tabs>
          <w:tab w:val="num" w:pos="1342"/>
        </w:tabs>
        <w:ind w:left="714" w:hanging="357"/>
      </w:pPr>
      <w:r w:rsidRPr="00E44EE9">
        <w:t>security authorities provide operation rules to the security operators (e.g. guidelines upon security incident):</w:t>
      </w:r>
    </w:p>
    <w:p w14:paraId="669E2703" w14:textId="77777777" w:rsidR="00D72003" w:rsidRPr="00E44EE9" w:rsidRDefault="00D72003" w:rsidP="00D72003">
      <w:pPr>
        <w:pStyle w:val="bullet0"/>
        <w:numPr>
          <w:ilvl w:val="0"/>
          <w:numId w:val="1"/>
        </w:numPr>
        <w:tabs>
          <w:tab w:val="num" w:pos="1342"/>
        </w:tabs>
        <w:ind w:left="714" w:hanging="357"/>
      </w:pPr>
      <w:r w:rsidRPr="00E44EE9">
        <w:t>auditors verify that operation rules are well followed (e.g. security management conformance);</w:t>
      </w:r>
    </w:p>
    <w:p w14:paraId="5C4B985F" w14:textId="77777777" w:rsidR="00D72003" w:rsidRPr="00E44EE9" w:rsidRDefault="00D72003" w:rsidP="00D72003">
      <w:pPr>
        <w:pStyle w:val="bullet0"/>
        <w:numPr>
          <w:ilvl w:val="0"/>
          <w:numId w:val="1"/>
        </w:numPr>
        <w:tabs>
          <w:tab w:val="num" w:pos="1342"/>
        </w:tabs>
        <w:ind w:left="714" w:hanging="357"/>
      </w:pPr>
      <w:r w:rsidRPr="00E44EE9">
        <w:t>application managers get the operation rules from the security authority;</w:t>
      </w:r>
    </w:p>
    <w:p w14:paraId="5B215F22" w14:textId="77777777" w:rsidR="00D72003" w:rsidRPr="00E44EE9" w:rsidRDefault="00D72003" w:rsidP="00D72003">
      <w:pPr>
        <w:pStyle w:val="bullet0"/>
        <w:numPr>
          <w:ilvl w:val="0"/>
          <w:numId w:val="1"/>
        </w:numPr>
        <w:tabs>
          <w:tab w:val="num" w:pos="1342"/>
        </w:tabs>
        <w:ind w:left="714" w:hanging="357"/>
      </w:pPr>
      <w:r w:rsidRPr="00E44EE9">
        <w:t>end users or the beneficiary of the IoT system are protected at the security level.</w:t>
      </w:r>
    </w:p>
    <w:p w14:paraId="2A4B8766" w14:textId="77777777" w:rsidR="00D72003" w:rsidRPr="00E44EE9" w:rsidRDefault="00D72003" w:rsidP="00D72003">
      <w:r w:rsidRPr="00E44EE9">
        <w:t>Likewise, from the privacy viewpoint:</w:t>
      </w:r>
    </w:p>
    <w:p w14:paraId="2E962B0C" w14:textId="77777777" w:rsidR="00D72003" w:rsidRPr="00E44EE9" w:rsidRDefault="00D72003" w:rsidP="00D72003">
      <w:pPr>
        <w:pStyle w:val="bullet0"/>
        <w:numPr>
          <w:ilvl w:val="0"/>
          <w:numId w:val="1"/>
        </w:numPr>
        <w:tabs>
          <w:tab w:val="num" w:pos="1342"/>
        </w:tabs>
        <w:ind w:left="714" w:hanging="357"/>
      </w:pPr>
      <w:r w:rsidRPr="00E44EE9">
        <w:t>suppliers provide components that may contain data protection capabilities (e.g. de-identification mechanisms);</w:t>
      </w:r>
    </w:p>
    <w:p w14:paraId="51FE40C7" w14:textId="77777777" w:rsidR="00D72003" w:rsidRPr="00E44EE9" w:rsidRDefault="00D72003" w:rsidP="00D72003">
      <w:pPr>
        <w:pStyle w:val="bullet0"/>
        <w:numPr>
          <w:ilvl w:val="0"/>
          <w:numId w:val="1"/>
        </w:numPr>
        <w:tabs>
          <w:tab w:val="num" w:pos="1342"/>
        </w:tabs>
        <w:ind w:left="714" w:hanging="357"/>
      </w:pPr>
      <w:r w:rsidRPr="00E44EE9">
        <w:t>integrators have to provide the overall data protection capabilities integrating those provided by suppliers;</w:t>
      </w:r>
    </w:p>
    <w:p w14:paraId="2207EED5" w14:textId="77777777" w:rsidR="00D72003" w:rsidRPr="00E44EE9" w:rsidRDefault="00D72003" w:rsidP="00D72003">
      <w:pPr>
        <w:pStyle w:val="bullet0"/>
        <w:numPr>
          <w:ilvl w:val="0"/>
          <w:numId w:val="1"/>
        </w:numPr>
        <w:tabs>
          <w:tab w:val="num" w:pos="1342"/>
        </w:tabs>
        <w:ind w:left="714" w:hanging="357"/>
      </w:pPr>
      <w:r w:rsidRPr="00E44EE9">
        <w:t>data controllers and data processors carry out data protection related operations (e.g. consent management, privacy breach management);</w:t>
      </w:r>
    </w:p>
    <w:p w14:paraId="2562215F" w14:textId="77777777" w:rsidR="00D72003" w:rsidRPr="00E44EE9" w:rsidRDefault="00D72003" w:rsidP="00D72003">
      <w:pPr>
        <w:pStyle w:val="bullet0"/>
        <w:numPr>
          <w:ilvl w:val="0"/>
          <w:numId w:val="1"/>
        </w:numPr>
        <w:tabs>
          <w:tab w:val="num" w:pos="1342"/>
        </w:tabs>
        <w:ind w:left="714" w:hanging="357"/>
      </w:pPr>
      <w:r w:rsidRPr="00E44EE9">
        <w:t>data protection authorities provide operation rules to the data controllers and data processors (e.g. privacy impact analysis guidelines);</w:t>
      </w:r>
    </w:p>
    <w:p w14:paraId="40A6F1A2" w14:textId="77777777" w:rsidR="00D72003" w:rsidRPr="00E44EE9" w:rsidRDefault="00D72003" w:rsidP="00D72003">
      <w:pPr>
        <w:pStyle w:val="bullet0"/>
        <w:numPr>
          <w:ilvl w:val="0"/>
          <w:numId w:val="1"/>
        </w:numPr>
        <w:tabs>
          <w:tab w:val="num" w:pos="1342"/>
        </w:tabs>
        <w:ind w:left="714" w:hanging="357"/>
      </w:pPr>
      <w:r w:rsidRPr="00E44EE9">
        <w:t>auditors verify that operation rules concerning privacy management are well followed;</w:t>
      </w:r>
    </w:p>
    <w:p w14:paraId="5F90AF90" w14:textId="77777777" w:rsidR="00D72003" w:rsidRPr="00E44EE9" w:rsidRDefault="00D72003" w:rsidP="00D72003">
      <w:pPr>
        <w:pStyle w:val="bullet0"/>
        <w:numPr>
          <w:ilvl w:val="0"/>
          <w:numId w:val="1"/>
        </w:numPr>
        <w:tabs>
          <w:tab w:val="num" w:pos="1342"/>
        </w:tabs>
        <w:ind w:left="714" w:hanging="357"/>
      </w:pPr>
      <w:r w:rsidRPr="00E44EE9">
        <w:lastRenderedPageBreak/>
        <w:t>application managers get the operation rules from the data protection authorities;</w:t>
      </w:r>
    </w:p>
    <w:p w14:paraId="4CAC0DBD" w14:textId="77777777" w:rsidR="00D72003" w:rsidRPr="00E44EE9" w:rsidRDefault="00D72003" w:rsidP="00D72003">
      <w:pPr>
        <w:pStyle w:val="bullet0"/>
        <w:numPr>
          <w:ilvl w:val="0"/>
          <w:numId w:val="1"/>
        </w:numPr>
        <w:tabs>
          <w:tab w:val="num" w:pos="1342"/>
        </w:tabs>
        <w:ind w:left="714" w:hanging="357"/>
      </w:pPr>
      <w:r w:rsidRPr="00E44EE9">
        <w:t>end-users or citizens using the IoT system are protected at the privacy level.</w:t>
      </w:r>
    </w:p>
    <w:p w14:paraId="7F97F11C" w14:textId="77777777" w:rsidR="00D72003" w:rsidRPr="00E44EE9" w:rsidRDefault="00D72003" w:rsidP="00D72003">
      <w:pPr>
        <w:pStyle w:val="figurecentred"/>
      </w:pPr>
      <w:r w:rsidRPr="00A759FE">
        <w:rPr>
          <w:noProof/>
          <w:lang w:val="en-GB" w:eastAsia="en-GB" w:bidi="ar-SA"/>
        </w:rPr>
        <w:drawing>
          <wp:inline distT="0" distB="0" distL="0" distR="0" wp14:anchorId="3845473C" wp14:editId="54CAAC13">
            <wp:extent cx="4345305" cy="2136140"/>
            <wp:effectExtent l="0" t="0" r="0" b="0"/>
            <wp:docPr id="2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45305" cy="2136140"/>
                    </a:xfrm>
                    <a:prstGeom prst="rect">
                      <a:avLst/>
                    </a:prstGeom>
                    <a:noFill/>
                    <a:ln>
                      <a:noFill/>
                    </a:ln>
                  </pic:spPr>
                </pic:pic>
              </a:graphicData>
            </a:graphic>
          </wp:inline>
        </w:drawing>
      </w:r>
    </w:p>
    <w:p w14:paraId="0309BD21" w14:textId="0A105B3A" w:rsidR="00D72003" w:rsidRDefault="00D72003" w:rsidP="00D72003">
      <w:pPr>
        <w:pStyle w:val="figurecentred"/>
      </w:pPr>
      <w:bookmarkStart w:id="90" w:name="_Ref506294650"/>
      <w:r w:rsidRPr="00E44EE9">
        <w:t>Figur</w:t>
      </w:r>
      <w:bookmarkEnd w:id="90"/>
      <w:r w:rsidR="00B1605B">
        <w:t>e 1</w:t>
      </w:r>
      <w:r w:rsidR="008D1698">
        <w:t>7</w:t>
      </w:r>
      <w:r w:rsidRPr="00E44EE9">
        <w:t xml:space="preserve"> – Ecosystems Stakeholders from a Security and Privacy Viewpoint</w:t>
      </w:r>
    </w:p>
    <w:p w14:paraId="2C44D583" w14:textId="77777777" w:rsidR="00EC1071" w:rsidRDefault="00EC1071" w:rsidP="00507D7A">
      <w:pPr>
        <w:jc w:val="both"/>
      </w:pPr>
    </w:p>
    <w:p w14:paraId="27A95B81" w14:textId="20C47839" w:rsidR="00D72003" w:rsidRDefault="00D72003" w:rsidP="00507D7A">
      <w:pPr>
        <w:jc w:val="both"/>
      </w:pPr>
      <w:r w:rsidRPr="00E44EE9">
        <w:t xml:space="preserve">A security and privacy framework for data processing management should take into account </w:t>
      </w:r>
      <w:r>
        <w:t>an interoperability</w:t>
      </w:r>
      <w:r w:rsidRPr="00E44EE9">
        <w:t xml:space="preserve"> viewpoint</w:t>
      </w:r>
      <w:r>
        <w:t>. This is motivated by two interoperability scenarios: a supplier scenario and a data sharing agreement scenario.</w:t>
      </w:r>
    </w:p>
    <w:p w14:paraId="27282667" w14:textId="64711951" w:rsidR="00D72003" w:rsidRPr="00E44EE9" w:rsidRDefault="00B1605B" w:rsidP="00D72003">
      <w:r>
        <w:t>Figure 1</w:t>
      </w:r>
      <w:r w:rsidR="00507D7A">
        <w:t>8</w:t>
      </w:r>
      <w:r>
        <w:t xml:space="preserve"> </w:t>
      </w:r>
      <w:r w:rsidR="00D72003">
        <w:t>illustrates a supplier scenario</w:t>
      </w:r>
      <w:r w:rsidR="00D72003" w:rsidRPr="00E44EE9">
        <w:t>:</w:t>
      </w:r>
    </w:p>
    <w:p w14:paraId="4A561349" w14:textId="77777777" w:rsidR="00D72003" w:rsidRPr="00E44EE9" w:rsidRDefault="00D72003" w:rsidP="00D72003">
      <w:pPr>
        <w:pStyle w:val="bullet0"/>
        <w:numPr>
          <w:ilvl w:val="0"/>
          <w:numId w:val="1"/>
        </w:numPr>
        <w:tabs>
          <w:tab w:val="num" w:pos="1342"/>
        </w:tabs>
        <w:ind w:left="714" w:hanging="357"/>
      </w:pPr>
      <w:r w:rsidRPr="00E44EE9">
        <w:t>suppliers provide data processing security and privacy capabilities;</w:t>
      </w:r>
    </w:p>
    <w:p w14:paraId="632EB780" w14:textId="77777777" w:rsidR="00D72003" w:rsidRPr="00E44EE9" w:rsidRDefault="00D72003" w:rsidP="00D72003">
      <w:pPr>
        <w:pStyle w:val="bullet0"/>
        <w:numPr>
          <w:ilvl w:val="0"/>
          <w:numId w:val="1"/>
        </w:numPr>
        <w:tabs>
          <w:tab w:val="num" w:pos="1342"/>
        </w:tabs>
        <w:ind w:left="714" w:hanging="357"/>
      </w:pPr>
      <w:r w:rsidRPr="00E44EE9">
        <w:t>these capabilities are integrated in the subsystems that the suppliers are providing to an integrator;</w:t>
      </w:r>
    </w:p>
    <w:p w14:paraId="12429D7E" w14:textId="77777777" w:rsidR="00D72003" w:rsidRPr="00E44EE9" w:rsidRDefault="00D72003" w:rsidP="00D72003">
      <w:pPr>
        <w:pStyle w:val="bullet0"/>
        <w:numPr>
          <w:ilvl w:val="0"/>
          <w:numId w:val="1"/>
        </w:numPr>
        <w:tabs>
          <w:tab w:val="num" w:pos="1342"/>
        </w:tabs>
        <w:ind w:left="714" w:hanging="357"/>
      </w:pPr>
      <w:r w:rsidRPr="00E44EE9">
        <w:t>the integrator must ensure that the overall data processing security and privacy capability integrates properly the suppliers’ capabilities;</w:t>
      </w:r>
    </w:p>
    <w:p w14:paraId="20A0A525" w14:textId="77777777" w:rsidR="00D72003" w:rsidRPr="00E44EE9" w:rsidRDefault="00D72003" w:rsidP="00D72003">
      <w:pPr>
        <w:pStyle w:val="bullet0"/>
        <w:numPr>
          <w:ilvl w:val="0"/>
          <w:numId w:val="1"/>
        </w:numPr>
        <w:tabs>
          <w:tab w:val="num" w:pos="1342"/>
        </w:tabs>
        <w:ind w:left="714" w:hanging="357"/>
      </w:pPr>
      <w:r w:rsidRPr="00E44EE9">
        <w:t>these capabilities are used by data processing stakeholders, e.g. a market place operator, or a service provider.</w:t>
      </w:r>
    </w:p>
    <w:p w14:paraId="4DEC4306" w14:textId="77777777" w:rsidR="00D72003" w:rsidRPr="00E44EE9" w:rsidRDefault="00D72003" w:rsidP="00D72003">
      <w:pPr>
        <w:pStyle w:val="figurecentred"/>
      </w:pPr>
      <w:r w:rsidRPr="00CA5046">
        <w:rPr>
          <w:noProof/>
          <w:lang w:val="en-GB" w:eastAsia="en-GB" w:bidi="ar-SA"/>
        </w:rPr>
        <w:drawing>
          <wp:inline distT="0" distB="0" distL="0" distR="0" wp14:anchorId="7E384897" wp14:editId="5045B414">
            <wp:extent cx="2362217" cy="2890859"/>
            <wp:effectExtent l="0" t="0" r="0" b="508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362217" cy="2890859"/>
                    </a:xfrm>
                    <a:prstGeom prst="rect">
                      <a:avLst/>
                    </a:prstGeom>
                  </pic:spPr>
                </pic:pic>
              </a:graphicData>
            </a:graphic>
          </wp:inline>
        </w:drawing>
      </w:r>
    </w:p>
    <w:p w14:paraId="7BD41B10" w14:textId="79E465FB" w:rsidR="00D72003" w:rsidRPr="00E44EE9" w:rsidRDefault="00D72003" w:rsidP="00D72003">
      <w:pPr>
        <w:pStyle w:val="figurecentred"/>
      </w:pPr>
      <w:bookmarkStart w:id="91" w:name="_Ref506303416"/>
      <w:r w:rsidRPr="00E44EE9">
        <w:t xml:space="preserve">Figure </w:t>
      </w:r>
      <w:bookmarkEnd w:id="91"/>
      <w:r w:rsidR="00B1605B">
        <w:t>1</w:t>
      </w:r>
      <w:r w:rsidR="008D1698">
        <w:t>8</w:t>
      </w:r>
      <w:r w:rsidRPr="00E44EE9">
        <w:t xml:space="preserve"> – </w:t>
      </w:r>
      <w:r>
        <w:t>Interoperability in a Supplier Scenario</w:t>
      </w:r>
    </w:p>
    <w:p w14:paraId="5F176D2E" w14:textId="77777777" w:rsidR="00EC1071" w:rsidRDefault="00EC1071" w:rsidP="00D72003"/>
    <w:p w14:paraId="131F2582" w14:textId="50120A06" w:rsidR="00D72003" w:rsidRPr="00E44EE9" w:rsidRDefault="00B1605B" w:rsidP="00D72003">
      <w:r>
        <w:t>Figure 1</w:t>
      </w:r>
      <w:r w:rsidR="00EC1071">
        <w:t>9</w:t>
      </w:r>
      <w:r>
        <w:t xml:space="preserve"> </w:t>
      </w:r>
      <w:r w:rsidR="00D72003">
        <w:t>illustrates a data sharing agreement scenario</w:t>
      </w:r>
      <w:r w:rsidR="00D72003" w:rsidRPr="00E44EE9">
        <w:t>:</w:t>
      </w:r>
    </w:p>
    <w:p w14:paraId="2CEEA6E6" w14:textId="77777777" w:rsidR="00D72003" w:rsidRPr="00E44EE9" w:rsidRDefault="00D72003" w:rsidP="00D72003">
      <w:pPr>
        <w:pStyle w:val="bullet0"/>
        <w:numPr>
          <w:ilvl w:val="0"/>
          <w:numId w:val="1"/>
        </w:numPr>
        <w:tabs>
          <w:tab w:val="num" w:pos="1342"/>
        </w:tabs>
        <w:ind w:left="714" w:hanging="357"/>
      </w:pPr>
      <w:r w:rsidRPr="00E44EE9">
        <w:lastRenderedPageBreak/>
        <w:t>two data processing stakeholders A and B negotiates a data sharing agreement;</w:t>
      </w:r>
    </w:p>
    <w:p w14:paraId="5A8581A5" w14:textId="77777777" w:rsidR="00D72003" w:rsidRPr="00E44EE9" w:rsidRDefault="00D72003" w:rsidP="00D72003">
      <w:pPr>
        <w:pStyle w:val="bullet0"/>
        <w:numPr>
          <w:ilvl w:val="0"/>
          <w:numId w:val="1"/>
        </w:numPr>
        <w:tabs>
          <w:tab w:val="num" w:pos="1342"/>
        </w:tabs>
        <w:ind w:left="714" w:hanging="357"/>
      </w:pPr>
      <w:r w:rsidRPr="00E44EE9">
        <w:t>data processing stakeholder A provides data to data processing stakeholder B;</w:t>
      </w:r>
    </w:p>
    <w:p w14:paraId="4ECB8AB4" w14:textId="77777777" w:rsidR="00D72003" w:rsidRPr="00E44EE9" w:rsidRDefault="00D72003" w:rsidP="00D72003">
      <w:pPr>
        <w:pStyle w:val="bullet0"/>
        <w:numPr>
          <w:ilvl w:val="0"/>
          <w:numId w:val="1"/>
        </w:numPr>
        <w:tabs>
          <w:tab w:val="num" w:pos="1342"/>
        </w:tabs>
        <w:ind w:left="714" w:hanging="357"/>
      </w:pPr>
      <w:r w:rsidRPr="00E44EE9">
        <w:t>the data sharing agreement set outs obligations on data processing security and privacy capabilities provide</w:t>
      </w:r>
      <w:r>
        <w:t>d</w:t>
      </w:r>
      <w:r w:rsidRPr="00E44EE9">
        <w:t xml:space="preserve"> by each stakeholder.  </w:t>
      </w:r>
    </w:p>
    <w:p w14:paraId="71950D94" w14:textId="77777777" w:rsidR="00D72003" w:rsidRPr="00E44EE9" w:rsidRDefault="00D72003" w:rsidP="00D72003">
      <w:pPr>
        <w:pStyle w:val="figurecentred"/>
      </w:pPr>
      <w:r w:rsidRPr="00CA5046">
        <w:rPr>
          <w:noProof/>
          <w:lang w:val="en-GB" w:eastAsia="en-GB" w:bidi="ar-SA"/>
        </w:rPr>
        <w:drawing>
          <wp:inline distT="0" distB="0" distL="0" distR="0" wp14:anchorId="1D1A3A69" wp14:editId="123F8B24">
            <wp:extent cx="3176649" cy="1719198"/>
            <wp:effectExtent l="0" t="0" r="508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3180441" cy="1721250"/>
                    </a:xfrm>
                    <a:prstGeom prst="rect">
                      <a:avLst/>
                    </a:prstGeom>
                  </pic:spPr>
                </pic:pic>
              </a:graphicData>
            </a:graphic>
          </wp:inline>
        </w:drawing>
      </w:r>
    </w:p>
    <w:p w14:paraId="7E36E012" w14:textId="3F2380D4" w:rsidR="00D72003" w:rsidRPr="00E44EE9" w:rsidRDefault="00D72003" w:rsidP="00D72003">
      <w:pPr>
        <w:pStyle w:val="figurecentred"/>
      </w:pPr>
      <w:bookmarkStart w:id="92" w:name="_Ref506311554"/>
      <w:r w:rsidRPr="00E44EE9">
        <w:t xml:space="preserve">Figure </w:t>
      </w:r>
      <w:bookmarkEnd w:id="92"/>
      <w:r w:rsidR="00B1605B">
        <w:t>1</w:t>
      </w:r>
      <w:r w:rsidR="008D1698">
        <w:t>9</w:t>
      </w:r>
      <w:r w:rsidRPr="00E44EE9">
        <w:t xml:space="preserve"> – </w:t>
      </w:r>
      <w:r>
        <w:t>Interoperability in a data sharing agreement scenario</w:t>
      </w:r>
    </w:p>
    <w:p w14:paraId="1A3F15BE" w14:textId="498D3359" w:rsidR="00D72003" w:rsidRPr="00E44EE9" w:rsidRDefault="00D72003" w:rsidP="00D72003">
      <w:r w:rsidRPr="00E44EE9">
        <w:t>The fact that different stakeholders must combine security and privacy capabilities means that a common security and privacy description is needed (for instance a common information model integrating security and privacy descriptions), as show</w:t>
      </w:r>
      <w:r w:rsidR="00B1605B">
        <w:t>n</w:t>
      </w:r>
      <w:r w:rsidRPr="00E44EE9">
        <w:t xml:space="preserve"> by</w:t>
      </w:r>
      <w:r w:rsidR="00B1605B">
        <w:t xml:space="preserve"> Figure </w:t>
      </w:r>
      <w:r w:rsidR="00EC1071">
        <w:t>20</w:t>
      </w:r>
      <w:r w:rsidRPr="00E44EE9">
        <w:t>.</w:t>
      </w:r>
    </w:p>
    <w:p w14:paraId="0131CF9A" w14:textId="77777777" w:rsidR="00D72003" w:rsidRPr="00E44EE9" w:rsidRDefault="00D72003" w:rsidP="00D72003">
      <w:pPr>
        <w:pStyle w:val="figurecentred"/>
      </w:pPr>
      <w:r w:rsidRPr="00CA5046">
        <w:rPr>
          <w:noProof/>
          <w:lang w:val="en-GB" w:eastAsia="en-GB" w:bidi="ar-SA"/>
        </w:rPr>
        <w:drawing>
          <wp:inline distT="0" distB="0" distL="0" distR="0" wp14:anchorId="2AC99203" wp14:editId="11F33DD5">
            <wp:extent cx="3599469" cy="1258865"/>
            <wp:effectExtent l="0" t="0" r="127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3607192" cy="1261566"/>
                    </a:xfrm>
                    <a:prstGeom prst="rect">
                      <a:avLst/>
                    </a:prstGeom>
                  </pic:spPr>
                </pic:pic>
              </a:graphicData>
            </a:graphic>
          </wp:inline>
        </w:drawing>
      </w:r>
    </w:p>
    <w:p w14:paraId="6EF5F58C" w14:textId="4EB54D16" w:rsidR="00D72003" w:rsidRPr="00E44EE9" w:rsidRDefault="00D72003" w:rsidP="00D72003">
      <w:pPr>
        <w:pStyle w:val="figurecentred"/>
      </w:pPr>
      <w:bookmarkStart w:id="93" w:name="_Ref506315259"/>
      <w:r w:rsidRPr="00E44EE9">
        <w:t xml:space="preserve">Figure </w:t>
      </w:r>
      <w:bookmarkEnd w:id="93"/>
      <w:r w:rsidR="008D1698">
        <w:t>20</w:t>
      </w:r>
      <w:r w:rsidRPr="00E44EE9">
        <w:t xml:space="preserve"> – Common Security and Privacy Capability Descriptions</w:t>
      </w:r>
    </w:p>
    <w:p w14:paraId="6CD9FB50" w14:textId="48F7B7FF" w:rsidR="00D72003" w:rsidRDefault="007201C3" w:rsidP="00D72003">
      <w:pPr>
        <w:pStyle w:val="Heading2"/>
        <w:rPr>
          <w:lang w:val="en-US"/>
        </w:rPr>
      </w:pPr>
      <w:bookmarkStart w:id="94" w:name="_Toc4629860"/>
      <w:bookmarkStart w:id="95" w:name="_Toc14367845"/>
      <w:r>
        <w:t>7</w:t>
      </w:r>
      <w:r w:rsidR="00D72003">
        <w:t>.</w:t>
      </w:r>
      <w:r w:rsidR="009C39A7">
        <w:t>4</w:t>
      </w:r>
      <w:r w:rsidR="00D72003">
        <w:rPr>
          <w:lang w:val="en-US"/>
        </w:rPr>
        <w:tab/>
        <w:t>Governance enablers</w:t>
      </w:r>
      <w:bookmarkEnd w:id="94"/>
      <w:bookmarkEnd w:id="95"/>
    </w:p>
    <w:p w14:paraId="018B1065" w14:textId="6984C23D" w:rsidR="00D72003" w:rsidRPr="00A8258B" w:rsidRDefault="00F81CCA" w:rsidP="00D72003">
      <w:r>
        <w:t xml:space="preserve">Table 6 </w:t>
      </w:r>
      <w:r w:rsidR="00D72003">
        <w:t xml:space="preserve">provides a list of </w:t>
      </w:r>
      <w:r w:rsidR="009058B5">
        <w:t>elements</w:t>
      </w:r>
      <w:r w:rsidR="00D72003">
        <w:t xml:space="preserve"> that are useful for </w:t>
      </w:r>
      <w:r w:rsidR="009058B5">
        <w:t xml:space="preserve">describing and structuring </w:t>
      </w:r>
      <w:r w:rsidR="00D72003">
        <w:t>governance.</w:t>
      </w:r>
    </w:p>
    <w:tbl>
      <w:tblPr>
        <w:tblW w:w="9357" w:type="dxa"/>
        <w:jc w:val="center"/>
        <w:tblLayout w:type="fixed"/>
        <w:tblLook w:val="04A0" w:firstRow="1" w:lastRow="0" w:firstColumn="1" w:lastColumn="0" w:noHBand="0" w:noVBand="1"/>
      </w:tblPr>
      <w:tblGrid>
        <w:gridCol w:w="1135"/>
        <w:gridCol w:w="1134"/>
        <w:gridCol w:w="1701"/>
        <w:gridCol w:w="5387"/>
      </w:tblGrid>
      <w:tr w:rsidR="00D72003" w:rsidRPr="00D56570" w14:paraId="4F8DF55D" w14:textId="77777777" w:rsidTr="00D72003">
        <w:trPr>
          <w:jc w:val="center"/>
        </w:trPr>
        <w:tc>
          <w:tcPr>
            <w:tcW w:w="22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F00AE8F" w14:textId="77777777" w:rsidR="00D72003" w:rsidRPr="00EC1071" w:rsidRDefault="00D72003" w:rsidP="00D72003">
            <w:pPr>
              <w:pStyle w:val="TableauNormal1"/>
              <w:rPr>
                <w:szCs w:val="20"/>
                <w:lang w:val="en-US"/>
              </w:rPr>
            </w:pPr>
            <w:r w:rsidRPr="00EC1071">
              <w:rPr>
                <w:szCs w:val="20"/>
                <w:lang w:val="en-US"/>
              </w:rPr>
              <w:t>Enablers</w:t>
            </w:r>
          </w:p>
        </w:tc>
        <w:tc>
          <w:tcPr>
            <w:tcW w:w="1701" w:type="dxa"/>
            <w:tcBorders>
              <w:top w:val="single" w:sz="8" w:space="0" w:color="auto"/>
              <w:left w:val="nil"/>
              <w:bottom w:val="single" w:sz="8" w:space="0" w:color="auto"/>
              <w:right w:val="single" w:sz="8" w:space="0" w:color="auto"/>
            </w:tcBorders>
            <w:shd w:val="clear" w:color="auto" w:fill="C6D9F1" w:themeFill="text2" w:themeFillTint="33"/>
            <w:vAlign w:val="center"/>
          </w:tcPr>
          <w:p w14:paraId="683582CF" w14:textId="77777777" w:rsidR="00D72003" w:rsidRPr="00EC1071" w:rsidRDefault="00D72003" w:rsidP="00D72003">
            <w:pPr>
              <w:pStyle w:val="TableauNormal1"/>
              <w:rPr>
                <w:szCs w:val="20"/>
              </w:rPr>
            </w:pPr>
            <w:r w:rsidRPr="00EC1071">
              <w:rPr>
                <w:szCs w:val="20"/>
                <w:lang w:val="en-US"/>
              </w:rPr>
              <w:t>Key components</w:t>
            </w:r>
          </w:p>
        </w:tc>
        <w:tc>
          <w:tcPr>
            <w:tcW w:w="5387" w:type="dxa"/>
            <w:tcBorders>
              <w:top w:val="single" w:sz="8" w:space="0" w:color="auto"/>
              <w:left w:val="nil"/>
              <w:bottom w:val="single" w:sz="8" w:space="0" w:color="auto"/>
              <w:right w:val="single" w:sz="8" w:space="0" w:color="auto"/>
            </w:tcBorders>
            <w:shd w:val="clear" w:color="auto" w:fill="C6D9F1" w:themeFill="text2" w:themeFillTint="33"/>
            <w:vAlign w:val="center"/>
          </w:tcPr>
          <w:p w14:paraId="67E822DA" w14:textId="77777777" w:rsidR="00D72003" w:rsidRPr="00EC1071" w:rsidRDefault="00D72003" w:rsidP="00D72003">
            <w:pPr>
              <w:pStyle w:val="TableauNormal1"/>
              <w:rPr>
                <w:szCs w:val="20"/>
                <w:lang w:val="en-US"/>
              </w:rPr>
            </w:pPr>
            <w:r w:rsidRPr="00EC1071">
              <w:rPr>
                <w:szCs w:val="20"/>
                <w:lang w:val="en-US"/>
              </w:rPr>
              <w:t>Requirements and roles</w:t>
            </w:r>
          </w:p>
        </w:tc>
      </w:tr>
      <w:tr w:rsidR="00D72003" w:rsidRPr="00D56570" w14:paraId="1CBEB829" w14:textId="77777777" w:rsidTr="00D72003">
        <w:trPr>
          <w:jc w:val="center"/>
        </w:trPr>
        <w:tc>
          <w:tcPr>
            <w:tcW w:w="2269"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40AC768" w14:textId="77777777" w:rsidR="00D72003" w:rsidRPr="00EC1071" w:rsidRDefault="00D72003" w:rsidP="00D72003">
            <w:pPr>
              <w:pStyle w:val="TableauNormal1"/>
              <w:rPr>
                <w:szCs w:val="20"/>
                <w:lang w:val="en-US"/>
              </w:rPr>
            </w:pPr>
            <w:r w:rsidRPr="00EC1071">
              <w:rPr>
                <w:szCs w:val="20"/>
                <w:lang w:val="en-US"/>
              </w:rPr>
              <w:t>Governing subject (Arrangement of governance)</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7C90935B" w14:textId="77777777" w:rsidR="00D72003" w:rsidRPr="00EC1071" w:rsidRDefault="00D72003" w:rsidP="00D72003">
            <w:pPr>
              <w:pStyle w:val="TableauNormal1"/>
              <w:rPr>
                <w:szCs w:val="20"/>
                <w:lang w:val="en-US"/>
              </w:rPr>
            </w:pPr>
            <w:r w:rsidRPr="00EC1071">
              <w:rPr>
                <w:szCs w:val="20"/>
                <w:lang w:val="en-US"/>
              </w:rPr>
              <w:t>Government</w:t>
            </w:r>
          </w:p>
        </w:tc>
        <w:tc>
          <w:tcPr>
            <w:tcW w:w="5387" w:type="dxa"/>
            <w:tcBorders>
              <w:top w:val="single" w:sz="8" w:space="0" w:color="auto"/>
              <w:left w:val="single" w:sz="8" w:space="0" w:color="auto"/>
              <w:bottom w:val="single" w:sz="8" w:space="0" w:color="auto"/>
              <w:right w:val="single" w:sz="8" w:space="0" w:color="auto"/>
            </w:tcBorders>
            <w:shd w:val="clear" w:color="auto" w:fill="auto"/>
            <w:vAlign w:val="center"/>
          </w:tcPr>
          <w:p w14:paraId="5171FB33" w14:textId="77777777" w:rsidR="00D72003" w:rsidRPr="00EC1071" w:rsidRDefault="00D72003" w:rsidP="00D72003">
            <w:pPr>
              <w:pStyle w:val="TableauNormal1"/>
              <w:rPr>
                <w:rFonts w:eastAsia="SimSun"/>
                <w:szCs w:val="20"/>
                <w:lang w:val="en-US"/>
              </w:rPr>
            </w:pPr>
            <w:r w:rsidRPr="00EC1071">
              <w:rPr>
                <w:rFonts w:eastAsia="SimSun"/>
                <w:szCs w:val="20"/>
                <w:lang w:val="en-US"/>
              </w:rPr>
              <w:t>Responsibilities, commitment</w:t>
            </w:r>
          </w:p>
        </w:tc>
      </w:tr>
      <w:tr w:rsidR="00D72003" w:rsidRPr="00D56570" w14:paraId="34F9CF94" w14:textId="77777777" w:rsidTr="00D72003">
        <w:trPr>
          <w:jc w:val="center"/>
        </w:trPr>
        <w:tc>
          <w:tcPr>
            <w:tcW w:w="2269" w:type="dxa"/>
            <w:gridSpan w:val="2"/>
            <w:vMerge/>
            <w:tcBorders>
              <w:top w:val="single" w:sz="8" w:space="0" w:color="auto"/>
              <w:left w:val="single" w:sz="8" w:space="0" w:color="auto"/>
              <w:bottom w:val="single" w:sz="8" w:space="0" w:color="auto"/>
              <w:right w:val="single" w:sz="8" w:space="0" w:color="auto"/>
            </w:tcBorders>
            <w:vAlign w:val="center"/>
          </w:tcPr>
          <w:p w14:paraId="5BABAE32" w14:textId="77777777" w:rsidR="00D72003" w:rsidRPr="00EC1071" w:rsidRDefault="00D72003" w:rsidP="00D72003">
            <w:pPr>
              <w:pStyle w:val="TableauNormal1"/>
              <w:rPr>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6446A1EF" w14:textId="77777777" w:rsidR="00D72003" w:rsidRPr="00EC1071" w:rsidRDefault="00D72003" w:rsidP="00D72003">
            <w:pPr>
              <w:pStyle w:val="TableauNormal1"/>
              <w:rPr>
                <w:szCs w:val="20"/>
                <w:lang w:val="en-US"/>
              </w:rPr>
            </w:pPr>
            <w:r w:rsidRPr="00EC1071">
              <w:rPr>
                <w:szCs w:val="20"/>
                <w:lang w:val="en-US"/>
              </w:rPr>
              <w:t>enterprise</w:t>
            </w:r>
          </w:p>
        </w:tc>
        <w:tc>
          <w:tcPr>
            <w:tcW w:w="5387" w:type="dxa"/>
            <w:tcBorders>
              <w:top w:val="single" w:sz="8" w:space="0" w:color="auto"/>
              <w:left w:val="single" w:sz="8" w:space="0" w:color="auto"/>
              <w:bottom w:val="single" w:sz="8" w:space="0" w:color="auto"/>
              <w:right w:val="single" w:sz="8" w:space="0" w:color="auto"/>
            </w:tcBorders>
            <w:shd w:val="clear" w:color="auto" w:fill="auto"/>
            <w:vAlign w:val="center"/>
          </w:tcPr>
          <w:p w14:paraId="04BF2BA3" w14:textId="77777777" w:rsidR="00D72003" w:rsidRPr="00EC1071" w:rsidRDefault="00D72003" w:rsidP="00D72003">
            <w:pPr>
              <w:pStyle w:val="TableauNormal1"/>
              <w:rPr>
                <w:rFonts w:eastAsia="SimSun"/>
                <w:szCs w:val="20"/>
                <w:lang w:val="en-US"/>
              </w:rPr>
            </w:pPr>
            <w:r w:rsidRPr="00EC1071">
              <w:rPr>
                <w:rFonts w:eastAsia="SimSun"/>
                <w:szCs w:val="20"/>
                <w:lang w:val="en-US"/>
              </w:rPr>
              <w:t>Obligations, engagement</w:t>
            </w:r>
          </w:p>
        </w:tc>
      </w:tr>
      <w:tr w:rsidR="00D72003" w:rsidRPr="00D56570" w14:paraId="402F3F4D" w14:textId="77777777" w:rsidTr="00D72003">
        <w:trPr>
          <w:jc w:val="center"/>
        </w:trPr>
        <w:tc>
          <w:tcPr>
            <w:tcW w:w="2269" w:type="dxa"/>
            <w:gridSpan w:val="2"/>
            <w:vMerge/>
            <w:tcBorders>
              <w:top w:val="single" w:sz="8" w:space="0" w:color="auto"/>
              <w:left w:val="single" w:sz="8" w:space="0" w:color="auto"/>
              <w:bottom w:val="single" w:sz="8" w:space="0" w:color="auto"/>
              <w:right w:val="single" w:sz="8" w:space="0" w:color="auto"/>
            </w:tcBorders>
            <w:vAlign w:val="center"/>
          </w:tcPr>
          <w:p w14:paraId="6E9D1F8E" w14:textId="77777777" w:rsidR="00D72003" w:rsidRPr="00EC1071" w:rsidRDefault="00D72003" w:rsidP="00D72003">
            <w:pPr>
              <w:pStyle w:val="TableauNormal1"/>
              <w:rPr>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1CD06CAB" w14:textId="77777777" w:rsidR="00D72003" w:rsidRPr="00EC1071" w:rsidRDefault="00D72003" w:rsidP="00D72003">
            <w:pPr>
              <w:pStyle w:val="TableauNormal1"/>
              <w:rPr>
                <w:szCs w:val="20"/>
                <w:lang w:val="en-US"/>
              </w:rPr>
            </w:pPr>
            <w:r w:rsidRPr="00EC1071">
              <w:rPr>
                <w:szCs w:val="20"/>
                <w:lang w:val="en-US"/>
              </w:rPr>
              <w:t>individual</w:t>
            </w:r>
          </w:p>
        </w:tc>
        <w:tc>
          <w:tcPr>
            <w:tcW w:w="5387" w:type="dxa"/>
            <w:tcBorders>
              <w:top w:val="single" w:sz="8" w:space="0" w:color="auto"/>
              <w:left w:val="single" w:sz="8" w:space="0" w:color="auto"/>
              <w:bottom w:val="single" w:sz="8" w:space="0" w:color="auto"/>
              <w:right w:val="single" w:sz="8" w:space="0" w:color="auto"/>
            </w:tcBorders>
            <w:shd w:val="clear" w:color="auto" w:fill="auto"/>
            <w:vAlign w:val="center"/>
          </w:tcPr>
          <w:p w14:paraId="02E5AD1F" w14:textId="77777777" w:rsidR="00D72003" w:rsidRPr="00EC1071" w:rsidRDefault="00D72003" w:rsidP="00D72003">
            <w:pPr>
              <w:pStyle w:val="TableauNormal1"/>
              <w:rPr>
                <w:rFonts w:eastAsia="SimSun"/>
                <w:szCs w:val="20"/>
                <w:lang w:val="en-US"/>
              </w:rPr>
            </w:pPr>
            <w:r w:rsidRPr="00EC1071">
              <w:rPr>
                <w:rFonts w:eastAsia="SimSun"/>
                <w:szCs w:val="20"/>
                <w:lang w:val="en-US"/>
              </w:rPr>
              <w:t>Right and benefit, involvement</w:t>
            </w:r>
          </w:p>
        </w:tc>
      </w:tr>
      <w:tr w:rsidR="00D72003" w:rsidRPr="00D56570" w14:paraId="2B3FEE66" w14:textId="77777777" w:rsidTr="00D72003">
        <w:trPr>
          <w:jc w:val="center"/>
        </w:trPr>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F9C39EC" w14:textId="77777777" w:rsidR="00D72003" w:rsidRPr="00EC1071" w:rsidRDefault="00D72003" w:rsidP="00D72003">
            <w:pPr>
              <w:pStyle w:val="TableauNormal1"/>
              <w:rPr>
                <w:szCs w:val="20"/>
                <w:lang w:val="en-US"/>
              </w:rPr>
            </w:pP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767187B" w14:textId="77777777" w:rsidR="00D72003" w:rsidRPr="00EC1071" w:rsidRDefault="00D72003" w:rsidP="00D72003">
            <w:pPr>
              <w:pStyle w:val="TableauNormal1"/>
              <w:rPr>
                <w:szCs w:val="20"/>
              </w:rPr>
            </w:pPr>
            <w:r w:rsidRPr="00EC1071">
              <w:rPr>
                <w:szCs w:val="20"/>
                <w:lang w:val="en-US"/>
              </w:rPr>
              <w:t>Front-control</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923095E" w14:textId="77777777" w:rsidR="00D72003" w:rsidRPr="00EC1071" w:rsidRDefault="00D72003" w:rsidP="00D72003">
            <w:pPr>
              <w:pStyle w:val="TableauNormal1"/>
              <w:rPr>
                <w:szCs w:val="20"/>
                <w:lang w:val="en-US"/>
              </w:rPr>
            </w:pPr>
            <w:r w:rsidRPr="00EC1071">
              <w:rPr>
                <w:szCs w:val="20"/>
                <w:lang w:val="en-US"/>
              </w:rPr>
              <w:t>Requirements</w:t>
            </w:r>
          </w:p>
        </w:tc>
        <w:tc>
          <w:tcPr>
            <w:tcW w:w="5387" w:type="dxa"/>
            <w:tcBorders>
              <w:top w:val="single" w:sz="8" w:space="0" w:color="auto"/>
              <w:left w:val="single" w:sz="8" w:space="0" w:color="auto"/>
              <w:bottom w:val="single" w:sz="8" w:space="0" w:color="auto"/>
              <w:right w:val="single" w:sz="8" w:space="0" w:color="auto"/>
            </w:tcBorders>
            <w:shd w:val="clear" w:color="auto" w:fill="auto"/>
            <w:vAlign w:val="center"/>
          </w:tcPr>
          <w:p w14:paraId="402B1717" w14:textId="77777777" w:rsidR="00D72003" w:rsidRPr="00EC1071" w:rsidRDefault="00D72003" w:rsidP="00D72003">
            <w:pPr>
              <w:pStyle w:val="TableauNormal1"/>
              <w:rPr>
                <w:szCs w:val="20"/>
                <w:lang w:val="en-US"/>
              </w:rPr>
            </w:pPr>
            <w:r w:rsidRPr="00EC1071">
              <w:rPr>
                <w:szCs w:val="20"/>
                <w:lang w:val="en-US"/>
              </w:rPr>
              <w:t xml:space="preserve">Functional requirements </w:t>
            </w:r>
          </w:p>
          <w:p w14:paraId="5021B32F" w14:textId="77777777" w:rsidR="00D72003" w:rsidRPr="00EC1071" w:rsidRDefault="00D72003" w:rsidP="00D72003">
            <w:pPr>
              <w:pStyle w:val="bullettable"/>
              <w:rPr>
                <w:sz w:val="20"/>
                <w:szCs w:val="20"/>
                <w:lang w:eastAsia="zh-CN"/>
              </w:rPr>
            </w:pPr>
            <w:r w:rsidRPr="00EC1071">
              <w:rPr>
                <w:sz w:val="20"/>
                <w:szCs w:val="20"/>
              </w:rPr>
              <w:t>(with respect to the different DPM capabilities indicated above)</w:t>
            </w:r>
            <w:r w:rsidRPr="00EC1071">
              <w:rPr>
                <w:rFonts w:eastAsia="SimSun"/>
                <w:sz w:val="20"/>
                <w:szCs w:val="20"/>
                <w:lang w:eastAsia="zh-CN"/>
              </w:rPr>
              <w:t xml:space="preserve"> </w:t>
            </w:r>
          </w:p>
          <w:p w14:paraId="37E3E625" w14:textId="77777777" w:rsidR="00D72003" w:rsidRPr="00EC1071" w:rsidRDefault="00D72003" w:rsidP="00D72003">
            <w:pPr>
              <w:pStyle w:val="TableauNormal1"/>
              <w:rPr>
                <w:szCs w:val="20"/>
                <w:lang w:val="en-US"/>
              </w:rPr>
            </w:pPr>
            <w:r w:rsidRPr="00EC1071">
              <w:rPr>
                <w:szCs w:val="20"/>
                <w:lang w:val="en-US"/>
              </w:rPr>
              <w:t>Non-functional requirements, incl.</w:t>
            </w:r>
          </w:p>
          <w:p w14:paraId="3D00EBA3" w14:textId="77777777" w:rsidR="00D72003" w:rsidRPr="00EC1071" w:rsidRDefault="00D72003" w:rsidP="00D72003">
            <w:pPr>
              <w:pStyle w:val="bullettable"/>
              <w:rPr>
                <w:sz w:val="20"/>
                <w:szCs w:val="20"/>
              </w:rPr>
            </w:pPr>
            <w:r w:rsidRPr="00EC1071">
              <w:rPr>
                <w:sz w:val="20"/>
                <w:szCs w:val="20"/>
              </w:rPr>
              <w:t>Availability</w:t>
            </w:r>
          </w:p>
          <w:p w14:paraId="675CB004" w14:textId="77777777" w:rsidR="00D72003" w:rsidRPr="00EC1071" w:rsidRDefault="00D72003" w:rsidP="00D72003">
            <w:pPr>
              <w:pStyle w:val="bullettable"/>
              <w:rPr>
                <w:sz w:val="20"/>
                <w:szCs w:val="20"/>
              </w:rPr>
            </w:pPr>
            <w:r w:rsidRPr="00EC1071">
              <w:rPr>
                <w:sz w:val="20"/>
                <w:szCs w:val="20"/>
              </w:rPr>
              <w:t>Data continuity</w:t>
            </w:r>
          </w:p>
          <w:p w14:paraId="69D9878E" w14:textId="77777777" w:rsidR="00D72003" w:rsidRPr="00EC1071" w:rsidRDefault="00D72003" w:rsidP="00D72003">
            <w:pPr>
              <w:pStyle w:val="bullettable"/>
              <w:rPr>
                <w:sz w:val="20"/>
                <w:szCs w:val="20"/>
              </w:rPr>
            </w:pPr>
            <w:r w:rsidRPr="00EC1071">
              <w:rPr>
                <w:sz w:val="20"/>
                <w:szCs w:val="20"/>
              </w:rPr>
              <w:t>Flexibility</w:t>
            </w:r>
          </w:p>
          <w:p w14:paraId="59324753" w14:textId="77777777" w:rsidR="00D72003" w:rsidRPr="00EC1071" w:rsidRDefault="00D72003" w:rsidP="00D72003">
            <w:pPr>
              <w:pStyle w:val="bullettable"/>
              <w:rPr>
                <w:sz w:val="20"/>
                <w:szCs w:val="20"/>
              </w:rPr>
            </w:pPr>
            <w:r w:rsidRPr="00EC1071">
              <w:rPr>
                <w:sz w:val="20"/>
                <w:szCs w:val="20"/>
              </w:rPr>
              <w:t>Interoperability</w:t>
            </w:r>
          </w:p>
          <w:p w14:paraId="78E714D7" w14:textId="77777777" w:rsidR="00D72003" w:rsidRPr="00EC1071" w:rsidRDefault="00D72003" w:rsidP="00D72003">
            <w:pPr>
              <w:pStyle w:val="bullettable"/>
              <w:rPr>
                <w:sz w:val="20"/>
                <w:szCs w:val="20"/>
              </w:rPr>
            </w:pPr>
            <w:r w:rsidRPr="00EC1071">
              <w:rPr>
                <w:sz w:val="20"/>
                <w:szCs w:val="20"/>
              </w:rPr>
              <w:t xml:space="preserve">Reliability </w:t>
            </w:r>
          </w:p>
          <w:p w14:paraId="54176634" w14:textId="77777777" w:rsidR="00D72003" w:rsidRPr="00EC1071" w:rsidRDefault="00D72003" w:rsidP="00D72003">
            <w:pPr>
              <w:pStyle w:val="bullettable"/>
              <w:rPr>
                <w:sz w:val="20"/>
                <w:szCs w:val="20"/>
              </w:rPr>
            </w:pPr>
            <w:r w:rsidRPr="00EC1071">
              <w:rPr>
                <w:sz w:val="20"/>
                <w:szCs w:val="20"/>
              </w:rPr>
              <w:t>Safety</w:t>
            </w:r>
          </w:p>
          <w:p w14:paraId="20B8BA86" w14:textId="77777777" w:rsidR="00D72003" w:rsidRPr="00EC1071" w:rsidRDefault="00D72003" w:rsidP="00D72003">
            <w:pPr>
              <w:pStyle w:val="bullettable"/>
              <w:rPr>
                <w:sz w:val="20"/>
                <w:szCs w:val="20"/>
              </w:rPr>
            </w:pPr>
            <w:r w:rsidRPr="00EC1071">
              <w:rPr>
                <w:sz w:val="20"/>
                <w:szCs w:val="20"/>
              </w:rPr>
              <w:t>Security and privacy</w:t>
            </w:r>
          </w:p>
          <w:p w14:paraId="69D87427" w14:textId="77777777" w:rsidR="00D72003" w:rsidRPr="00EC1071" w:rsidRDefault="00D72003" w:rsidP="00D72003">
            <w:pPr>
              <w:pStyle w:val="TableauNormal1"/>
              <w:rPr>
                <w:szCs w:val="20"/>
                <w:lang w:val="en-US" w:eastAsia="zh-CN"/>
              </w:rPr>
            </w:pPr>
            <w:r w:rsidRPr="00EC1071">
              <w:rPr>
                <w:szCs w:val="20"/>
              </w:rPr>
              <w:t>Trust (incl. t</w:t>
            </w:r>
            <w:r w:rsidRPr="00EC1071">
              <w:rPr>
                <w:szCs w:val="20"/>
                <w:lang w:val="en-US"/>
              </w:rPr>
              <w:t>raceability)</w:t>
            </w:r>
          </w:p>
          <w:p w14:paraId="2FECF554" w14:textId="77777777" w:rsidR="00D72003" w:rsidRPr="00EC1071" w:rsidRDefault="00D72003" w:rsidP="00D72003">
            <w:pPr>
              <w:pStyle w:val="TableauNormal1"/>
              <w:rPr>
                <w:szCs w:val="20"/>
                <w:lang w:val="en-US"/>
              </w:rPr>
            </w:pPr>
            <w:r w:rsidRPr="00EC1071">
              <w:rPr>
                <w:szCs w:val="20"/>
                <w:lang w:val="en-US"/>
              </w:rPr>
              <w:t>Other requirements</w:t>
            </w:r>
          </w:p>
          <w:p w14:paraId="308C6657" w14:textId="77777777" w:rsidR="00D72003" w:rsidRPr="00EC1071" w:rsidRDefault="00D72003" w:rsidP="00D72003">
            <w:pPr>
              <w:pStyle w:val="TableauNormal1"/>
              <w:rPr>
                <w:szCs w:val="20"/>
              </w:rPr>
            </w:pPr>
            <w:r w:rsidRPr="00EC1071">
              <w:rPr>
                <w:szCs w:val="20"/>
              </w:rPr>
              <w:t>Available International Standards supporting the requirements (if any</w:t>
            </w:r>
          </w:p>
          <w:p w14:paraId="153EF4BF" w14:textId="77777777" w:rsidR="00D72003" w:rsidRPr="00EC1071" w:rsidRDefault="00D72003" w:rsidP="00D72003">
            <w:pPr>
              <w:pStyle w:val="TableauNormal1"/>
              <w:rPr>
                <w:szCs w:val="20"/>
                <w:lang w:val="en-US" w:eastAsia="zh-CN"/>
              </w:rPr>
            </w:pPr>
            <w:r w:rsidRPr="00EC1071">
              <w:rPr>
                <w:szCs w:val="20"/>
              </w:rPr>
              <w:t>References (related to above standards or other useful information (e.g. on regulatory aspects))</w:t>
            </w:r>
          </w:p>
        </w:tc>
      </w:tr>
      <w:tr w:rsidR="00D72003" w:rsidRPr="00D56570" w14:paraId="5341FAD9" w14:textId="77777777" w:rsidTr="00D72003">
        <w:trPr>
          <w:jc w:val="center"/>
        </w:trPr>
        <w:tc>
          <w:tcPr>
            <w:tcW w:w="113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EA97C92" w14:textId="77777777" w:rsidR="00D72003" w:rsidRPr="00EC1071" w:rsidRDefault="00D72003" w:rsidP="00D72003">
            <w:pPr>
              <w:pStyle w:val="TableauNormal1"/>
              <w:rPr>
                <w:szCs w:val="20"/>
                <w:lang w:val="en-US"/>
              </w:rPr>
            </w:pPr>
            <w:r w:rsidRPr="00EC1071">
              <w:rPr>
                <w:szCs w:val="20"/>
                <w:lang w:val="en-US"/>
              </w:rPr>
              <w:t>Governing process</w:t>
            </w:r>
          </w:p>
          <w:p w14:paraId="571CCBBF" w14:textId="77777777" w:rsidR="00D72003" w:rsidRPr="00EC1071" w:rsidRDefault="00D72003" w:rsidP="00D72003">
            <w:pPr>
              <w:pStyle w:val="TableauNormal1"/>
              <w:rPr>
                <w:szCs w:val="20"/>
                <w:lang w:val="en-US"/>
              </w:rPr>
            </w:pPr>
            <w:r w:rsidRPr="00EC1071">
              <w:rPr>
                <w:szCs w:val="20"/>
                <w:lang w:val="en-US"/>
              </w:rPr>
              <w:lastRenderedPageBreak/>
              <w:t>(Activity of data governance)</w:t>
            </w:r>
          </w:p>
        </w:tc>
        <w:tc>
          <w:tcPr>
            <w:tcW w:w="113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6C14F02" w14:textId="77777777" w:rsidR="00D72003" w:rsidRPr="00EC1071" w:rsidRDefault="00D72003" w:rsidP="00D72003">
            <w:pPr>
              <w:pStyle w:val="TableauNormal1"/>
              <w:rPr>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4100B36D" w14:textId="77777777" w:rsidR="00D72003" w:rsidRPr="00EC1071" w:rsidRDefault="00D72003" w:rsidP="00D72003">
            <w:pPr>
              <w:pStyle w:val="TableauNormal1"/>
              <w:rPr>
                <w:szCs w:val="20"/>
                <w:lang w:val="en-US"/>
              </w:rPr>
            </w:pPr>
            <w:r w:rsidRPr="00EC1071">
              <w:rPr>
                <w:szCs w:val="20"/>
                <w:lang w:val="en-US"/>
              </w:rPr>
              <w:t>Data quality</w:t>
            </w:r>
          </w:p>
        </w:tc>
        <w:tc>
          <w:tcPr>
            <w:tcW w:w="5387" w:type="dxa"/>
            <w:tcBorders>
              <w:top w:val="single" w:sz="8" w:space="0" w:color="auto"/>
              <w:left w:val="single" w:sz="8" w:space="0" w:color="auto"/>
              <w:bottom w:val="single" w:sz="8" w:space="0" w:color="auto"/>
              <w:right w:val="single" w:sz="8" w:space="0" w:color="auto"/>
            </w:tcBorders>
            <w:shd w:val="clear" w:color="auto" w:fill="auto"/>
            <w:vAlign w:val="center"/>
          </w:tcPr>
          <w:p w14:paraId="52F0432C" w14:textId="77777777" w:rsidR="00D72003" w:rsidRPr="00EC1071" w:rsidRDefault="00D72003" w:rsidP="00D72003">
            <w:pPr>
              <w:pStyle w:val="TableauNormal1"/>
              <w:rPr>
                <w:szCs w:val="20"/>
                <w:lang w:val="en-US"/>
              </w:rPr>
            </w:pPr>
            <w:r w:rsidRPr="00EC1071">
              <w:rPr>
                <w:szCs w:val="20"/>
                <w:lang w:val="en-US"/>
              </w:rPr>
              <w:t>Data input characteristics</w:t>
            </w:r>
          </w:p>
          <w:p w14:paraId="664DE25F" w14:textId="77777777" w:rsidR="00D72003" w:rsidRPr="00EC1071" w:rsidRDefault="00D72003" w:rsidP="00D72003">
            <w:pPr>
              <w:pStyle w:val="bullettable"/>
              <w:rPr>
                <w:sz w:val="20"/>
                <w:szCs w:val="20"/>
              </w:rPr>
            </w:pPr>
            <w:r w:rsidRPr="00EC1071">
              <w:rPr>
                <w:sz w:val="20"/>
                <w:szCs w:val="20"/>
              </w:rPr>
              <w:t>Data granularity</w:t>
            </w:r>
          </w:p>
          <w:p w14:paraId="54F24C39" w14:textId="77777777" w:rsidR="00D72003" w:rsidRPr="00EC1071" w:rsidRDefault="00D72003" w:rsidP="00D72003">
            <w:pPr>
              <w:pStyle w:val="bullettable"/>
              <w:rPr>
                <w:sz w:val="20"/>
                <w:szCs w:val="20"/>
              </w:rPr>
            </w:pPr>
            <w:r w:rsidRPr="00EC1071">
              <w:rPr>
                <w:sz w:val="20"/>
                <w:szCs w:val="20"/>
              </w:rPr>
              <w:t>Characteristics of meta data</w:t>
            </w:r>
          </w:p>
          <w:p w14:paraId="6E630E41" w14:textId="77777777" w:rsidR="00D72003" w:rsidRPr="00EC1071" w:rsidRDefault="00D72003" w:rsidP="00D72003">
            <w:pPr>
              <w:pStyle w:val="TableauNormal1"/>
              <w:rPr>
                <w:b/>
                <w:szCs w:val="20"/>
                <w:lang w:val="en-US"/>
              </w:rPr>
            </w:pPr>
            <w:r w:rsidRPr="00EC1071">
              <w:rPr>
                <w:szCs w:val="20"/>
                <w:lang w:val="en-US"/>
              </w:rPr>
              <w:lastRenderedPageBreak/>
              <w:t xml:space="preserve">Data output characteristics </w:t>
            </w:r>
          </w:p>
          <w:p w14:paraId="6926D4DD" w14:textId="77777777" w:rsidR="00D72003" w:rsidRPr="00EC1071" w:rsidRDefault="00D72003" w:rsidP="00D72003">
            <w:pPr>
              <w:pStyle w:val="bullettable"/>
              <w:rPr>
                <w:sz w:val="20"/>
                <w:szCs w:val="20"/>
              </w:rPr>
            </w:pPr>
            <w:r w:rsidRPr="00EC1071">
              <w:rPr>
                <w:sz w:val="20"/>
                <w:szCs w:val="20"/>
              </w:rPr>
              <w:t>Data accessibility</w:t>
            </w:r>
          </w:p>
          <w:p w14:paraId="11C108DD" w14:textId="77777777" w:rsidR="00D72003" w:rsidRPr="00EC1071" w:rsidRDefault="00D72003" w:rsidP="00D72003">
            <w:pPr>
              <w:pStyle w:val="bullettable"/>
              <w:rPr>
                <w:sz w:val="20"/>
                <w:szCs w:val="20"/>
              </w:rPr>
            </w:pPr>
            <w:r w:rsidRPr="00EC1071">
              <w:rPr>
                <w:sz w:val="20"/>
                <w:szCs w:val="20"/>
              </w:rPr>
              <w:t>Data availability</w:t>
            </w:r>
          </w:p>
          <w:p w14:paraId="357DD350" w14:textId="77777777" w:rsidR="00D72003" w:rsidRPr="00EC1071" w:rsidRDefault="00D72003" w:rsidP="00D72003">
            <w:pPr>
              <w:pStyle w:val="bullettable"/>
              <w:rPr>
                <w:sz w:val="20"/>
                <w:szCs w:val="20"/>
              </w:rPr>
            </w:pPr>
            <w:r w:rsidRPr="00EC1071">
              <w:rPr>
                <w:sz w:val="20"/>
                <w:szCs w:val="20"/>
              </w:rPr>
              <w:t>Data traceability</w:t>
            </w:r>
          </w:p>
          <w:p w14:paraId="3720736A" w14:textId="77777777" w:rsidR="00D72003" w:rsidRPr="00EC1071" w:rsidRDefault="00D72003" w:rsidP="00D72003">
            <w:pPr>
              <w:pStyle w:val="bullettable"/>
              <w:rPr>
                <w:sz w:val="20"/>
                <w:szCs w:val="20"/>
              </w:rPr>
            </w:pPr>
            <w:r w:rsidRPr="00EC1071">
              <w:rPr>
                <w:sz w:val="20"/>
                <w:szCs w:val="20"/>
              </w:rPr>
              <w:t xml:space="preserve">Data quality considerations </w:t>
            </w:r>
          </w:p>
          <w:p w14:paraId="72F86AB1" w14:textId="77777777" w:rsidR="00D72003" w:rsidRPr="00EC1071" w:rsidRDefault="00D72003" w:rsidP="00D72003">
            <w:pPr>
              <w:pStyle w:val="bullettable"/>
              <w:rPr>
                <w:sz w:val="20"/>
                <w:szCs w:val="20"/>
              </w:rPr>
            </w:pPr>
            <w:r w:rsidRPr="00EC1071">
              <w:rPr>
                <w:sz w:val="20"/>
                <w:szCs w:val="20"/>
              </w:rPr>
              <w:t>Data authenticity</w:t>
            </w:r>
          </w:p>
          <w:p w14:paraId="3F22098D" w14:textId="77777777" w:rsidR="00D72003" w:rsidRPr="00EC1071" w:rsidRDefault="00D72003" w:rsidP="00D72003">
            <w:pPr>
              <w:pStyle w:val="bullettable"/>
              <w:rPr>
                <w:sz w:val="20"/>
                <w:szCs w:val="20"/>
              </w:rPr>
            </w:pPr>
            <w:r w:rsidRPr="00EC1071">
              <w:rPr>
                <w:sz w:val="20"/>
                <w:szCs w:val="20"/>
              </w:rPr>
              <w:t>Data reliability</w:t>
            </w:r>
          </w:p>
          <w:p w14:paraId="17D54CCD" w14:textId="77777777" w:rsidR="00D72003" w:rsidRPr="00EC1071" w:rsidRDefault="00D72003" w:rsidP="00D72003">
            <w:pPr>
              <w:pStyle w:val="bullettable"/>
              <w:rPr>
                <w:sz w:val="20"/>
                <w:szCs w:val="20"/>
              </w:rPr>
            </w:pPr>
            <w:r w:rsidRPr="00EC1071">
              <w:rPr>
                <w:sz w:val="20"/>
                <w:szCs w:val="20"/>
              </w:rPr>
              <w:t>Data integrity</w:t>
            </w:r>
          </w:p>
          <w:p w14:paraId="6CF0217F" w14:textId="77777777" w:rsidR="00D72003" w:rsidRPr="00EC1071" w:rsidRDefault="00D72003" w:rsidP="00D72003">
            <w:pPr>
              <w:pStyle w:val="bullettable"/>
              <w:rPr>
                <w:sz w:val="20"/>
                <w:szCs w:val="20"/>
              </w:rPr>
            </w:pPr>
            <w:r w:rsidRPr="00EC1071">
              <w:rPr>
                <w:sz w:val="20"/>
                <w:szCs w:val="20"/>
              </w:rPr>
              <w:t>Data usability</w:t>
            </w:r>
          </w:p>
        </w:tc>
      </w:tr>
      <w:tr w:rsidR="00D72003" w:rsidRPr="00D56570" w14:paraId="7EDA2D03" w14:textId="77777777" w:rsidTr="00D72003">
        <w:trPr>
          <w:jc w:val="center"/>
        </w:trPr>
        <w:tc>
          <w:tcPr>
            <w:tcW w:w="1135" w:type="dxa"/>
            <w:vMerge/>
            <w:tcBorders>
              <w:top w:val="single" w:sz="8" w:space="0" w:color="auto"/>
              <w:left w:val="single" w:sz="8" w:space="0" w:color="auto"/>
              <w:bottom w:val="single" w:sz="8" w:space="0" w:color="auto"/>
              <w:right w:val="single" w:sz="8" w:space="0" w:color="auto"/>
            </w:tcBorders>
            <w:vAlign w:val="center"/>
          </w:tcPr>
          <w:p w14:paraId="25413E76" w14:textId="77777777" w:rsidR="00D72003" w:rsidRPr="00EC1071" w:rsidRDefault="00D72003" w:rsidP="00D72003">
            <w:pPr>
              <w:pStyle w:val="TableauNormal1"/>
              <w:rPr>
                <w:szCs w:val="20"/>
              </w:rPr>
            </w:pP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305F05C" w14:textId="77777777" w:rsidR="00D72003" w:rsidRPr="00EC1071" w:rsidRDefault="00D72003" w:rsidP="00D72003">
            <w:pPr>
              <w:pStyle w:val="TableauNormal1"/>
              <w:rPr>
                <w:szCs w:val="20"/>
              </w:rPr>
            </w:pPr>
            <w:r w:rsidRPr="00EC1071">
              <w:rPr>
                <w:szCs w:val="20"/>
                <w:lang w:val="en-US"/>
              </w:rPr>
              <w:t>Process-control</w:t>
            </w:r>
          </w:p>
        </w:tc>
        <w:tc>
          <w:tcPr>
            <w:tcW w:w="1701" w:type="dxa"/>
            <w:tcBorders>
              <w:top w:val="single" w:sz="8" w:space="0" w:color="auto"/>
              <w:left w:val="nil"/>
              <w:bottom w:val="single" w:sz="8" w:space="0" w:color="auto"/>
              <w:right w:val="single" w:sz="8" w:space="0" w:color="auto"/>
            </w:tcBorders>
            <w:shd w:val="clear" w:color="auto" w:fill="auto"/>
            <w:vAlign w:val="center"/>
          </w:tcPr>
          <w:p w14:paraId="25E2DBCE" w14:textId="77777777" w:rsidR="00D72003" w:rsidRPr="00EC1071" w:rsidRDefault="00D72003" w:rsidP="00D72003">
            <w:pPr>
              <w:pStyle w:val="TableauNormal1"/>
              <w:rPr>
                <w:b/>
                <w:szCs w:val="20"/>
                <w:lang w:val="en-US"/>
              </w:rPr>
            </w:pPr>
            <w:r w:rsidRPr="00EC1071">
              <w:rPr>
                <w:szCs w:val="20"/>
                <w:lang w:val="en-US"/>
              </w:rPr>
              <w:t>Data management capabilities</w:t>
            </w:r>
          </w:p>
          <w:p w14:paraId="0B173446" w14:textId="77777777" w:rsidR="00D72003" w:rsidRPr="00EC1071" w:rsidRDefault="00D72003" w:rsidP="00D72003">
            <w:pPr>
              <w:pStyle w:val="TableauNormal1"/>
              <w:rPr>
                <w:szCs w:val="20"/>
                <w:lang w:val="en-US"/>
              </w:rPr>
            </w:pPr>
          </w:p>
        </w:tc>
        <w:tc>
          <w:tcPr>
            <w:tcW w:w="5387" w:type="dxa"/>
            <w:tcBorders>
              <w:top w:val="single" w:sz="8" w:space="0" w:color="auto"/>
              <w:left w:val="nil"/>
              <w:bottom w:val="single" w:sz="8" w:space="0" w:color="auto"/>
              <w:right w:val="single" w:sz="8" w:space="0" w:color="auto"/>
            </w:tcBorders>
            <w:shd w:val="clear" w:color="auto" w:fill="auto"/>
            <w:vAlign w:val="center"/>
          </w:tcPr>
          <w:p w14:paraId="143D0B05" w14:textId="77777777" w:rsidR="00D72003" w:rsidRPr="00EC1071" w:rsidRDefault="00D72003" w:rsidP="00D72003">
            <w:pPr>
              <w:pStyle w:val="bullettable"/>
              <w:rPr>
                <w:sz w:val="20"/>
                <w:szCs w:val="20"/>
              </w:rPr>
            </w:pPr>
            <w:r w:rsidRPr="00EC1071">
              <w:rPr>
                <w:sz w:val="20"/>
                <w:szCs w:val="20"/>
              </w:rPr>
              <w:t>Access and use</w:t>
            </w:r>
          </w:p>
          <w:p w14:paraId="04DC6B07" w14:textId="77777777" w:rsidR="00D72003" w:rsidRPr="00EC1071" w:rsidRDefault="00D72003" w:rsidP="00D72003">
            <w:pPr>
              <w:pStyle w:val="bullettable"/>
              <w:rPr>
                <w:sz w:val="20"/>
                <w:szCs w:val="20"/>
              </w:rPr>
            </w:pPr>
            <w:r w:rsidRPr="00EC1071">
              <w:rPr>
                <w:sz w:val="20"/>
                <w:szCs w:val="20"/>
              </w:rPr>
              <w:t>Administration</w:t>
            </w:r>
          </w:p>
          <w:p w14:paraId="1702A577" w14:textId="77777777" w:rsidR="00D72003" w:rsidRPr="00EC1071" w:rsidRDefault="00D72003" w:rsidP="00D72003">
            <w:pPr>
              <w:pStyle w:val="bullettable"/>
              <w:rPr>
                <w:sz w:val="20"/>
                <w:szCs w:val="20"/>
              </w:rPr>
            </w:pPr>
            <w:r w:rsidRPr="00EC1071">
              <w:rPr>
                <w:sz w:val="20"/>
                <w:szCs w:val="20"/>
              </w:rPr>
              <w:t xml:space="preserve">Acquisition and collection </w:t>
            </w:r>
          </w:p>
          <w:p w14:paraId="5B92895D" w14:textId="77777777" w:rsidR="00D72003" w:rsidRPr="00EC1071" w:rsidRDefault="00D72003" w:rsidP="00D72003">
            <w:pPr>
              <w:pStyle w:val="bullettable"/>
              <w:rPr>
                <w:sz w:val="20"/>
                <w:szCs w:val="20"/>
              </w:rPr>
            </w:pPr>
            <w:r w:rsidRPr="00EC1071">
              <w:rPr>
                <w:sz w:val="20"/>
                <w:szCs w:val="20"/>
              </w:rPr>
              <w:t xml:space="preserve">Creation </w:t>
            </w:r>
          </w:p>
          <w:p w14:paraId="1FACAB66" w14:textId="77777777" w:rsidR="00D72003" w:rsidRPr="00EC1071" w:rsidRDefault="00D72003" w:rsidP="00D72003">
            <w:pPr>
              <w:pStyle w:val="bullettable"/>
              <w:rPr>
                <w:b/>
                <w:sz w:val="20"/>
                <w:szCs w:val="20"/>
              </w:rPr>
            </w:pPr>
            <w:r w:rsidRPr="00EC1071">
              <w:rPr>
                <w:sz w:val="20"/>
                <w:szCs w:val="20"/>
              </w:rPr>
              <w:t xml:space="preserve">Preservation incl. protection </w:t>
            </w:r>
          </w:p>
          <w:p w14:paraId="3E383023" w14:textId="77777777" w:rsidR="00D72003" w:rsidRPr="00EC1071" w:rsidRDefault="00D72003" w:rsidP="00D72003">
            <w:pPr>
              <w:pStyle w:val="bullettable"/>
              <w:rPr>
                <w:b/>
                <w:sz w:val="20"/>
                <w:szCs w:val="20"/>
              </w:rPr>
            </w:pPr>
            <w:r w:rsidRPr="00EC1071">
              <w:rPr>
                <w:sz w:val="20"/>
                <w:szCs w:val="20"/>
              </w:rPr>
              <w:t>Sharing</w:t>
            </w:r>
          </w:p>
          <w:p w14:paraId="0C9B7E84" w14:textId="77777777" w:rsidR="00D72003" w:rsidRPr="00EC1071" w:rsidRDefault="00D72003" w:rsidP="00D72003">
            <w:pPr>
              <w:pStyle w:val="bullettable"/>
              <w:rPr>
                <w:sz w:val="20"/>
                <w:szCs w:val="20"/>
              </w:rPr>
            </w:pPr>
            <w:r w:rsidRPr="00EC1071">
              <w:rPr>
                <w:sz w:val="20"/>
                <w:szCs w:val="20"/>
              </w:rPr>
              <w:t>Storage</w:t>
            </w:r>
          </w:p>
          <w:p w14:paraId="44515296" w14:textId="77777777" w:rsidR="00D72003" w:rsidRPr="00EC1071" w:rsidRDefault="00D72003" w:rsidP="00D72003">
            <w:pPr>
              <w:pStyle w:val="bullettable"/>
              <w:rPr>
                <w:sz w:val="20"/>
                <w:szCs w:val="20"/>
              </w:rPr>
            </w:pPr>
            <w:r w:rsidRPr="00EC1071">
              <w:rPr>
                <w:sz w:val="20"/>
                <w:szCs w:val="20"/>
              </w:rPr>
              <w:t>Update</w:t>
            </w:r>
          </w:p>
        </w:tc>
      </w:tr>
      <w:tr w:rsidR="00D72003" w:rsidRPr="00D56570" w14:paraId="551803D2" w14:textId="77777777" w:rsidTr="00D72003">
        <w:trPr>
          <w:jc w:val="center"/>
        </w:trPr>
        <w:tc>
          <w:tcPr>
            <w:tcW w:w="1135" w:type="dxa"/>
            <w:vMerge/>
            <w:tcBorders>
              <w:top w:val="single" w:sz="8" w:space="0" w:color="auto"/>
              <w:left w:val="single" w:sz="8" w:space="0" w:color="auto"/>
              <w:bottom w:val="single" w:sz="8" w:space="0" w:color="auto"/>
              <w:right w:val="single" w:sz="8" w:space="0" w:color="auto"/>
            </w:tcBorders>
            <w:vAlign w:val="center"/>
          </w:tcPr>
          <w:p w14:paraId="12FDDB35" w14:textId="77777777" w:rsidR="00D72003" w:rsidRPr="00EC1071" w:rsidRDefault="00D72003" w:rsidP="00D72003">
            <w:pPr>
              <w:pStyle w:val="TableauNormal1"/>
              <w:rPr>
                <w:szCs w:val="20"/>
              </w:rPr>
            </w:pPr>
          </w:p>
        </w:tc>
        <w:tc>
          <w:tcPr>
            <w:tcW w:w="1134" w:type="dxa"/>
            <w:vMerge/>
            <w:tcBorders>
              <w:top w:val="single" w:sz="8" w:space="0" w:color="auto"/>
              <w:left w:val="single" w:sz="8" w:space="0" w:color="auto"/>
              <w:bottom w:val="single" w:sz="8" w:space="0" w:color="auto"/>
              <w:right w:val="single" w:sz="8" w:space="0" w:color="auto"/>
            </w:tcBorders>
            <w:vAlign w:val="center"/>
          </w:tcPr>
          <w:p w14:paraId="2FCF3155" w14:textId="77777777" w:rsidR="00D72003" w:rsidRPr="00EC1071" w:rsidRDefault="00D72003" w:rsidP="00D72003">
            <w:pPr>
              <w:pStyle w:val="TableauNormal1"/>
              <w:rPr>
                <w:szCs w:val="20"/>
              </w:rPr>
            </w:pPr>
          </w:p>
        </w:tc>
        <w:tc>
          <w:tcPr>
            <w:tcW w:w="1701" w:type="dxa"/>
            <w:tcBorders>
              <w:top w:val="single" w:sz="8" w:space="0" w:color="auto"/>
              <w:left w:val="nil"/>
              <w:bottom w:val="single" w:sz="8" w:space="0" w:color="auto"/>
              <w:right w:val="single" w:sz="8" w:space="0" w:color="auto"/>
            </w:tcBorders>
            <w:shd w:val="clear" w:color="auto" w:fill="auto"/>
            <w:vAlign w:val="center"/>
          </w:tcPr>
          <w:p w14:paraId="3AA462BF" w14:textId="77777777" w:rsidR="00D72003" w:rsidRPr="00EC1071" w:rsidRDefault="00D72003" w:rsidP="00D72003">
            <w:pPr>
              <w:pStyle w:val="TableauNormal1"/>
              <w:rPr>
                <w:rFonts w:eastAsia="SimSun"/>
                <w:szCs w:val="20"/>
                <w:lang w:val="en-US"/>
              </w:rPr>
            </w:pPr>
            <w:r w:rsidRPr="00EC1071">
              <w:rPr>
                <w:rFonts w:eastAsia="SimSun"/>
                <w:szCs w:val="20"/>
                <w:lang w:val="en-US"/>
              </w:rPr>
              <w:t>Data processing capabilities</w:t>
            </w:r>
          </w:p>
          <w:p w14:paraId="4F6CFD32" w14:textId="77777777" w:rsidR="00D72003" w:rsidRPr="00EC1071" w:rsidRDefault="00D72003" w:rsidP="00D72003">
            <w:pPr>
              <w:pStyle w:val="TableauNormal1"/>
              <w:rPr>
                <w:szCs w:val="20"/>
                <w:lang w:val="en-US"/>
              </w:rPr>
            </w:pPr>
          </w:p>
        </w:tc>
        <w:tc>
          <w:tcPr>
            <w:tcW w:w="5387" w:type="dxa"/>
            <w:tcBorders>
              <w:top w:val="single" w:sz="8" w:space="0" w:color="auto"/>
              <w:left w:val="nil"/>
              <w:bottom w:val="single" w:sz="8" w:space="0" w:color="auto"/>
              <w:right w:val="single" w:sz="8" w:space="0" w:color="auto"/>
            </w:tcBorders>
            <w:shd w:val="clear" w:color="auto" w:fill="auto"/>
            <w:vAlign w:val="center"/>
          </w:tcPr>
          <w:p w14:paraId="233A4FC4" w14:textId="77777777" w:rsidR="00D72003" w:rsidRPr="00EC1071" w:rsidRDefault="00D72003" w:rsidP="00D72003">
            <w:pPr>
              <w:pStyle w:val="bullettable"/>
              <w:rPr>
                <w:sz w:val="20"/>
                <w:szCs w:val="20"/>
              </w:rPr>
            </w:pPr>
            <w:r w:rsidRPr="00EC1071">
              <w:rPr>
                <w:sz w:val="20"/>
                <w:szCs w:val="20"/>
              </w:rPr>
              <w:t>Aggregation and grouping</w:t>
            </w:r>
          </w:p>
          <w:p w14:paraId="0F12DB90" w14:textId="77777777" w:rsidR="00D72003" w:rsidRPr="00EC1071" w:rsidRDefault="00D72003" w:rsidP="00D72003">
            <w:pPr>
              <w:pStyle w:val="bullettable"/>
              <w:rPr>
                <w:sz w:val="20"/>
                <w:szCs w:val="20"/>
              </w:rPr>
            </w:pPr>
            <w:r w:rsidRPr="00EC1071">
              <w:rPr>
                <w:sz w:val="20"/>
                <w:szCs w:val="20"/>
              </w:rPr>
              <w:t>Cleaning and filtering</w:t>
            </w:r>
          </w:p>
          <w:p w14:paraId="617DD01E" w14:textId="77777777" w:rsidR="00D72003" w:rsidRPr="00EC1071" w:rsidRDefault="00D72003" w:rsidP="00D72003">
            <w:pPr>
              <w:pStyle w:val="bullettable"/>
              <w:rPr>
                <w:sz w:val="20"/>
                <w:szCs w:val="20"/>
              </w:rPr>
            </w:pPr>
            <w:r w:rsidRPr="00EC1071">
              <w:rPr>
                <w:sz w:val="20"/>
                <w:szCs w:val="20"/>
              </w:rPr>
              <w:t>Classification and indexing</w:t>
            </w:r>
          </w:p>
          <w:p w14:paraId="32A60091" w14:textId="77777777" w:rsidR="00D72003" w:rsidRPr="00EC1071" w:rsidRDefault="00D72003" w:rsidP="00D72003">
            <w:pPr>
              <w:pStyle w:val="bullettable"/>
              <w:rPr>
                <w:sz w:val="20"/>
                <w:szCs w:val="20"/>
              </w:rPr>
            </w:pPr>
            <w:r w:rsidRPr="00EC1071">
              <w:rPr>
                <w:sz w:val="20"/>
                <w:szCs w:val="20"/>
              </w:rPr>
              <w:t>De-identification, anonymization and pseudonymization</w:t>
            </w:r>
          </w:p>
          <w:p w14:paraId="25708335" w14:textId="77777777" w:rsidR="00D72003" w:rsidRPr="00EC1071" w:rsidRDefault="00D72003" w:rsidP="00D72003">
            <w:pPr>
              <w:pStyle w:val="bullettable"/>
              <w:rPr>
                <w:sz w:val="20"/>
                <w:szCs w:val="20"/>
              </w:rPr>
            </w:pPr>
            <w:r w:rsidRPr="00EC1071">
              <w:rPr>
                <w:sz w:val="20"/>
                <w:szCs w:val="20"/>
              </w:rPr>
              <w:t xml:space="preserve">Transfer </w:t>
            </w:r>
          </w:p>
          <w:p w14:paraId="68665B7F" w14:textId="77777777" w:rsidR="00D72003" w:rsidRPr="00EC1071" w:rsidRDefault="00D72003" w:rsidP="00D72003">
            <w:pPr>
              <w:pStyle w:val="bullettable"/>
              <w:rPr>
                <w:sz w:val="20"/>
                <w:szCs w:val="20"/>
              </w:rPr>
            </w:pPr>
            <w:r w:rsidRPr="00EC1071">
              <w:rPr>
                <w:sz w:val="20"/>
                <w:szCs w:val="20"/>
              </w:rPr>
              <w:t>Pre-processing and processing</w:t>
            </w:r>
          </w:p>
          <w:p w14:paraId="39D10FC6" w14:textId="77777777" w:rsidR="00D72003" w:rsidRPr="00EC1071" w:rsidRDefault="00D72003" w:rsidP="00D72003">
            <w:pPr>
              <w:pStyle w:val="bullettable"/>
              <w:rPr>
                <w:sz w:val="20"/>
                <w:szCs w:val="20"/>
              </w:rPr>
            </w:pPr>
            <w:r w:rsidRPr="00EC1071">
              <w:rPr>
                <w:sz w:val="20"/>
                <w:szCs w:val="20"/>
              </w:rPr>
              <w:t>Analysis and analytics</w:t>
            </w:r>
          </w:p>
          <w:p w14:paraId="2456E357" w14:textId="77777777" w:rsidR="00D72003" w:rsidRPr="00EC1071" w:rsidRDefault="00D72003" w:rsidP="00D72003">
            <w:pPr>
              <w:pStyle w:val="bullettable"/>
              <w:rPr>
                <w:sz w:val="20"/>
                <w:szCs w:val="20"/>
              </w:rPr>
            </w:pPr>
            <w:r w:rsidRPr="00EC1071">
              <w:rPr>
                <w:sz w:val="20"/>
                <w:szCs w:val="20"/>
              </w:rPr>
              <w:t xml:space="preserve">Reading and query </w:t>
            </w:r>
          </w:p>
          <w:p w14:paraId="345C543A" w14:textId="77777777" w:rsidR="00D72003" w:rsidRPr="00EC1071" w:rsidRDefault="00D72003" w:rsidP="00D72003">
            <w:pPr>
              <w:pStyle w:val="bullettable"/>
              <w:rPr>
                <w:sz w:val="20"/>
                <w:szCs w:val="20"/>
              </w:rPr>
            </w:pPr>
            <w:r w:rsidRPr="00EC1071">
              <w:rPr>
                <w:sz w:val="20"/>
                <w:szCs w:val="20"/>
              </w:rPr>
              <w:t>Visualization</w:t>
            </w:r>
          </w:p>
        </w:tc>
      </w:tr>
      <w:tr w:rsidR="00D72003" w:rsidRPr="00D56570" w14:paraId="13E47773" w14:textId="77777777" w:rsidTr="00D72003">
        <w:trPr>
          <w:jc w:val="center"/>
        </w:trPr>
        <w:tc>
          <w:tcPr>
            <w:tcW w:w="1135" w:type="dxa"/>
            <w:vMerge/>
            <w:tcBorders>
              <w:top w:val="single" w:sz="8" w:space="0" w:color="auto"/>
              <w:left w:val="single" w:sz="8" w:space="0" w:color="auto"/>
              <w:bottom w:val="single" w:sz="8" w:space="0" w:color="auto"/>
              <w:right w:val="single" w:sz="8" w:space="0" w:color="auto"/>
            </w:tcBorders>
            <w:vAlign w:val="center"/>
          </w:tcPr>
          <w:p w14:paraId="15576576" w14:textId="77777777" w:rsidR="00D72003" w:rsidRPr="00EC1071" w:rsidRDefault="00D72003" w:rsidP="00D72003">
            <w:pPr>
              <w:pStyle w:val="TableauNormal1"/>
              <w:rPr>
                <w:szCs w:val="20"/>
              </w:rPr>
            </w:pPr>
          </w:p>
        </w:tc>
        <w:tc>
          <w:tcPr>
            <w:tcW w:w="1134" w:type="dxa"/>
            <w:vMerge/>
            <w:tcBorders>
              <w:top w:val="single" w:sz="8" w:space="0" w:color="auto"/>
              <w:left w:val="single" w:sz="8" w:space="0" w:color="auto"/>
              <w:bottom w:val="single" w:sz="8" w:space="0" w:color="auto"/>
              <w:right w:val="single" w:sz="8" w:space="0" w:color="auto"/>
            </w:tcBorders>
            <w:vAlign w:val="center"/>
          </w:tcPr>
          <w:p w14:paraId="54DC0EFF" w14:textId="77777777" w:rsidR="00D72003" w:rsidRPr="00EC1071" w:rsidRDefault="00D72003" w:rsidP="00D72003">
            <w:pPr>
              <w:pStyle w:val="TableauNormal1"/>
              <w:rPr>
                <w:szCs w:val="20"/>
              </w:rPr>
            </w:pPr>
          </w:p>
        </w:tc>
        <w:tc>
          <w:tcPr>
            <w:tcW w:w="1701" w:type="dxa"/>
            <w:tcBorders>
              <w:top w:val="single" w:sz="8" w:space="0" w:color="auto"/>
              <w:left w:val="nil"/>
              <w:bottom w:val="single" w:sz="8" w:space="0" w:color="auto"/>
              <w:right w:val="single" w:sz="8" w:space="0" w:color="auto"/>
            </w:tcBorders>
            <w:shd w:val="clear" w:color="auto" w:fill="auto"/>
            <w:vAlign w:val="center"/>
          </w:tcPr>
          <w:p w14:paraId="19383025" w14:textId="77777777" w:rsidR="00D72003" w:rsidRPr="00EC1071" w:rsidRDefault="00D72003" w:rsidP="00D72003">
            <w:pPr>
              <w:pStyle w:val="TableauNormal1"/>
              <w:rPr>
                <w:szCs w:val="20"/>
                <w:lang w:val="en-US"/>
              </w:rPr>
            </w:pPr>
            <w:r w:rsidRPr="00EC1071">
              <w:rPr>
                <w:szCs w:val="20"/>
                <w:lang w:val="en-US"/>
              </w:rPr>
              <w:t xml:space="preserve"> system capabilities </w:t>
            </w:r>
          </w:p>
        </w:tc>
        <w:tc>
          <w:tcPr>
            <w:tcW w:w="5387" w:type="dxa"/>
            <w:tcBorders>
              <w:top w:val="single" w:sz="8" w:space="0" w:color="auto"/>
              <w:left w:val="nil"/>
              <w:bottom w:val="single" w:sz="8" w:space="0" w:color="auto"/>
              <w:right w:val="single" w:sz="8" w:space="0" w:color="auto"/>
            </w:tcBorders>
            <w:shd w:val="clear" w:color="auto" w:fill="auto"/>
            <w:vAlign w:val="center"/>
          </w:tcPr>
          <w:p w14:paraId="1B9BB750" w14:textId="77777777" w:rsidR="00D72003" w:rsidRPr="00EC1071" w:rsidRDefault="00D72003" w:rsidP="00D72003">
            <w:pPr>
              <w:pStyle w:val="bullettable"/>
              <w:rPr>
                <w:sz w:val="20"/>
                <w:szCs w:val="20"/>
              </w:rPr>
            </w:pPr>
            <w:r w:rsidRPr="00EC1071">
              <w:rPr>
                <w:sz w:val="20"/>
                <w:szCs w:val="20"/>
              </w:rPr>
              <w:t xml:space="preserve">Functions and operations </w:t>
            </w:r>
          </w:p>
          <w:p w14:paraId="3FD4308F" w14:textId="77777777" w:rsidR="00D72003" w:rsidRPr="00EC1071" w:rsidRDefault="00D72003" w:rsidP="00D72003">
            <w:pPr>
              <w:pStyle w:val="bullettable"/>
              <w:rPr>
                <w:sz w:val="20"/>
                <w:szCs w:val="20"/>
              </w:rPr>
            </w:pPr>
            <w:r w:rsidRPr="00EC1071">
              <w:rPr>
                <w:sz w:val="20"/>
                <w:szCs w:val="20"/>
              </w:rPr>
              <w:t>Service Level Agreements (SLAs)</w:t>
            </w:r>
          </w:p>
          <w:p w14:paraId="4A57B624" w14:textId="77777777" w:rsidR="00D72003" w:rsidRPr="00EC1071" w:rsidRDefault="00D72003" w:rsidP="00D72003">
            <w:pPr>
              <w:pStyle w:val="bullettable"/>
              <w:rPr>
                <w:sz w:val="20"/>
                <w:szCs w:val="20"/>
              </w:rPr>
            </w:pPr>
            <w:r w:rsidRPr="00EC1071">
              <w:rPr>
                <w:sz w:val="20"/>
                <w:szCs w:val="20"/>
              </w:rPr>
              <w:t>Performance (incl. 5Vs of Big Data)</w:t>
            </w:r>
          </w:p>
          <w:p w14:paraId="21F354E7" w14:textId="77777777" w:rsidR="00D72003" w:rsidRPr="00EC1071" w:rsidRDefault="00D72003" w:rsidP="00D72003">
            <w:pPr>
              <w:pStyle w:val="bullettable"/>
              <w:rPr>
                <w:sz w:val="20"/>
                <w:szCs w:val="20"/>
              </w:rPr>
            </w:pPr>
            <w:r w:rsidRPr="00EC1071">
              <w:rPr>
                <w:sz w:val="20"/>
                <w:szCs w:val="20"/>
              </w:rPr>
              <w:t>Data models and modelling</w:t>
            </w:r>
          </w:p>
          <w:p w14:paraId="0F0CE2E2" w14:textId="77777777" w:rsidR="00D72003" w:rsidRPr="00EC1071" w:rsidRDefault="00D72003" w:rsidP="00D72003">
            <w:pPr>
              <w:pStyle w:val="bullettable"/>
              <w:rPr>
                <w:sz w:val="20"/>
                <w:szCs w:val="20"/>
              </w:rPr>
            </w:pPr>
            <w:r w:rsidRPr="00EC1071">
              <w:rPr>
                <w:sz w:val="20"/>
                <w:szCs w:val="20"/>
              </w:rPr>
              <w:t>Data backup, archiving and recovery</w:t>
            </w:r>
          </w:p>
          <w:p w14:paraId="7C68BE15" w14:textId="77777777" w:rsidR="00D72003" w:rsidRPr="00EC1071" w:rsidRDefault="00D72003" w:rsidP="00D72003">
            <w:pPr>
              <w:pStyle w:val="bullettable"/>
              <w:rPr>
                <w:sz w:val="20"/>
                <w:szCs w:val="20"/>
              </w:rPr>
            </w:pPr>
            <w:r w:rsidRPr="00EC1071">
              <w:rPr>
                <w:sz w:val="20"/>
                <w:szCs w:val="20"/>
              </w:rPr>
              <w:t>Event management</w:t>
            </w:r>
          </w:p>
          <w:p w14:paraId="59511E7E" w14:textId="77777777" w:rsidR="00D72003" w:rsidRPr="00EC1071" w:rsidRDefault="00D72003" w:rsidP="00D72003">
            <w:pPr>
              <w:pStyle w:val="bullettable"/>
              <w:rPr>
                <w:iCs/>
                <w:sz w:val="20"/>
                <w:szCs w:val="20"/>
              </w:rPr>
            </w:pPr>
            <w:r w:rsidRPr="00EC1071">
              <w:rPr>
                <w:sz w:val="20"/>
                <w:szCs w:val="20"/>
                <w:lang w:eastAsia="zh-CN"/>
              </w:rPr>
              <w:t>System resilience</w:t>
            </w:r>
          </w:p>
          <w:p w14:paraId="180BB326" w14:textId="77777777" w:rsidR="00D72003" w:rsidRPr="00EC1071" w:rsidRDefault="00D72003" w:rsidP="00D72003">
            <w:pPr>
              <w:pStyle w:val="bullettable"/>
              <w:rPr>
                <w:iCs/>
                <w:sz w:val="20"/>
                <w:szCs w:val="20"/>
              </w:rPr>
            </w:pPr>
            <w:r w:rsidRPr="00EC1071">
              <w:rPr>
                <w:sz w:val="20"/>
                <w:szCs w:val="20"/>
              </w:rPr>
              <w:t>System sustainability</w:t>
            </w:r>
          </w:p>
        </w:tc>
      </w:tr>
      <w:tr w:rsidR="00D72003" w:rsidRPr="00D56570" w14:paraId="5E7405FA" w14:textId="77777777" w:rsidTr="00D72003">
        <w:trPr>
          <w:jc w:val="center"/>
        </w:trPr>
        <w:tc>
          <w:tcPr>
            <w:tcW w:w="1135" w:type="dxa"/>
            <w:vMerge/>
            <w:tcBorders>
              <w:top w:val="single" w:sz="8" w:space="0" w:color="auto"/>
              <w:left w:val="single" w:sz="8" w:space="0" w:color="auto"/>
              <w:bottom w:val="single" w:sz="8" w:space="0" w:color="auto"/>
              <w:right w:val="single" w:sz="8" w:space="0" w:color="auto"/>
            </w:tcBorders>
            <w:vAlign w:val="center"/>
          </w:tcPr>
          <w:p w14:paraId="3EC7248F" w14:textId="77777777" w:rsidR="00D72003" w:rsidRPr="00EC1071" w:rsidRDefault="00D72003" w:rsidP="00D72003">
            <w:pPr>
              <w:pStyle w:val="TableauNormal1"/>
              <w:rPr>
                <w:szCs w:val="20"/>
              </w:rPr>
            </w:pPr>
          </w:p>
        </w:tc>
        <w:tc>
          <w:tcPr>
            <w:tcW w:w="1134" w:type="dxa"/>
            <w:vMerge w:val="restart"/>
            <w:tcBorders>
              <w:top w:val="single" w:sz="8" w:space="0" w:color="auto"/>
              <w:left w:val="single" w:sz="8" w:space="0" w:color="auto"/>
              <w:bottom w:val="single" w:sz="8" w:space="0" w:color="auto"/>
              <w:right w:val="single" w:sz="8" w:space="0" w:color="auto"/>
            </w:tcBorders>
            <w:vAlign w:val="center"/>
          </w:tcPr>
          <w:p w14:paraId="78D25B1C" w14:textId="77777777" w:rsidR="00D72003" w:rsidRPr="00EC1071" w:rsidRDefault="00D72003" w:rsidP="00D72003">
            <w:pPr>
              <w:pStyle w:val="TableauNormal1"/>
              <w:rPr>
                <w:szCs w:val="20"/>
              </w:rPr>
            </w:pPr>
            <w:r w:rsidRPr="00EC1071">
              <w:rPr>
                <w:szCs w:val="20"/>
                <w:lang w:val="en-US"/>
              </w:rPr>
              <w:t>Entire process control</w:t>
            </w:r>
          </w:p>
        </w:tc>
        <w:tc>
          <w:tcPr>
            <w:tcW w:w="1701" w:type="dxa"/>
            <w:tcBorders>
              <w:top w:val="single" w:sz="8" w:space="0" w:color="auto"/>
              <w:left w:val="nil"/>
              <w:bottom w:val="single" w:sz="8" w:space="0" w:color="auto"/>
              <w:right w:val="single" w:sz="8" w:space="0" w:color="auto"/>
            </w:tcBorders>
            <w:shd w:val="clear" w:color="auto" w:fill="auto"/>
            <w:vAlign w:val="center"/>
          </w:tcPr>
          <w:p w14:paraId="38FE4738" w14:textId="77777777" w:rsidR="00D72003" w:rsidRPr="00EC1071" w:rsidRDefault="00D72003" w:rsidP="00D72003">
            <w:pPr>
              <w:pStyle w:val="TableauNormal1"/>
              <w:rPr>
                <w:szCs w:val="20"/>
                <w:lang w:val="en-US"/>
              </w:rPr>
            </w:pPr>
            <w:r w:rsidRPr="00EC1071">
              <w:rPr>
                <w:szCs w:val="20"/>
                <w:lang w:val="en-US"/>
              </w:rPr>
              <w:t>Data continuity and lifecycle control</w:t>
            </w:r>
          </w:p>
        </w:tc>
        <w:tc>
          <w:tcPr>
            <w:tcW w:w="5387" w:type="dxa"/>
            <w:tcBorders>
              <w:top w:val="single" w:sz="8" w:space="0" w:color="auto"/>
              <w:left w:val="nil"/>
              <w:bottom w:val="single" w:sz="8" w:space="0" w:color="auto"/>
              <w:right w:val="single" w:sz="8" w:space="0" w:color="auto"/>
            </w:tcBorders>
            <w:shd w:val="clear" w:color="auto" w:fill="auto"/>
            <w:vAlign w:val="center"/>
          </w:tcPr>
          <w:p w14:paraId="0DFF078A" w14:textId="77777777" w:rsidR="00D72003" w:rsidRPr="00EC1071" w:rsidRDefault="00D72003" w:rsidP="00D72003">
            <w:pPr>
              <w:pStyle w:val="TableauNormal1"/>
              <w:rPr>
                <w:rFonts w:eastAsia="SimSun"/>
                <w:bCs/>
                <w:iCs/>
                <w:szCs w:val="20"/>
                <w:lang w:val="en-US"/>
              </w:rPr>
            </w:pPr>
            <w:r w:rsidRPr="00EC1071">
              <w:rPr>
                <w:rFonts w:eastAsia="SimSun"/>
                <w:bCs/>
                <w:iCs/>
                <w:szCs w:val="20"/>
                <w:lang w:val="en-US"/>
              </w:rPr>
              <w:t>Data accountability</w:t>
            </w:r>
          </w:p>
          <w:p w14:paraId="0BD0E498" w14:textId="77777777" w:rsidR="00D72003" w:rsidRPr="00EC1071" w:rsidRDefault="00D72003" w:rsidP="00D72003">
            <w:pPr>
              <w:pStyle w:val="TableauNormal1"/>
              <w:rPr>
                <w:rFonts w:eastAsia="SimSun"/>
                <w:szCs w:val="20"/>
                <w:lang w:val="en-US"/>
              </w:rPr>
            </w:pPr>
            <w:r w:rsidRPr="00EC1071">
              <w:rPr>
                <w:rFonts w:eastAsia="SimSun"/>
                <w:szCs w:val="20"/>
                <w:lang w:val="en-US"/>
              </w:rPr>
              <w:t>Data isolation</w:t>
            </w:r>
          </w:p>
          <w:p w14:paraId="67DE5C2E" w14:textId="77777777" w:rsidR="00D72003" w:rsidRPr="00EC1071" w:rsidRDefault="00D72003" w:rsidP="00D72003">
            <w:pPr>
              <w:pStyle w:val="TableauNormal1"/>
              <w:rPr>
                <w:szCs w:val="20"/>
                <w:lang w:val="en-US"/>
              </w:rPr>
            </w:pPr>
            <w:r w:rsidRPr="00EC1071">
              <w:rPr>
                <w:szCs w:val="20"/>
                <w:lang w:val="en-US"/>
              </w:rPr>
              <w:t>SLAs enforcement</w:t>
            </w:r>
          </w:p>
          <w:p w14:paraId="58833D0E" w14:textId="77777777" w:rsidR="00D72003" w:rsidRPr="00EC1071" w:rsidRDefault="00D72003" w:rsidP="00D72003">
            <w:pPr>
              <w:pStyle w:val="TableauNormal1"/>
              <w:rPr>
                <w:szCs w:val="20"/>
                <w:lang w:val="en-US"/>
              </w:rPr>
            </w:pPr>
            <w:r w:rsidRPr="00EC1071">
              <w:rPr>
                <w:szCs w:val="20"/>
                <w:lang w:val="en-US"/>
              </w:rPr>
              <w:t xml:space="preserve">Risk management, incl. different concerns and dimensions and of risks (cybersecurity, privacy, safety, risks assessment, change management) </w:t>
            </w:r>
          </w:p>
          <w:p w14:paraId="3DCA34F4" w14:textId="77777777" w:rsidR="00D72003" w:rsidRPr="00EC1071" w:rsidRDefault="00D72003" w:rsidP="00D72003">
            <w:pPr>
              <w:pStyle w:val="TableauNormal1"/>
              <w:rPr>
                <w:rFonts w:eastAsia="SimSun"/>
                <w:szCs w:val="20"/>
                <w:lang w:val="en-US"/>
              </w:rPr>
            </w:pPr>
            <w:r w:rsidRPr="00EC1071">
              <w:rPr>
                <w:rFonts w:eastAsia="SimSun"/>
                <w:szCs w:val="20"/>
                <w:lang w:val="en-US"/>
              </w:rPr>
              <w:t>Data value chain maintenance, incl. data asset management (data asset value appraisal, identification, registration and disposition)</w:t>
            </w:r>
          </w:p>
          <w:p w14:paraId="115E3994" w14:textId="77777777" w:rsidR="00D72003" w:rsidRPr="00EC1071" w:rsidRDefault="00D72003" w:rsidP="00D72003">
            <w:pPr>
              <w:pStyle w:val="TableauNormal1"/>
              <w:rPr>
                <w:szCs w:val="20"/>
                <w:lang w:val="en-US"/>
              </w:rPr>
            </w:pPr>
            <w:r w:rsidRPr="00EC1071">
              <w:rPr>
                <w:szCs w:val="20"/>
                <w:lang w:val="en-US"/>
              </w:rPr>
              <w:t>Incident management</w:t>
            </w:r>
            <w:r w:rsidRPr="00EC1071">
              <w:rPr>
                <w:rFonts w:eastAsia="SimSun"/>
                <w:szCs w:val="20"/>
                <w:lang w:val="en-US"/>
              </w:rPr>
              <w:t xml:space="preserve"> p</w:t>
            </w:r>
            <w:r w:rsidRPr="00EC1071">
              <w:rPr>
                <w:szCs w:val="20"/>
                <w:lang w:val="en-US"/>
              </w:rPr>
              <w:t>rocess</w:t>
            </w:r>
          </w:p>
          <w:p w14:paraId="66D39A6F" w14:textId="77777777" w:rsidR="00D72003" w:rsidRPr="00EC1071" w:rsidRDefault="00D72003" w:rsidP="00D72003">
            <w:pPr>
              <w:pStyle w:val="TableauNormal1"/>
              <w:rPr>
                <w:szCs w:val="20"/>
                <w:lang w:val="en-US"/>
              </w:rPr>
            </w:pPr>
            <w:r w:rsidRPr="00EC1071">
              <w:rPr>
                <w:szCs w:val="20"/>
                <w:lang w:val="en-US"/>
              </w:rPr>
              <w:t xml:space="preserve">Continuous improvement process, incl. data minimization </w:t>
            </w:r>
          </w:p>
          <w:p w14:paraId="5ED892F4" w14:textId="77777777" w:rsidR="00D72003" w:rsidRPr="00EC1071" w:rsidRDefault="00D72003" w:rsidP="00D72003">
            <w:pPr>
              <w:pStyle w:val="TableauNormal1"/>
              <w:rPr>
                <w:szCs w:val="20"/>
              </w:rPr>
            </w:pPr>
            <w:r w:rsidRPr="00EC1071">
              <w:rPr>
                <w:szCs w:val="20"/>
              </w:rPr>
              <w:t>Data distribution</w:t>
            </w:r>
          </w:p>
          <w:p w14:paraId="358A736E" w14:textId="77777777" w:rsidR="00D72003" w:rsidRPr="00EC1071" w:rsidRDefault="00D72003" w:rsidP="00D72003">
            <w:pPr>
              <w:pStyle w:val="bullettable"/>
              <w:rPr>
                <w:sz w:val="20"/>
                <w:szCs w:val="20"/>
              </w:rPr>
            </w:pPr>
            <w:r w:rsidRPr="00EC1071">
              <w:rPr>
                <w:sz w:val="20"/>
                <w:szCs w:val="20"/>
              </w:rPr>
              <w:t>Technical management considerations on data distribution</w:t>
            </w:r>
          </w:p>
          <w:p w14:paraId="1B7B262B" w14:textId="77777777" w:rsidR="00D72003" w:rsidRPr="00EC1071" w:rsidRDefault="00D72003" w:rsidP="00D72003">
            <w:pPr>
              <w:pStyle w:val="bullettable"/>
              <w:rPr>
                <w:sz w:val="20"/>
                <w:szCs w:val="20"/>
                <w:lang w:eastAsia="zh-CN"/>
              </w:rPr>
            </w:pPr>
            <w:r w:rsidRPr="00EC1071">
              <w:rPr>
                <w:sz w:val="20"/>
                <w:szCs w:val="20"/>
              </w:rPr>
              <w:t>Data access rights and data authorization considerations according to the different stakeholders (e.g. in a smart city scenario, (1) main groups of internal employees, (2) external business partners, (3) general public)</w:t>
            </w:r>
          </w:p>
        </w:tc>
      </w:tr>
      <w:tr w:rsidR="00D72003" w:rsidRPr="00D56570" w14:paraId="1EF2FA5C" w14:textId="77777777" w:rsidTr="00D72003">
        <w:trPr>
          <w:jc w:val="center"/>
        </w:trPr>
        <w:tc>
          <w:tcPr>
            <w:tcW w:w="1135" w:type="dxa"/>
            <w:vMerge/>
            <w:tcBorders>
              <w:top w:val="single" w:sz="8" w:space="0" w:color="auto"/>
              <w:left w:val="single" w:sz="8" w:space="0" w:color="auto"/>
              <w:bottom w:val="single" w:sz="8" w:space="0" w:color="auto"/>
              <w:right w:val="single" w:sz="8" w:space="0" w:color="auto"/>
            </w:tcBorders>
            <w:vAlign w:val="center"/>
          </w:tcPr>
          <w:p w14:paraId="2416372A" w14:textId="77777777" w:rsidR="00D72003" w:rsidRPr="00EC1071" w:rsidRDefault="00D72003" w:rsidP="00D72003">
            <w:pPr>
              <w:pStyle w:val="TableauNormal1"/>
              <w:rPr>
                <w:szCs w:val="20"/>
              </w:rPr>
            </w:pPr>
          </w:p>
        </w:tc>
        <w:tc>
          <w:tcPr>
            <w:tcW w:w="1134" w:type="dxa"/>
            <w:vMerge/>
            <w:tcBorders>
              <w:top w:val="single" w:sz="8" w:space="0" w:color="auto"/>
              <w:left w:val="single" w:sz="8" w:space="0" w:color="auto"/>
              <w:bottom w:val="single" w:sz="8" w:space="0" w:color="auto"/>
              <w:right w:val="single" w:sz="8" w:space="0" w:color="auto"/>
            </w:tcBorders>
            <w:vAlign w:val="center"/>
          </w:tcPr>
          <w:p w14:paraId="034F1CF4" w14:textId="77777777" w:rsidR="00D72003" w:rsidRPr="00EC1071" w:rsidRDefault="00D72003" w:rsidP="00D72003">
            <w:pPr>
              <w:pStyle w:val="TableauNormal1"/>
              <w:rPr>
                <w:szCs w:val="20"/>
              </w:rPr>
            </w:pPr>
          </w:p>
        </w:tc>
        <w:tc>
          <w:tcPr>
            <w:tcW w:w="1701" w:type="dxa"/>
            <w:tcBorders>
              <w:top w:val="single" w:sz="8" w:space="0" w:color="auto"/>
              <w:left w:val="nil"/>
              <w:bottom w:val="single" w:sz="8" w:space="0" w:color="auto"/>
              <w:right w:val="single" w:sz="8" w:space="0" w:color="auto"/>
            </w:tcBorders>
            <w:shd w:val="clear" w:color="auto" w:fill="auto"/>
            <w:vAlign w:val="center"/>
          </w:tcPr>
          <w:p w14:paraId="0D167630" w14:textId="77777777" w:rsidR="00D72003" w:rsidRPr="00EC1071" w:rsidRDefault="00D72003" w:rsidP="00D72003">
            <w:pPr>
              <w:pStyle w:val="TableauNormal1"/>
              <w:rPr>
                <w:szCs w:val="20"/>
                <w:lang w:val="en-US"/>
              </w:rPr>
            </w:pPr>
            <w:r w:rsidRPr="00EC1071">
              <w:rPr>
                <w:szCs w:val="20"/>
                <w:lang w:val="en-US"/>
              </w:rPr>
              <w:t>Data privacy and protection</w:t>
            </w:r>
          </w:p>
        </w:tc>
        <w:tc>
          <w:tcPr>
            <w:tcW w:w="5387" w:type="dxa"/>
            <w:tcBorders>
              <w:top w:val="single" w:sz="8" w:space="0" w:color="auto"/>
              <w:left w:val="nil"/>
              <w:bottom w:val="single" w:sz="8" w:space="0" w:color="auto"/>
              <w:right w:val="single" w:sz="8" w:space="0" w:color="auto"/>
            </w:tcBorders>
            <w:shd w:val="clear" w:color="auto" w:fill="auto"/>
            <w:vAlign w:val="center"/>
          </w:tcPr>
          <w:p w14:paraId="31C0D619" w14:textId="77777777" w:rsidR="00D72003" w:rsidRPr="00EC1071" w:rsidRDefault="00D72003" w:rsidP="00D72003">
            <w:pPr>
              <w:pStyle w:val="TableauNormal1"/>
              <w:rPr>
                <w:szCs w:val="20"/>
              </w:rPr>
            </w:pPr>
            <w:r w:rsidRPr="00EC1071">
              <w:rPr>
                <w:szCs w:val="20"/>
                <w:lang w:val="en-US"/>
              </w:rPr>
              <w:t xml:space="preserve">Data sensitivity </w:t>
            </w:r>
          </w:p>
          <w:p w14:paraId="4DE25291" w14:textId="77777777" w:rsidR="00D72003" w:rsidRPr="00EC1071" w:rsidRDefault="00D72003" w:rsidP="00D72003">
            <w:pPr>
              <w:pStyle w:val="TableauNormal1"/>
              <w:rPr>
                <w:szCs w:val="20"/>
              </w:rPr>
            </w:pPr>
            <w:r w:rsidRPr="00EC1071">
              <w:rPr>
                <w:szCs w:val="20"/>
                <w:lang w:val="en-US"/>
              </w:rPr>
              <w:t xml:space="preserve">Data classification </w:t>
            </w:r>
          </w:p>
          <w:p w14:paraId="7E8658EE" w14:textId="77777777" w:rsidR="00D72003" w:rsidRPr="00EC1071" w:rsidRDefault="00D72003" w:rsidP="00D72003">
            <w:pPr>
              <w:pStyle w:val="TableauNormal1"/>
              <w:rPr>
                <w:szCs w:val="20"/>
                <w:lang w:val="en-US"/>
              </w:rPr>
            </w:pPr>
            <w:r w:rsidRPr="00EC1071">
              <w:rPr>
                <w:szCs w:val="20"/>
                <w:lang w:val="en-US"/>
              </w:rPr>
              <w:t xml:space="preserve">Data security </w:t>
            </w:r>
          </w:p>
          <w:p w14:paraId="030E994D" w14:textId="77777777" w:rsidR="00D72003" w:rsidRPr="00EC1071" w:rsidRDefault="00D72003" w:rsidP="00D72003">
            <w:pPr>
              <w:pStyle w:val="TableauNormal1"/>
              <w:rPr>
                <w:b/>
                <w:szCs w:val="20"/>
                <w:lang w:val="en-US"/>
              </w:rPr>
            </w:pPr>
            <w:r w:rsidRPr="00EC1071">
              <w:rPr>
                <w:szCs w:val="20"/>
                <w:lang w:val="en-US"/>
              </w:rPr>
              <w:t xml:space="preserve">IPR and Licensing </w:t>
            </w:r>
          </w:p>
          <w:p w14:paraId="621BD5BE" w14:textId="77777777" w:rsidR="00D72003" w:rsidRPr="00EC1071" w:rsidRDefault="00D72003" w:rsidP="00D72003">
            <w:pPr>
              <w:pStyle w:val="bullettable"/>
              <w:rPr>
                <w:sz w:val="20"/>
                <w:szCs w:val="20"/>
              </w:rPr>
            </w:pPr>
            <w:r w:rsidRPr="00EC1071">
              <w:rPr>
                <w:sz w:val="20"/>
                <w:szCs w:val="20"/>
              </w:rPr>
              <w:t>Open data vs private data</w:t>
            </w:r>
          </w:p>
          <w:p w14:paraId="60E3D1C2" w14:textId="77777777" w:rsidR="00D72003" w:rsidRPr="00EC1071" w:rsidRDefault="00D72003" w:rsidP="00D72003">
            <w:pPr>
              <w:pStyle w:val="bullettable"/>
              <w:rPr>
                <w:sz w:val="20"/>
                <w:szCs w:val="20"/>
              </w:rPr>
            </w:pPr>
            <w:r w:rsidRPr="00EC1071">
              <w:rPr>
                <w:sz w:val="20"/>
                <w:szCs w:val="20"/>
              </w:rPr>
              <w:t>Licenses of data use and reuse</w:t>
            </w:r>
          </w:p>
        </w:tc>
      </w:tr>
      <w:tr w:rsidR="00D72003" w:rsidRPr="00D56570" w14:paraId="20EAD6D4" w14:textId="77777777" w:rsidTr="00D72003">
        <w:trPr>
          <w:jc w:val="center"/>
        </w:trPr>
        <w:tc>
          <w:tcPr>
            <w:tcW w:w="2269"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A7B7110" w14:textId="77777777" w:rsidR="00D72003" w:rsidRPr="00EC1071" w:rsidRDefault="00D72003" w:rsidP="00D72003">
            <w:pPr>
              <w:pStyle w:val="TableauNormal1"/>
              <w:rPr>
                <w:szCs w:val="20"/>
                <w:lang w:val="en-US"/>
              </w:rPr>
            </w:pPr>
            <w:r w:rsidRPr="00EC1071">
              <w:rPr>
                <w:szCs w:val="20"/>
                <w:lang w:val="en-US"/>
              </w:rPr>
              <w:t>Governing object</w:t>
            </w:r>
          </w:p>
          <w:p w14:paraId="1CAD6442" w14:textId="77777777" w:rsidR="00D72003" w:rsidRPr="00EC1071" w:rsidRDefault="00D72003" w:rsidP="00D72003">
            <w:pPr>
              <w:pStyle w:val="TableauNormal1"/>
              <w:rPr>
                <w:szCs w:val="20"/>
                <w:lang w:val="en-US"/>
              </w:rPr>
            </w:pPr>
            <w:r w:rsidRPr="00EC1071">
              <w:rPr>
                <w:szCs w:val="20"/>
                <w:lang w:val="en-US"/>
              </w:rPr>
              <w:t>(Artifacts of data governance)</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42EBEB9A" w14:textId="77777777" w:rsidR="00D72003" w:rsidRPr="00EC1071" w:rsidRDefault="00D72003" w:rsidP="00D72003">
            <w:pPr>
              <w:pStyle w:val="TableauNormal1"/>
              <w:rPr>
                <w:szCs w:val="20"/>
                <w:lang w:val="en-US"/>
              </w:rPr>
            </w:pPr>
            <w:r w:rsidRPr="00EC1071">
              <w:rPr>
                <w:szCs w:val="20"/>
                <w:lang w:val="en-US"/>
              </w:rPr>
              <w:t>data</w:t>
            </w:r>
          </w:p>
        </w:tc>
        <w:tc>
          <w:tcPr>
            <w:tcW w:w="5387" w:type="dxa"/>
            <w:tcBorders>
              <w:top w:val="single" w:sz="8" w:space="0" w:color="auto"/>
              <w:left w:val="single" w:sz="8" w:space="0" w:color="auto"/>
              <w:bottom w:val="single" w:sz="8" w:space="0" w:color="auto"/>
              <w:right w:val="single" w:sz="8" w:space="0" w:color="auto"/>
            </w:tcBorders>
            <w:shd w:val="clear" w:color="auto" w:fill="auto"/>
            <w:vAlign w:val="center"/>
          </w:tcPr>
          <w:p w14:paraId="6FBA528D" w14:textId="77777777" w:rsidR="00D72003" w:rsidRPr="00EC1071" w:rsidRDefault="00D72003" w:rsidP="00D72003">
            <w:pPr>
              <w:pStyle w:val="bullettable"/>
              <w:rPr>
                <w:sz w:val="20"/>
                <w:szCs w:val="20"/>
              </w:rPr>
            </w:pPr>
            <w:r w:rsidRPr="00EC1071">
              <w:rPr>
                <w:sz w:val="20"/>
                <w:szCs w:val="20"/>
              </w:rPr>
              <w:t>Volume</w:t>
            </w:r>
          </w:p>
          <w:p w14:paraId="59FDE2BB" w14:textId="77777777" w:rsidR="00D72003" w:rsidRPr="00EC1071" w:rsidRDefault="00D72003" w:rsidP="00D72003">
            <w:pPr>
              <w:pStyle w:val="bullettable"/>
              <w:rPr>
                <w:sz w:val="20"/>
                <w:szCs w:val="20"/>
              </w:rPr>
            </w:pPr>
            <w:r w:rsidRPr="00EC1071">
              <w:rPr>
                <w:sz w:val="20"/>
                <w:szCs w:val="20"/>
              </w:rPr>
              <w:t xml:space="preserve">Variety </w:t>
            </w:r>
          </w:p>
          <w:p w14:paraId="7BF01558" w14:textId="77777777" w:rsidR="00D72003" w:rsidRPr="00EC1071" w:rsidRDefault="00D72003" w:rsidP="00D72003">
            <w:pPr>
              <w:pStyle w:val="bullettable"/>
              <w:rPr>
                <w:sz w:val="20"/>
                <w:szCs w:val="20"/>
              </w:rPr>
            </w:pPr>
            <w:r w:rsidRPr="00EC1071">
              <w:rPr>
                <w:sz w:val="20"/>
                <w:szCs w:val="20"/>
              </w:rPr>
              <w:t xml:space="preserve">Value </w:t>
            </w:r>
          </w:p>
          <w:p w14:paraId="446FC302" w14:textId="77777777" w:rsidR="00D72003" w:rsidRPr="00EC1071" w:rsidRDefault="00D72003" w:rsidP="00D72003">
            <w:pPr>
              <w:pStyle w:val="bullettable"/>
              <w:rPr>
                <w:sz w:val="20"/>
                <w:szCs w:val="20"/>
              </w:rPr>
            </w:pPr>
            <w:r w:rsidRPr="00EC1071">
              <w:rPr>
                <w:sz w:val="20"/>
                <w:szCs w:val="20"/>
              </w:rPr>
              <w:t xml:space="preserve">Velocity </w:t>
            </w:r>
          </w:p>
          <w:p w14:paraId="0E990F41" w14:textId="77777777" w:rsidR="00D72003" w:rsidRPr="00EC1071" w:rsidRDefault="00D72003" w:rsidP="00D72003">
            <w:pPr>
              <w:pStyle w:val="bullettable"/>
              <w:rPr>
                <w:sz w:val="20"/>
                <w:szCs w:val="20"/>
              </w:rPr>
            </w:pPr>
            <w:r w:rsidRPr="00EC1071">
              <w:rPr>
                <w:sz w:val="20"/>
                <w:szCs w:val="20"/>
              </w:rPr>
              <w:t xml:space="preserve">Variation </w:t>
            </w:r>
          </w:p>
        </w:tc>
      </w:tr>
      <w:tr w:rsidR="00D72003" w:rsidRPr="00D56570" w14:paraId="159C940C" w14:textId="77777777" w:rsidTr="00D72003">
        <w:trPr>
          <w:jc w:val="center"/>
        </w:trPr>
        <w:tc>
          <w:tcPr>
            <w:tcW w:w="2269" w:type="dxa"/>
            <w:gridSpan w:val="2"/>
            <w:vMerge/>
            <w:tcBorders>
              <w:top w:val="single" w:sz="8" w:space="0" w:color="auto"/>
              <w:left w:val="single" w:sz="8" w:space="0" w:color="auto"/>
              <w:bottom w:val="single" w:sz="8" w:space="0" w:color="auto"/>
              <w:right w:val="single" w:sz="4" w:space="0" w:color="auto"/>
            </w:tcBorders>
            <w:shd w:val="clear" w:color="auto" w:fill="auto"/>
            <w:vAlign w:val="center"/>
          </w:tcPr>
          <w:p w14:paraId="6C404EEA" w14:textId="77777777" w:rsidR="00D72003" w:rsidRPr="00EC1071" w:rsidRDefault="00D72003" w:rsidP="00D72003">
            <w:pPr>
              <w:pStyle w:val="TableauNormal1"/>
              <w:rPr>
                <w:szCs w:val="20"/>
                <w:lang w:val="en-US"/>
              </w:rPr>
            </w:pP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tcPr>
          <w:p w14:paraId="7A206748" w14:textId="77777777" w:rsidR="00D72003" w:rsidRPr="00EC1071" w:rsidRDefault="00D72003" w:rsidP="00D72003">
            <w:pPr>
              <w:pStyle w:val="TableauNormal1"/>
              <w:rPr>
                <w:szCs w:val="20"/>
                <w:lang w:val="en-US"/>
              </w:rPr>
            </w:pPr>
            <w:r w:rsidRPr="00EC1071">
              <w:rPr>
                <w:szCs w:val="20"/>
                <w:lang w:val="en-US"/>
              </w:rPr>
              <w:t>Architecture</w:t>
            </w:r>
          </w:p>
        </w:tc>
        <w:tc>
          <w:tcPr>
            <w:tcW w:w="5387" w:type="dxa"/>
            <w:tcBorders>
              <w:top w:val="single" w:sz="8" w:space="0" w:color="auto"/>
              <w:left w:val="nil"/>
              <w:bottom w:val="single" w:sz="4" w:space="0" w:color="auto"/>
              <w:right w:val="single" w:sz="8" w:space="0" w:color="auto"/>
            </w:tcBorders>
            <w:shd w:val="clear" w:color="auto" w:fill="auto"/>
            <w:vAlign w:val="center"/>
          </w:tcPr>
          <w:p w14:paraId="48273429" w14:textId="77777777" w:rsidR="00D72003" w:rsidRPr="00EC1071" w:rsidRDefault="00D72003" w:rsidP="00D72003">
            <w:pPr>
              <w:pStyle w:val="bullettable"/>
              <w:rPr>
                <w:sz w:val="20"/>
                <w:szCs w:val="20"/>
              </w:rPr>
            </w:pPr>
            <w:r w:rsidRPr="00EC1071">
              <w:rPr>
                <w:sz w:val="20"/>
                <w:szCs w:val="20"/>
              </w:rPr>
              <w:t>Communication infrastructure (incl. connectivity)</w:t>
            </w:r>
          </w:p>
          <w:p w14:paraId="2308DE3D" w14:textId="77777777" w:rsidR="00D72003" w:rsidRPr="00EC1071" w:rsidRDefault="00D72003" w:rsidP="00D72003">
            <w:pPr>
              <w:pStyle w:val="bullettable"/>
              <w:rPr>
                <w:sz w:val="20"/>
                <w:szCs w:val="20"/>
              </w:rPr>
            </w:pPr>
            <w:r w:rsidRPr="00EC1071">
              <w:rPr>
                <w:sz w:val="20"/>
                <w:szCs w:val="20"/>
              </w:rPr>
              <w:t>Data consistency across systems involved in the use case</w:t>
            </w:r>
          </w:p>
          <w:p w14:paraId="26429FBB" w14:textId="77777777" w:rsidR="00D72003" w:rsidRPr="00EC1071" w:rsidRDefault="00D72003" w:rsidP="00D72003">
            <w:pPr>
              <w:pStyle w:val="bullettable"/>
              <w:rPr>
                <w:b/>
                <w:sz w:val="20"/>
                <w:szCs w:val="20"/>
              </w:rPr>
            </w:pPr>
            <w:r w:rsidRPr="00EC1071">
              <w:rPr>
                <w:sz w:val="20"/>
                <w:szCs w:val="20"/>
              </w:rPr>
              <w:t>Deployment considerations</w:t>
            </w:r>
          </w:p>
          <w:p w14:paraId="64F68D0B" w14:textId="77777777" w:rsidR="00D72003" w:rsidRPr="00EC1071" w:rsidRDefault="00D72003" w:rsidP="00D72003">
            <w:pPr>
              <w:pStyle w:val="bullettable"/>
              <w:rPr>
                <w:sz w:val="20"/>
                <w:szCs w:val="20"/>
              </w:rPr>
            </w:pPr>
            <w:r w:rsidRPr="00EC1071">
              <w:rPr>
                <w:sz w:val="20"/>
                <w:szCs w:val="20"/>
              </w:rPr>
              <w:t>Interface requirements, incl. user interfaces and APIs</w:t>
            </w:r>
          </w:p>
          <w:p w14:paraId="618DBD1B" w14:textId="77777777" w:rsidR="00D72003" w:rsidRPr="00EC1071" w:rsidRDefault="00D72003" w:rsidP="00D72003">
            <w:pPr>
              <w:pStyle w:val="bullettable"/>
              <w:rPr>
                <w:sz w:val="20"/>
                <w:szCs w:val="20"/>
                <w:lang w:eastAsia="zh-CN"/>
              </w:rPr>
            </w:pPr>
            <w:r w:rsidRPr="00EC1071">
              <w:rPr>
                <w:sz w:val="20"/>
                <w:szCs w:val="20"/>
              </w:rPr>
              <w:t>Performance criteria</w:t>
            </w:r>
          </w:p>
        </w:tc>
      </w:tr>
    </w:tbl>
    <w:p w14:paraId="32E83EAB" w14:textId="2D53138C" w:rsidR="00D72003" w:rsidRDefault="00D72003" w:rsidP="00D72003">
      <w:pPr>
        <w:pStyle w:val="figurecentred"/>
      </w:pPr>
      <w:bookmarkStart w:id="96" w:name="_Ref535444385"/>
      <w:r w:rsidRPr="00E44EE9">
        <w:t>Table</w:t>
      </w:r>
      <w:bookmarkEnd w:id="96"/>
      <w:r w:rsidR="00F81CCA">
        <w:t xml:space="preserve"> 6</w:t>
      </w:r>
      <w:r w:rsidRPr="00E44EE9">
        <w:t xml:space="preserve">: </w:t>
      </w:r>
      <w:r>
        <w:t>Enablers for governance</w:t>
      </w:r>
    </w:p>
    <w:p w14:paraId="0ACCD048" w14:textId="77777777" w:rsidR="0061423E" w:rsidRPr="002D41EB" w:rsidRDefault="0061423E" w:rsidP="0061423E">
      <w:pPr>
        <w:rPr>
          <w:lang w:bidi="ar-DZ"/>
        </w:rPr>
      </w:pPr>
    </w:p>
    <w:p w14:paraId="6B9720EC" w14:textId="78A5AD34" w:rsidR="00217ECD" w:rsidRPr="00217ECD" w:rsidRDefault="0061423E" w:rsidP="00A01D57">
      <w:pPr>
        <w:jc w:val="center"/>
      </w:pPr>
      <w:r>
        <w:t>_________________</w:t>
      </w:r>
    </w:p>
    <w:sectPr w:rsidR="00217ECD" w:rsidRPr="00217ECD" w:rsidSect="00ED776D">
      <w:headerReference w:type="even" r:id="rId42"/>
      <w:headerReference w:type="default" r:id="rId43"/>
      <w:pgSz w:w="11907" w:h="16840" w:code="9"/>
      <w:pgMar w:top="1134" w:right="1134" w:bottom="1134" w:left="1134" w:header="720" w:footer="72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F7718" w14:textId="77777777" w:rsidR="007200A9" w:rsidRDefault="007200A9">
      <w:r>
        <w:separator/>
      </w:r>
    </w:p>
  </w:endnote>
  <w:endnote w:type="continuationSeparator" w:id="0">
    <w:p w14:paraId="7C657E1F" w14:textId="77777777" w:rsidR="007200A9" w:rsidRDefault="0072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HWVCCC+Univers-CondensedLight">
    <w:altName w:val="Arial"/>
    <w:charset w:val="00"/>
    <w:family w:val="swiss"/>
    <w:pitch w:val="default"/>
    <w:sig w:usb0="00000000" w:usb1="00000000" w:usb2="00000000" w:usb3="00000000" w:csb0="00000001" w:csb1="00000000"/>
  </w:font>
  <w:font w:name="Foundry Form Serif">
    <w:altName w:val="Cambria"/>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swiss"/>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910C2" w14:textId="77777777" w:rsidR="007200A9" w:rsidRDefault="007200A9">
      <w:r>
        <w:t>____________________</w:t>
      </w:r>
    </w:p>
  </w:footnote>
  <w:footnote w:type="continuationSeparator" w:id="0">
    <w:p w14:paraId="5F312DA7" w14:textId="77777777" w:rsidR="007200A9" w:rsidRDefault="007200A9">
      <w:r>
        <w:continuationSeparator/>
      </w:r>
    </w:p>
  </w:footnote>
  <w:footnote w:id="1">
    <w:p w14:paraId="13F15BF9" w14:textId="77777777" w:rsidR="00BE0981" w:rsidRPr="00DD6B65" w:rsidRDefault="00BE0981" w:rsidP="0039732A">
      <w:pPr>
        <w:pStyle w:val="FootnoteText"/>
        <w:spacing w:before="0"/>
        <w:rPr>
          <w:sz w:val="18"/>
          <w:szCs w:val="18"/>
        </w:rPr>
      </w:pPr>
      <w:r w:rsidRPr="00DD6B65">
        <w:rPr>
          <w:rStyle w:val="FootnoteReference"/>
          <w:szCs w:val="18"/>
          <w:vertAlign w:val="superscript"/>
        </w:rPr>
        <w:footnoteRef/>
      </w:r>
      <w:r w:rsidRPr="00DD6B65">
        <w:rPr>
          <w:sz w:val="18"/>
          <w:szCs w:val="18"/>
        </w:rPr>
        <w:t xml:space="preserve"> R. Kitchin, M. Dodge, The (In)security of Smart Cities: Vulnerabilities, Risks, Mitigation and </w:t>
      </w:r>
    </w:p>
    <w:p w14:paraId="2D622BE3" w14:textId="77777777" w:rsidR="00BE0981" w:rsidRPr="00C91D29" w:rsidRDefault="00BE0981" w:rsidP="0039732A">
      <w:pPr>
        <w:pStyle w:val="FootnoteText"/>
        <w:spacing w:before="0"/>
      </w:pPr>
      <w:r w:rsidRPr="00DD6B65">
        <w:rPr>
          <w:sz w:val="18"/>
          <w:szCs w:val="18"/>
        </w:rPr>
        <w:t>Prevention, Journal of Urban Technology, 21, 2017, pp. 1-19.</w:t>
      </w:r>
    </w:p>
  </w:footnote>
  <w:footnote w:id="2">
    <w:p w14:paraId="2A3A616F" w14:textId="77777777" w:rsidR="00BE0981" w:rsidRPr="006A128F" w:rsidRDefault="00BE0981" w:rsidP="00F31B37">
      <w:pPr>
        <w:pStyle w:val="FootnoteText"/>
        <w:spacing w:before="0"/>
      </w:pPr>
      <w:r w:rsidRPr="00A8258B">
        <w:rPr>
          <w:rStyle w:val="FootnoteReference"/>
          <w:sz w:val="20"/>
          <w:vertAlign w:val="superscript"/>
        </w:rPr>
        <w:footnoteRef/>
      </w:r>
      <w:r w:rsidRPr="00C91D29">
        <w:t xml:space="preserve"> Create-IoT-Project, </w:t>
      </w:r>
      <w:r w:rsidRPr="00A759FE">
        <w:t>Legal IoT Framework (Initial</w:t>
      </w:r>
      <w:r w:rsidRPr="006A128F">
        <w:t>), Deliverable 05.05,  December 2017.</w:t>
      </w:r>
    </w:p>
  </w:footnote>
  <w:footnote w:id="3">
    <w:p w14:paraId="1CB89B1F" w14:textId="77777777" w:rsidR="00BE0981" w:rsidRPr="00C91D29" w:rsidRDefault="00BE0981" w:rsidP="00F31B37">
      <w:pPr>
        <w:pStyle w:val="FootnoteText"/>
        <w:spacing w:before="0"/>
      </w:pPr>
      <w:r w:rsidRPr="00A8258B">
        <w:rPr>
          <w:rStyle w:val="FootnoteReference"/>
          <w:sz w:val="20"/>
          <w:vertAlign w:val="superscript"/>
        </w:rPr>
        <w:footnoteRef/>
      </w:r>
      <w:r w:rsidRPr="00C91D29">
        <w:t xml:space="preserve"> ENISA, Cyber Security for Smart Cities. An architecture model for public transport, December 2105.</w:t>
      </w:r>
    </w:p>
  </w:footnote>
  <w:footnote w:id="4">
    <w:p w14:paraId="1A6052E3" w14:textId="77777777" w:rsidR="00BE0981" w:rsidRPr="006A128F" w:rsidRDefault="00BE0981" w:rsidP="00F31B37">
      <w:pPr>
        <w:pStyle w:val="FootnoteText"/>
        <w:spacing w:before="0"/>
      </w:pPr>
      <w:r w:rsidRPr="00A8258B">
        <w:rPr>
          <w:rStyle w:val="FootnoteReference"/>
          <w:sz w:val="20"/>
          <w:vertAlign w:val="superscript"/>
        </w:rPr>
        <w:footnoteRef/>
      </w:r>
      <w:r w:rsidRPr="00C91D29">
        <w:t xml:space="preserve"> </w:t>
      </w:r>
      <w:r w:rsidRPr="00C91D29">
        <w:tab/>
        <w:t xml:space="preserve">For a general scenario of legal framework see Create-IoT-Project, </w:t>
      </w:r>
      <w:r w:rsidRPr="00A759FE">
        <w:t>Legal IoT Framework (Initial</w:t>
      </w:r>
      <w:r w:rsidRPr="006A128F">
        <w:t>), Deliverable 05.05,  December 2017.</w:t>
      </w:r>
    </w:p>
  </w:footnote>
  <w:footnote w:id="5">
    <w:p w14:paraId="7C588F46" w14:textId="77777777" w:rsidR="00BE0981" w:rsidRPr="00DD6B65" w:rsidRDefault="00BE0981" w:rsidP="00E80112">
      <w:pPr>
        <w:pStyle w:val="FootnoteText"/>
        <w:spacing w:before="0"/>
        <w:rPr>
          <w:sz w:val="18"/>
          <w:szCs w:val="18"/>
        </w:rPr>
      </w:pPr>
      <w:r w:rsidRPr="00DD6B65">
        <w:rPr>
          <w:rStyle w:val="FootnoteReference"/>
          <w:szCs w:val="18"/>
          <w:vertAlign w:val="superscript"/>
        </w:rPr>
        <w:footnoteRef/>
      </w:r>
      <w:r w:rsidRPr="00DD6B65">
        <w:rPr>
          <w:sz w:val="18"/>
          <w:szCs w:val="18"/>
          <w:vertAlign w:val="superscript"/>
        </w:rPr>
        <w:t xml:space="preserve"> </w:t>
      </w:r>
      <w:r w:rsidRPr="00DD6B65">
        <w:rPr>
          <w:sz w:val="18"/>
          <w:szCs w:val="18"/>
        </w:rPr>
        <w:tab/>
        <w:t>Japan has enacted also other specific laws on the collection and processing of personal information. Among them: Act for the Protection of Personal Information Held by Administrative Organs; Act for the Protection of Personal Information Retained by Incorporated Adminisrative Agencies, etc.; Ordinances for the protection of personal information ser by each municipalities.</w:t>
      </w:r>
    </w:p>
  </w:footnote>
  <w:footnote w:id="6">
    <w:p w14:paraId="6C7D7533" w14:textId="77777777" w:rsidR="00BE0981" w:rsidRPr="00DD6B65" w:rsidRDefault="00BE0981" w:rsidP="00E80112">
      <w:pPr>
        <w:pStyle w:val="FootnoteText"/>
        <w:spacing w:before="0"/>
        <w:rPr>
          <w:sz w:val="18"/>
          <w:szCs w:val="18"/>
        </w:rPr>
      </w:pPr>
      <w:r w:rsidRPr="00DD6B65">
        <w:rPr>
          <w:rStyle w:val="FootnoteReference"/>
          <w:szCs w:val="18"/>
          <w:vertAlign w:val="superscript"/>
        </w:rPr>
        <w:footnoteRef/>
      </w:r>
      <w:r w:rsidRPr="00DD6B65">
        <w:rPr>
          <w:sz w:val="18"/>
          <w:szCs w:val="18"/>
        </w:rPr>
        <w:t xml:space="preserve"> For a comprehensive overview see  A.B.  Makulilo, African Data Privacy Law (Springer: 2016).</w:t>
      </w:r>
    </w:p>
  </w:footnote>
  <w:footnote w:id="7">
    <w:p w14:paraId="240620A3" w14:textId="77777777" w:rsidR="00BE0981" w:rsidRPr="00DD6B65" w:rsidRDefault="00BE0981" w:rsidP="00E80112">
      <w:pPr>
        <w:pStyle w:val="FootnoteText"/>
        <w:spacing w:before="0"/>
        <w:rPr>
          <w:sz w:val="18"/>
          <w:szCs w:val="18"/>
        </w:rPr>
      </w:pPr>
      <w:r w:rsidRPr="00DD6B65">
        <w:rPr>
          <w:rStyle w:val="FootnoteReference"/>
          <w:szCs w:val="18"/>
          <w:vertAlign w:val="superscript"/>
        </w:rPr>
        <w:footnoteRef/>
      </w:r>
      <w:r w:rsidRPr="00DD6B65">
        <w:rPr>
          <w:sz w:val="18"/>
          <w:szCs w:val="18"/>
        </w:rPr>
        <w:t xml:space="preserve"> Personal Protection of Personal Data (Federal Law 25.326/2000).</w:t>
      </w:r>
    </w:p>
  </w:footnote>
  <w:footnote w:id="8">
    <w:p w14:paraId="1A1ED17A" w14:textId="77777777" w:rsidR="00BE0981" w:rsidRPr="00DD6B65" w:rsidRDefault="00BE0981" w:rsidP="00E80112">
      <w:pPr>
        <w:pStyle w:val="FootnoteText"/>
        <w:spacing w:before="0"/>
        <w:rPr>
          <w:sz w:val="18"/>
          <w:szCs w:val="18"/>
        </w:rPr>
      </w:pPr>
      <w:r w:rsidRPr="00DD6B65">
        <w:rPr>
          <w:rStyle w:val="FootnoteReference"/>
          <w:szCs w:val="18"/>
          <w:vertAlign w:val="superscript"/>
        </w:rPr>
        <w:footnoteRef/>
      </w:r>
      <w:r w:rsidRPr="00DD6B65">
        <w:rPr>
          <w:sz w:val="18"/>
          <w:szCs w:val="18"/>
        </w:rPr>
        <w:t xml:space="preserve"> General Law  on the Protection of Personal Data (Federal Law 8.968).</w:t>
      </w:r>
    </w:p>
  </w:footnote>
  <w:footnote w:id="9">
    <w:p w14:paraId="2B56FB01" w14:textId="77777777" w:rsidR="00BE0981" w:rsidRPr="00DD6B65" w:rsidRDefault="00BE0981" w:rsidP="00E80112">
      <w:pPr>
        <w:pStyle w:val="FootnoteText"/>
        <w:spacing w:before="0"/>
        <w:rPr>
          <w:sz w:val="18"/>
          <w:szCs w:val="18"/>
        </w:rPr>
      </w:pPr>
      <w:r w:rsidRPr="00DD6B65">
        <w:rPr>
          <w:rStyle w:val="FootnoteReference"/>
          <w:szCs w:val="18"/>
          <w:vertAlign w:val="superscript"/>
        </w:rPr>
        <w:footnoteRef/>
      </w:r>
      <w:r w:rsidRPr="00DD6B65">
        <w:rPr>
          <w:sz w:val="18"/>
          <w:szCs w:val="18"/>
        </w:rPr>
        <w:t xml:space="preserve"> Federal Law on Personal Data.</w:t>
      </w:r>
    </w:p>
  </w:footnote>
  <w:footnote w:id="10">
    <w:p w14:paraId="42E82C5B" w14:textId="77777777" w:rsidR="00BE0981" w:rsidRPr="00DD6B65" w:rsidRDefault="00BE0981" w:rsidP="00E80112">
      <w:pPr>
        <w:pStyle w:val="FootnoteText"/>
        <w:spacing w:before="0"/>
        <w:rPr>
          <w:sz w:val="18"/>
          <w:szCs w:val="18"/>
        </w:rPr>
      </w:pPr>
      <w:r w:rsidRPr="00DD6B65">
        <w:rPr>
          <w:rStyle w:val="FootnoteReference"/>
          <w:szCs w:val="18"/>
          <w:vertAlign w:val="superscript"/>
        </w:rPr>
        <w:footnoteRef/>
      </w:r>
      <w:r w:rsidRPr="00DD6B65">
        <w:rPr>
          <w:sz w:val="18"/>
          <w:szCs w:val="18"/>
        </w:rPr>
        <w:t xml:space="preserve"> Data Protection of Personal Data (Act 29.733/2011).</w:t>
      </w:r>
    </w:p>
  </w:footnote>
  <w:footnote w:id="11">
    <w:p w14:paraId="5FFA747A" w14:textId="77777777" w:rsidR="00BE0981" w:rsidRPr="00C91D29" w:rsidRDefault="00BE0981" w:rsidP="00E80112">
      <w:pPr>
        <w:pStyle w:val="FootnoteText"/>
        <w:spacing w:before="0"/>
      </w:pPr>
      <w:r w:rsidRPr="00DD6B65">
        <w:rPr>
          <w:rStyle w:val="FootnoteReference"/>
          <w:szCs w:val="18"/>
          <w:vertAlign w:val="superscript"/>
        </w:rPr>
        <w:footnoteRef/>
      </w:r>
      <w:r w:rsidRPr="00DD6B65">
        <w:rPr>
          <w:sz w:val="18"/>
          <w:szCs w:val="18"/>
        </w:rPr>
        <w:t xml:space="preserve"> Protection of Personal Data (Act 18.331/2008).</w:t>
      </w:r>
    </w:p>
  </w:footnote>
  <w:footnote w:id="12">
    <w:p w14:paraId="265348DC" w14:textId="77777777" w:rsidR="00BE0981" w:rsidRPr="00DD6B65" w:rsidRDefault="00BE0981" w:rsidP="00E80112">
      <w:pPr>
        <w:pStyle w:val="FootnoteText"/>
        <w:spacing w:before="0"/>
        <w:rPr>
          <w:sz w:val="18"/>
          <w:szCs w:val="18"/>
        </w:rPr>
      </w:pPr>
      <w:r w:rsidRPr="00DD6B65">
        <w:rPr>
          <w:rStyle w:val="FootnoteReference"/>
          <w:szCs w:val="18"/>
          <w:vertAlign w:val="superscript"/>
        </w:rPr>
        <w:footnoteRef/>
      </w:r>
      <w:r w:rsidRPr="00DD6B65">
        <w:rPr>
          <w:sz w:val="18"/>
          <w:szCs w:val="18"/>
        </w:rPr>
        <w:t xml:space="preserve"> IAPP, The hot topics warming up Brazil’s data protection debate, 13/2/2018, available at: </w:t>
      </w:r>
      <w:hyperlink r:id="rId1" w:history="1">
        <w:r w:rsidRPr="00DD6B65">
          <w:rPr>
            <w:rStyle w:val="Hyperlink"/>
            <w:sz w:val="18"/>
            <w:szCs w:val="18"/>
          </w:rPr>
          <w:t>https://iapp.org/news/a/the-hot-topics-warming-up-brazils-data-protection-debate/</w:t>
        </w:r>
      </w:hyperlink>
      <w:r w:rsidRPr="00DD6B65">
        <w:rPr>
          <w:sz w:val="18"/>
          <w:szCs w:val="18"/>
        </w:rPr>
        <w:t xml:space="preserve">. </w:t>
      </w:r>
    </w:p>
  </w:footnote>
  <w:footnote w:id="13">
    <w:p w14:paraId="641EDFE9" w14:textId="77777777" w:rsidR="00BE0981" w:rsidRPr="00F31B37" w:rsidRDefault="00BE0981" w:rsidP="00E80112">
      <w:pPr>
        <w:pStyle w:val="FootnoteText"/>
        <w:rPr>
          <w:sz w:val="18"/>
          <w:szCs w:val="18"/>
        </w:rPr>
      </w:pPr>
      <w:r w:rsidRPr="00F31B37">
        <w:rPr>
          <w:rStyle w:val="FootnoteReference"/>
          <w:szCs w:val="18"/>
          <w:vertAlign w:val="superscript"/>
        </w:rPr>
        <w:footnoteRef/>
      </w:r>
      <w:r w:rsidRPr="00F31B37">
        <w:rPr>
          <w:sz w:val="18"/>
          <w:szCs w:val="18"/>
        </w:rPr>
        <w:t xml:space="preserve"> Create-IoT-Project, Legal IoT Framework (Initial), see supra at footnote***.</w:t>
      </w:r>
    </w:p>
  </w:footnote>
  <w:footnote w:id="14">
    <w:p w14:paraId="56644EE7" w14:textId="77777777" w:rsidR="00BE0981" w:rsidRPr="00F31B37" w:rsidRDefault="00BE0981" w:rsidP="00AE3B9A">
      <w:pPr>
        <w:tabs>
          <w:tab w:val="left" w:pos="4500"/>
        </w:tabs>
        <w:spacing w:after="60"/>
        <w:rPr>
          <w:sz w:val="18"/>
          <w:szCs w:val="18"/>
        </w:rPr>
      </w:pPr>
      <w:r w:rsidRPr="00F31B37">
        <w:rPr>
          <w:rStyle w:val="FootnoteReference"/>
          <w:szCs w:val="18"/>
        </w:rPr>
        <w:footnoteRef/>
      </w:r>
      <w:r w:rsidRPr="00F31B37">
        <w:rPr>
          <w:sz w:val="18"/>
          <w:szCs w:val="18"/>
        </w:rPr>
        <w:t>Pen Testing a City, Gregory Conti (West Point), Tom Cross (Drawbridge Networks), and David Raymond (Virginia Tech)).https://www.blackhat.com/docs/us-15/materials/us-15-Conti-Pen-Testing-A-City-wp.pdf</w:t>
      </w:r>
    </w:p>
  </w:footnote>
  <w:footnote w:id="15">
    <w:p w14:paraId="24481FE1" w14:textId="5F1FDD8B" w:rsidR="00BE0981" w:rsidRPr="00F31B37" w:rsidRDefault="00BE0981" w:rsidP="00F31B37">
      <w:pPr>
        <w:pStyle w:val="FootnoteText"/>
        <w:spacing w:before="0"/>
        <w:rPr>
          <w:sz w:val="18"/>
          <w:szCs w:val="18"/>
        </w:rPr>
      </w:pPr>
      <w:r w:rsidRPr="00F31B37">
        <w:rPr>
          <w:rStyle w:val="FootnoteReference"/>
          <w:szCs w:val="18"/>
        </w:rPr>
        <w:footnoteRef/>
      </w:r>
      <w:r w:rsidRPr="00F31B37">
        <w:rPr>
          <w:sz w:val="18"/>
          <w:szCs w:val="18"/>
        </w:rPr>
        <w:t xml:space="preserve"> For example, existing standards and methods include, (i) The International Organization for Standardization (ISO) publishes ISO31000 standard on Risk management, (ii) Enterprise Risk Management by the Committee of Sponsoring Organizations of the Treadway Commission (COSO, </w:t>
      </w:r>
      <w:hyperlink r:id="rId2" w:history="1">
        <w:r w:rsidRPr="00F31B37">
          <w:rPr>
            <w:rStyle w:val="Hyperlink"/>
            <w:color w:val="00B0F0"/>
            <w:sz w:val="18"/>
            <w:szCs w:val="18"/>
          </w:rPr>
          <w:t>www.coso.org</w:t>
        </w:r>
      </w:hyperlink>
      <w:r w:rsidRPr="00F31B37">
        <w:rPr>
          <w:sz w:val="18"/>
          <w:szCs w:val="18"/>
        </w:rPr>
        <w:t xml:space="preserve">), (iii) an industry-level example –  Operational Risk Framework, Basel Committee on Banking Supervision </w:t>
      </w:r>
      <w:hyperlink r:id="rId3" w:history="1">
        <w:r w:rsidRPr="00F31B37">
          <w:rPr>
            <w:rStyle w:val="Hyperlink"/>
            <w:color w:val="00B0F0"/>
            <w:sz w:val="18"/>
            <w:szCs w:val="18"/>
          </w:rPr>
          <w:t>https://www.bis.org/publ/bcbs195.pdf</w:t>
        </w:r>
      </w:hyperlink>
      <w:r w:rsidRPr="00F31B37">
        <w:rPr>
          <w:sz w:val="18"/>
          <w:szCs w:val="18"/>
        </w:rPr>
        <w:t xml:space="preserve">, (iv) a country-level example from Switzerland, based on the NIST Cybersecurity Framework Core – </w:t>
      </w:r>
      <w:r w:rsidRPr="00F31B37">
        <w:rPr>
          <w:i/>
          <w:sz w:val="18"/>
          <w:szCs w:val="18"/>
        </w:rPr>
        <w:t>Minimum standard for improving ICT resilience</w:t>
      </w:r>
      <w:r w:rsidRPr="00F31B37">
        <w:rPr>
          <w:sz w:val="18"/>
          <w:szCs w:val="18"/>
        </w:rPr>
        <w:t>, Bern 2018, Federal Department of Economic Affairs, Education and Research (EAER), Federal Office for National Economic Supply (FONES).</w:t>
      </w:r>
    </w:p>
  </w:footnote>
  <w:footnote w:id="16">
    <w:p w14:paraId="6133E26F" w14:textId="77777777" w:rsidR="00BE0981" w:rsidRPr="001D74F8" w:rsidRDefault="00BE0981" w:rsidP="008C38F5">
      <w:pPr>
        <w:pStyle w:val="FootnoteText"/>
        <w:spacing w:before="0"/>
        <w:rPr>
          <w:sz w:val="18"/>
          <w:szCs w:val="18"/>
        </w:rPr>
      </w:pPr>
      <w:r w:rsidRPr="001D74F8">
        <w:rPr>
          <w:rStyle w:val="FootnoteReference"/>
          <w:szCs w:val="18"/>
          <w:vertAlign w:val="superscript"/>
        </w:rPr>
        <w:footnoteRef/>
      </w:r>
      <w:r w:rsidRPr="001D74F8">
        <w:rPr>
          <w:sz w:val="18"/>
          <w:szCs w:val="18"/>
        </w:rPr>
        <w:t xml:space="preserve"> </w:t>
      </w:r>
      <w:r w:rsidRPr="001D74F8">
        <w:rPr>
          <w:rFonts w:eastAsia="Times New Roman"/>
          <w:sz w:val="18"/>
          <w:szCs w:val="18"/>
        </w:rPr>
        <w:tab/>
        <w:t xml:space="preserve">The Geneva Initiative on Capacity Development in Digital Policy. </w:t>
      </w:r>
      <w:hyperlink r:id="rId4" w:history="1">
        <w:r w:rsidRPr="001D74F8">
          <w:rPr>
            <w:rStyle w:val="Hyperlink"/>
            <w:sz w:val="18"/>
            <w:szCs w:val="18"/>
          </w:rPr>
          <w:t>https://digitalswitzerland.com/2017/12/27/geneva-initiative-capacity-development-digital-policy/</w:t>
        </w:r>
      </w:hyperlink>
      <w:r w:rsidRPr="001D74F8">
        <w:rPr>
          <w:sz w:val="18"/>
          <w:szCs w:val="18"/>
        </w:rPr>
        <w:t xml:space="preserve">, </w:t>
      </w:r>
      <w:hyperlink r:id="rId5" w:history="1">
        <w:r w:rsidRPr="001D74F8">
          <w:rPr>
            <w:rStyle w:val="Hyperlink"/>
            <w:sz w:val="18"/>
            <w:szCs w:val="18"/>
          </w:rPr>
          <w:t>https://igf2017.sched.com/info</w:t>
        </w:r>
      </w:hyperlink>
      <w:r w:rsidRPr="001D74F8">
        <w:rPr>
          <w:rStyle w:val="Hyperlink"/>
          <w:sz w:val="18"/>
          <w:szCs w:val="18"/>
        </w:rPr>
        <w:t xml:space="preserve">.  </w:t>
      </w:r>
      <w:r w:rsidRPr="001D74F8">
        <w:rPr>
          <w:sz w:val="18"/>
          <w:szCs w:val="18"/>
        </w:rPr>
        <w:t>The European project DigComp offers a useful framework: Digital Citizenship Education Volume 1 : Overview and new perspectives, octobre 2017 (p.23).</w:t>
      </w:r>
    </w:p>
  </w:footnote>
  <w:footnote w:id="17">
    <w:p w14:paraId="1E82B975" w14:textId="77777777" w:rsidR="00BE0981" w:rsidRPr="001D74F8" w:rsidRDefault="00BE0981" w:rsidP="008C38F5">
      <w:pPr>
        <w:pStyle w:val="FootnoteText"/>
        <w:spacing w:before="0"/>
        <w:rPr>
          <w:sz w:val="18"/>
          <w:szCs w:val="18"/>
          <w:lang w:val="en-US"/>
        </w:rPr>
      </w:pPr>
      <w:r w:rsidRPr="001D74F8">
        <w:rPr>
          <w:rStyle w:val="FootnoteReference"/>
          <w:szCs w:val="18"/>
          <w:vertAlign w:val="superscript"/>
        </w:rPr>
        <w:footnoteRef/>
      </w:r>
      <w:r w:rsidRPr="001D74F8">
        <w:rPr>
          <w:sz w:val="18"/>
          <w:szCs w:val="18"/>
          <w:lang w:val="en-US"/>
        </w:rPr>
        <w:t xml:space="preserve"> Intangible Capital in Global Value Chains, World Intellectual Property Report 2017</w:t>
      </w:r>
    </w:p>
  </w:footnote>
  <w:footnote w:id="18">
    <w:p w14:paraId="18117E05" w14:textId="04CEE637" w:rsidR="00BE0981" w:rsidRPr="001D74F8" w:rsidRDefault="00BE0981" w:rsidP="008C38F5">
      <w:pPr>
        <w:pStyle w:val="FootnoteText"/>
        <w:spacing w:before="0"/>
        <w:rPr>
          <w:sz w:val="18"/>
          <w:szCs w:val="18"/>
          <w:lang w:val="en-US"/>
        </w:rPr>
      </w:pPr>
      <w:r w:rsidRPr="001D74F8">
        <w:rPr>
          <w:rStyle w:val="FootnoteReference"/>
          <w:szCs w:val="18"/>
          <w:vertAlign w:val="superscript"/>
        </w:rPr>
        <w:footnoteRef/>
      </w:r>
      <w:r w:rsidRPr="001D74F8">
        <w:rPr>
          <w:sz w:val="18"/>
          <w:szCs w:val="18"/>
          <w:lang w:val="en-US"/>
        </w:rPr>
        <w:t xml:space="preserve"> Basel Committee on Banking Supervision (BCBS), 1989.</w:t>
      </w:r>
    </w:p>
  </w:footnote>
  <w:footnote w:id="19">
    <w:p w14:paraId="721C485A" w14:textId="77777777" w:rsidR="00BE0981" w:rsidRPr="001D74F8" w:rsidRDefault="00BE0981" w:rsidP="008C38F5">
      <w:pPr>
        <w:pStyle w:val="FootnoteText"/>
        <w:spacing w:before="0"/>
        <w:rPr>
          <w:sz w:val="18"/>
          <w:szCs w:val="18"/>
          <w:lang w:val="en-US"/>
        </w:rPr>
      </w:pPr>
      <w:r w:rsidRPr="001D74F8">
        <w:rPr>
          <w:rStyle w:val="FootnoteReference"/>
          <w:szCs w:val="18"/>
          <w:vertAlign w:val="superscript"/>
        </w:rPr>
        <w:footnoteRef/>
      </w:r>
      <w:r w:rsidRPr="001D74F8">
        <w:rPr>
          <w:sz w:val="18"/>
          <w:szCs w:val="18"/>
          <w:lang w:val="en-US"/>
        </w:rPr>
        <w:t xml:space="preserve"> https://www.club-ebios.org/site/presentations/ClubEBIOS-2015-09-08-PERTUS.pdf</w:t>
      </w:r>
    </w:p>
  </w:footnote>
  <w:footnote w:id="20">
    <w:p w14:paraId="421089EC" w14:textId="39FCF646" w:rsidR="00BE0981" w:rsidRPr="007946C5" w:rsidRDefault="00BE0981" w:rsidP="007946C5">
      <w:pPr>
        <w:pStyle w:val="FootnoteText"/>
        <w:spacing w:before="0"/>
        <w:rPr>
          <w:sz w:val="18"/>
          <w:szCs w:val="18"/>
        </w:rPr>
      </w:pPr>
      <w:r w:rsidRPr="007946C5">
        <w:rPr>
          <w:rStyle w:val="FootnoteReference"/>
          <w:szCs w:val="18"/>
          <w:vertAlign w:val="superscript"/>
        </w:rPr>
        <w:footnoteRef/>
      </w:r>
      <w:r w:rsidRPr="007946C5">
        <w:rPr>
          <w:sz w:val="18"/>
          <w:szCs w:val="18"/>
        </w:rPr>
        <w:t xml:space="preserve"> The GIP Digital Watch observatory for Internet governance and</w:t>
      </w:r>
      <w:r w:rsidRPr="007946C5">
        <w:rPr>
          <w:rFonts w:ascii="Arial" w:hAnsi="Arial" w:cs="Arial"/>
          <w:color w:val="1C2334"/>
          <w:sz w:val="18"/>
          <w:szCs w:val="18"/>
        </w:rPr>
        <w:t xml:space="preserve"> </w:t>
      </w:r>
      <w:r w:rsidRPr="007946C5">
        <w:rPr>
          <w:sz w:val="18"/>
          <w:szCs w:val="18"/>
        </w:rPr>
        <w:t>digital policy, Top digital policy devel</w:t>
      </w:r>
      <w:r>
        <w:rPr>
          <w:sz w:val="18"/>
          <w:szCs w:val="18"/>
        </w:rPr>
        <w:t>o</w:t>
      </w:r>
      <w:r w:rsidRPr="007946C5">
        <w:rPr>
          <w:sz w:val="18"/>
          <w:szCs w:val="18"/>
        </w:rPr>
        <w:t xml:space="preserve">pments in 2017. </w:t>
      </w:r>
      <w:hyperlink r:id="rId6" w:history="1">
        <w:r w:rsidRPr="007946C5">
          <w:rPr>
            <w:rStyle w:val="Hyperlink"/>
            <w:sz w:val="18"/>
            <w:szCs w:val="18"/>
          </w:rPr>
          <w:t>https://dig.watch/</w:t>
        </w:r>
      </w:hyperlink>
    </w:p>
  </w:footnote>
  <w:footnote w:id="21">
    <w:p w14:paraId="0F880BDD" w14:textId="77777777" w:rsidR="00BE0981" w:rsidRPr="007946C5" w:rsidRDefault="00BE0981" w:rsidP="007946C5">
      <w:pPr>
        <w:pStyle w:val="FootnoteText"/>
        <w:spacing w:before="0"/>
        <w:rPr>
          <w:sz w:val="18"/>
          <w:szCs w:val="18"/>
        </w:rPr>
      </w:pPr>
      <w:r w:rsidRPr="007946C5">
        <w:rPr>
          <w:rStyle w:val="FootnoteReference"/>
          <w:szCs w:val="18"/>
        </w:rPr>
        <w:footnoteRef/>
      </w:r>
      <w:r w:rsidRPr="007946C5">
        <w:rPr>
          <w:sz w:val="18"/>
          <w:szCs w:val="18"/>
        </w:rPr>
        <w:t xml:space="preserve"> A glossary of terms used in payments and settlement systems, Committee on Payment and Settlement Systems, BIS</w:t>
      </w:r>
    </w:p>
  </w:footnote>
  <w:footnote w:id="22">
    <w:p w14:paraId="1EF34469" w14:textId="77777777" w:rsidR="00BE0981" w:rsidRPr="00BE0981" w:rsidRDefault="00BE0981" w:rsidP="003E6C25">
      <w:pPr>
        <w:pStyle w:val="FootnoteText"/>
        <w:spacing w:before="0"/>
        <w:rPr>
          <w:sz w:val="18"/>
          <w:szCs w:val="18"/>
          <w:lang w:val="fr-CH"/>
        </w:rPr>
      </w:pPr>
      <w:r w:rsidRPr="003E6C25">
        <w:rPr>
          <w:rStyle w:val="FootnoteReference"/>
          <w:szCs w:val="18"/>
          <w:vertAlign w:val="superscript"/>
        </w:rPr>
        <w:footnoteRef/>
      </w:r>
      <w:r w:rsidRPr="00BE0981">
        <w:rPr>
          <w:sz w:val="18"/>
          <w:szCs w:val="18"/>
          <w:lang w:val="fr-CH"/>
        </w:rPr>
        <w:t xml:space="preserve"> Ann Cavoukian. https://www.ipc.on.ca/wp-content/uploads/Resources/7foundationalprinciples.pdf</w:t>
      </w:r>
    </w:p>
  </w:footnote>
  <w:footnote w:id="23">
    <w:p w14:paraId="759426D7" w14:textId="1E7CDAAA" w:rsidR="00BE0981" w:rsidRPr="003E6C25" w:rsidRDefault="00BE0981" w:rsidP="003E6C25">
      <w:pPr>
        <w:pStyle w:val="FootnoteText"/>
        <w:spacing w:before="0"/>
        <w:rPr>
          <w:sz w:val="18"/>
          <w:szCs w:val="18"/>
        </w:rPr>
      </w:pPr>
      <w:r w:rsidRPr="003E6C25">
        <w:rPr>
          <w:rStyle w:val="FootnoteReference"/>
          <w:szCs w:val="18"/>
          <w:vertAlign w:val="superscript"/>
        </w:rPr>
        <w:footnoteRef/>
      </w:r>
      <w:r w:rsidRPr="003E6C25">
        <w:rPr>
          <w:sz w:val="18"/>
          <w:szCs w:val="18"/>
        </w:rPr>
        <w:t xml:space="preserve"> ISO/IEC 29100 - Privacy framework is freely available at http://standards.iso.org/ittf/PubliclyAvailableStandards/index.html</w:t>
      </w:r>
    </w:p>
  </w:footnote>
  <w:footnote w:id="24">
    <w:p w14:paraId="4FA2F6DF" w14:textId="77777777" w:rsidR="00BE0981" w:rsidRPr="003E6C25" w:rsidRDefault="00BE0981" w:rsidP="003E6C25">
      <w:pPr>
        <w:pStyle w:val="FootnoteText"/>
        <w:spacing w:before="0"/>
        <w:rPr>
          <w:sz w:val="18"/>
          <w:szCs w:val="18"/>
        </w:rPr>
      </w:pPr>
      <w:r w:rsidRPr="003E6C25">
        <w:rPr>
          <w:rStyle w:val="FootnoteReference"/>
          <w:szCs w:val="18"/>
          <w:vertAlign w:val="superscript"/>
        </w:rPr>
        <w:footnoteRef/>
      </w:r>
      <w:r w:rsidRPr="003E6C25">
        <w:rPr>
          <w:sz w:val="18"/>
          <w:szCs w:val="18"/>
        </w:rPr>
        <w:t xml:space="preserve"> From ISO/IEC 27000 Information security management systems — Overview and vocabulary</w:t>
      </w:r>
    </w:p>
  </w:footnote>
  <w:footnote w:id="25">
    <w:p w14:paraId="39E5B116" w14:textId="77777777" w:rsidR="00BE0981" w:rsidRDefault="00BE0981" w:rsidP="003E6C25">
      <w:pPr>
        <w:pStyle w:val="FootnoteText"/>
        <w:spacing w:before="0"/>
      </w:pPr>
      <w:r w:rsidRPr="003E6C25">
        <w:rPr>
          <w:rStyle w:val="FootnoteReference"/>
          <w:szCs w:val="18"/>
          <w:vertAlign w:val="superscript"/>
        </w:rPr>
        <w:footnoteRef/>
      </w:r>
      <w:r w:rsidRPr="003E6C25">
        <w:rPr>
          <w:sz w:val="18"/>
          <w:szCs w:val="18"/>
        </w:rPr>
        <w:t xml:space="preserve"> From ISO/IEC 27550 Privacy engineering</w:t>
      </w:r>
    </w:p>
  </w:footnote>
  <w:footnote w:id="26">
    <w:p w14:paraId="3BC77E4C" w14:textId="77777777" w:rsidR="00BE0981" w:rsidRPr="00190435" w:rsidRDefault="00BE0981" w:rsidP="00190435">
      <w:pPr>
        <w:pStyle w:val="FootnoteText"/>
        <w:spacing w:before="0"/>
        <w:rPr>
          <w:sz w:val="18"/>
          <w:szCs w:val="18"/>
          <w:lang w:val="en-NZ"/>
        </w:rPr>
      </w:pPr>
      <w:r w:rsidRPr="00190435">
        <w:rPr>
          <w:rStyle w:val="FootnoteReference"/>
          <w:szCs w:val="18"/>
          <w:vertAlign w:val="superscript"/>
        </w:rPr>
        <w:footnoteRef/>
      </w:r>
      <w:r w:rsidRPr="00190435">
        <w:rPr>
          <w:sz w:val="18"/>
          <w:szCs w:val="18"/>
        </w:rPr>
        <w:t xml:space="preserve"> ISO/IEC/IEEE 15288, Systems and software engineering — System life cycle processes</w:t>
      </w:r>
    </w:p>
  </w:footnote>
  <w:footnote w:id="27">
    <w:p w14:paraId="083472FF" w14:textId="77777777" w:rsidR="00BE0981" w:rsidRPr="00BE0981" w:rsidRDefault="00BE0981" w:rsidP="00190435">
      <w:pPr>
        <w:pStyle w:val="FootnoteText"/>
        <w:spacing w:before="0"/>
        <w:rPr>
          <w:sz w:val="18"/>
          <w:szCs w:val="18"/>
        </w:rPr>
      </w:pPr>
      <w:r w:rsidRPr="00190435">
        <w:rPr>
          <w:rStyle w:val="FootnoteReference"/>
          <w:szCs w:val="18"/>
        </w:rPr>
        <w:footnoteRef/>
      </w:r>
      <w:r w:rsidRPr="00190435">
        <w:rPr>
          <w:sz w:val="18"/>
          <w:szCs w:val="18"/>
        </w:rPr>
        <w:t xml:space="preserve"> </w:t>
      </w:r>
      <w:hyperlink r:id="rId7" w:history="1">
        <w:r w:rsidRPr="00190435">
          <w:rPr>
            <w:rStyle w:val="Hyperlink"/>
            <w:sz w:val="18"/>
            <w:szCs w:val="18"/>
          </w:rPr>
          <w:t>https://linddun.org/solutions.php</w:t>
        </w:r>
      </w:hyperlink>
    </w:p>
  </w:footnote>
  <w:footnote w:id="28">
    <w:p w14:paraId="18C7AAAA" w14:textId="77777777" w:rsidR="00BE0981" w:rsidRPr="00190435" w:rsidRDefault="00BE0981" w:rsidP="00190435">
      <w:pPr>
        <w:pStyle w:val="FootnoteText"/>
        <w:spacing w:before="0"/>
        <w:rPr>
          <w:sz w:val="18"/>
          <w:szCs w:val="18"/>
          <w:lang w:val="fr-FR"/>
        </w:rPr>
      </w:pPr>
      <w:r w:rsidRPr="00190435">
        <w:rPr>
          <w:rStyle w:val="FootnoteReference"/>
          <w:szCs w:val="18"/>
          <w:vertAlign w:val="superscript"/>
        </w:rPr>
        <w:footnoteRef/>
      </w:r>
      <w:r w:rsidRPr="00190435">
        <w:rPr>
          <w:sz w:val="18"/>
          <w:szCs w:val="18"/>
        </w:rPr>
        <w:t xml:space="preserve"> TVRA: Threat, Vulnerability and Risk Analysis. </w:t>
      </w:r>
      <w:r w:rsidRPr="00190435">
        <w:rPr>
          <w:sz w:val="18"/>
          <w:szCs w:val="18"/>
          <w:lang w:val="fr-FR"/>
        </w:rPr>
        <w:t>ETSI document. http://www.etsi.org/deliver/etsi_ts/102100_102199/10216501/04.02.03_60/ts_10216501v040203p.pdf</w:t>
      </w:r>
    </w:p>
  </w:footnote>
  <w:footnote w:id="29">
    <w:p w14:paraId="3EEB0B68" w14:textId="77777777" w:rsidR="00BE0981" w:rsidRPr="00190435" w:rsidRDefault="00BE0981" w:rsidP="00190435">
      <w:pPr>
        <w:pStyle w:val="FootnoteText"/>
        <w:spacing w:before="0"/>
        <w:rPr>
          <w:sz w:val="18"/>
          <w:szCs w:val="18"/>
        </w:rPr>
      </w:pPr>
      <w:r w:rsidRPr="00190435">
        <w:rPr>
          <w:rStyle w:val="FootnoteReference"/>
          <w:szCs w:val="18"/>
          <w:vertAlign w:val="superscript"/>
        </w:rPr>
        <w:footnoteRef/>
      </w:r>
      <w:r w:rsidRPr="00190435">
        <w:rPr>
          <w:sz w:val="18"/>
          <w:szCs w:val="18"/>
        </w:rPr>
        <w:t xml:space="preserve"> </w:t>
      </w:r>
      <w:r w:rsidRPr="00190435">
        <w:rPr>
          <w:sz w:val="18"/>
          <w:szCs w:val="18"/>
        </w:rPr>
        <w:tab/>
        <w:t>STRIDE threat model; https://msdn.microsoft.com/en-us/library/ee823878(v=cs.20).aspx</w:t>
      </w:r>
    </w:p>
  </w:footnote>
  <w:footnote w:id="30">
    <w:p w14:paraId="5A2171D7" w14:textId="77777777" w:rsidR="00BE0981" w:rsidRPr="00190435" w:rsidRDefault="00BE0981" w:rsidP="00190435">
      <w:pPr>
        <w:pStyle w:val="FootnoteText"/>
        <w:spacing w:before="0"/>
        <w:rPr>
          <w:sz w:val="18"/>
          <w:szCs w:val="18"/>
        </w:rPr>
      </w:pPr>
      <w:r w:rsidRPr="00190435">
        <w:rPr>
          <w:rStyle w:val="FootnoteReference"/>
          <w:szCs w:val="18"/>
          <w:vertAlign w:val="superscript"/>
        </w:rPr>
        <w:footnoteRef/>
      </w:r>
      <w:r w:rsidRPr="00190435">
        <w:rPr>
          <w:sz w:val="18"/>
          <w:szCs w:val="18"/>
        </w:rPr>
        <w:t xml:space="preserve"> </w:t>
      </w:r>
      <w:r w:rsidRPr="00190435">
        <w:rPr>
          <w:sz w:val="18"/>
          <w:szCs w:val="18"/>
        </w:rPr>
        <w:tab/>
        <w:t>LINDDUN privacy threat analysis methodology, https://www.linddun.org/</w:t>
      </w:r>
    </w:p>
  </w:footnote>
  <w:footnote w:id="31">
    <w:p w14:paraId="501935DF" w14:textId="77777777" w:rsidR="00BE0981" w:rsidRPr="00190435" w:rsidRDefault="00BE0981" w:rsidP="00190435">
      <w:pPr>
        <w:pStyle w:val="FootnoteText"/>
        <w:spacing w:before="0"/>
        <w:rPr>
          <w:sz w:val="18"/>
          <w:szCs w:val="18"/>
        </w:rPr>
      </w:pPr>
      <w:r w:rsidRPr="00190435">
        <w:rPr>
          <w:rStyle w:val="FootnoteReference"/>
          <w:szCs w:val="18"/>
          <w:vertAlign w:val="superscript"/>
        </w:rPr>
        <w:footnoteRef/>
      </w:r>
      <w:r w:rsidRPr="00190435">
        <w:rPr>
          <w:sz w:val="18"/>
          <w:szCs w:val="18"/>
        </w:rPr>
        <w:t xml:space="preserve"> </w:t>
      </w:r>
      <w:r w:rsidRPr="00190435">
        <w:rPr>
          <w:sz w:val="18"/>
          <w:szCs w:val="18"/>
        </w:rPr>
        <w:tab/>
        <w:t xml:space="preserve">These categories are used in ISO/IEC 27002 (Code of </w:t>
      </w:r>
      <w:r w:rsidRPr="00190435">
        <w:rPr>
          <w:noProof/>
          <w:sz w:val="18"/>
          <w:szCs w:val="18"/>
        </w:rPr>
        <w:t>practice</w:t>
      </w:r>
      <w:r w:rsidRPr="00190435">
        <w:rPr>
          <w:sz w:val="18"/>
          <w:szCs w:val="18"/>
        </w:rPr>
        <w:t xml:space="preserve"> for information security controls), 27552 (Extension to ISO/IEC 27001 and ISO/IEC 27002 for privacy management — Requirements and guidelines), 29151 (Code of </w:t>
      </w:r>
      <w:r w:rsidRPr="00190435">
        <w:rPr>
          <w:noProof/>
          <w:sz w:val="18"/>
          <w:szCs w:val="18"/>
        </w:rPr>
        <w:t>practice</w:t>
      </w:r>
      <w:r w:rsidRPr="00190435">
        <w:rPr>
          <w:sz w:val="18"/>
          <w:szCs w:val="18"/>
        </w:rPr>
        <w:t xml:space="preserve"> for personally identifiable information protection).</w:t>
      </w:r>
    </w:p>
  </w:footnote>
  <w:footnote w:id="32">
    <w:p w14:paraId="2F2E6C84" w14:textId="77777777" w:rsidR="00BE0981" w:rsidRPr="00190435" w:rsidRDefault="00BE0981" w:rsidP="00190435">
      <w:pPr>
        <w:pStyle w:val="FootnoteText"/>
        <w:spacing w:before="0"/>
        <w:rPr>
          <w:sz w:val="18"/>
          <w:szCs w:val="18"/>
          <w:lang w:val="en-US"/>
        </w:rPr>
      </w:pPr>
      <w:r w:rsidRPr="00190435">
        <w:rPr>
          <w:rStyle w:val="FootnoteReference"/>
          <w:szCs w:val="18"/>
          <w:vertAlign w:val="superscript"/>
        </w:rPr>
        <w:footnoteRef/>
      </w:r>
      <w:r w:rsidRPr="00190435">
        <w:rPr>
          <w:sz w:val="18"/>
          <w:szCs w:val="18"/>
          <w:lang w:val="en-US"/>
        </w:rPr>
        <w:t xml:space="preserve"> ISO/IEC FDIS 27005:2010(E) : p19 and p20 and Annex E (informative)</w:t>
      </w:r>
    </w:p>
  </w:footnote>
  <w:footnote w:id="33">
    <w:p w14:paraId="48DA735C" w14:textId="77777777" w:rsidR="00BE0981" w:rsidRPr="00190435" w:rsidRDefault="00BE0981" w:rsidP="00190435">
      <w:pPr>
        <w:pStyle w:val="FootnoteText"/>
        <w:spacing w:before="0"/>
        <w:rPr>
          <w:sz w:val="18"/>
          <w:szCs w:val="18"/>
          <w:lang w:val="en-US"/>
        </w:rPr>
      </w:pPr>
      <w:r w:rsidRPr="00190435">
        <w:rPr>
          <w:rStyle w:val="FootnoteReference"/>
          <w:szCs w:val="18"/>
          <w:vertAlign w:val="superscript"/>
        </w:rPr>
        <w:footnoteRef/>
      </w:r>
      <w:r w:rsidRPr="00190435">
        <w:rPr>
          <w:sz w:val="18"/>
          <w:szCs w:val="18"/>
          <w:lang w:val="en-US"/>
        </w:rPr>
        <w:t xml:space="preserve"> Risk Management Basics, ISO31000 standard, Louis Kunimatsu, CRISC, IT Security and Strategy, Ford Motor Company</w:t>
      </w:r>
    </w:p>
  </w:footnote>
  <w:footnote w:id="34">
    <w:p w14:paraId="7F886B02" w14:textId="77777777" w:rsidR="00BE0981" w:rsidRPr="00190435" w:rsidRDefault="00BE0981" w:rsidP="00190435">
      <w:pPr>
        <w:pStyle w:val="FootnoteText"/>
        <w:spacing w:before="0"/>
        <w:rPr>
          <w:sz w:val="18"/>
          <w:szCs w:val="18"/>
          <w:lang w:val="en-US"/>
        </w:rPr>
      </w:pPr>
      <w:r w:rsidRPr="00190435">
        <w:rPr>
          <w:rStyle w:val="FootnoteReference"/>
          <w:szCs w:val="18"/>
          <w:vertAlign w:val="superscript"/>
        </w:rPr>
        <w:footnoteRef/>
      </w:r>
      <w:r w:rsidRPr="00190435">
        <w:rPr>
          <w:sz w:val="18"/>
          <w:szCs w:val="18"/>
          <w:lang w:val="en-US"/>
        </w:rPr>
        <w:t xml:space="preserve">  </w:t>
      </w:r>
      <w:hyperlink r:id="rId8" w:history="1">
        <w:r w:rsidRPr="00190435">
          <w:rPr>
            <w:rStyle w:val="Hyperlink"/>
            <w:sz w:val="18"/>
            <w:szCs w:val="18"/>
            <w:lang w:val="en-US"/>
          </w:rPr>
          <w:t>https://www.coso.org/Documents/2017-COSO-ERM-Integrating-with-Strategy-and-Performance-Executive-Summary.pdf</w:t>
        </w:r>
      </w:hyperlink>
      <w:r w:rsidRPr="00190435">
        <w:rPr>
          <w:sz w:val="18"/>
          <w:szCs w:val="18"/>
          <w:lang w:val="en-US"/>
        </w:rPr>
        <w:t xml:space="preserve"> </w:t>
      </w:r>
    </w:p>
  </w:footnote>
  <w:footnote w:id="35">
    <w:p w14:paraId="2F7E1CB8" w14:textId="77777777" w:rsidR="00BE0981" w:rsidRPr="00190435" w:rsidRDefault="00BE0981" w:rsidP="00190435">
      <w:pPr>
        <w:pStyle w:val="FootnoteText"/>
        <w:spacing w:before="0"/>
        <w:rPr>
          <w:sz w:val="18"/>
          <w:szCs w:val="18"/>
          <w:lang w:val="es-ES"/>
        </w:rPr>
      </w:pPr>
      <w:r w:rsidRPr="00190435">
        <w:rPr>
          <w:rStyle w:val="FootnoteReference"/>
          <w:szCs w:val="18"/>
          <w:vertAlign w:val="superscript"/>
        </w:rPr>
        <w:footnoteRef/>
      </w:r>
      <w:r w:rsidRPr="00190435">
        <w:rPr>
          <w:sz w:val="18"/>
          <w:szCs w:val="18"/>
          <w:lang w:val="es-ES"/>
        </w:rPr>
        <w:t xml:space="preserve"> </w:t>
      </w:r>
      <w:hyperlink r:id="rId9" w:history="1">
        <w:r w:rsidRPr="00190435">
          <w:rPr>
            <w:rStyle w:val="Hyperlink"/>
            <w:sz w:val="18"/>
            <w:szCs w:val="18"/>
            <w:lang w:val="es-ES"/>
          </w:rPr>
          <w:t>http://nvlpubs.nist.gov/nistpubs/SpecialPublications/NIST.SP.800-82r2.pdf</w:t>
        </w:r>
      </w:hyperlink>
      <w:r w:rsidRPr="00190435">
        <w:rPr>
          <w:sz w:val="18"/>
          <w:szCs w:val="18"/>
          <w:lang w:val="es-ES"/>
        </w:rPr>
        <w:t xml:space="preserve"> Add </w:t>
      </w:r>
      <w:r w:rsidRPr="00190435">
        <w:rPr>
          <w:sz w:val="18"/>
          <w:szCs w:val="18"/>
        </w:rPr>
        <w:t xml:space="preserve">OCTAVE, EBIOS, MEHARI </w:t>
      </w:r>
      <w:r w:rsidRPr="00190435">
        <w:rPr>
          <w:sz w:val="18"/>
          <w:szCs w:val="18"/>
          <w:lang w:val="es-ES"/>
        </w:rPr>
        <w:t>references</w:t>
      </w:r>
    </w:p>
  </w:footnote>
  <w:footnote w:id="36">
    <w:p w14:paraId="13CE3F0E" w14:textId="77777777" w:rsidR="00BE0981" w:rsidRPr="00BE0981" w:rsidRDefault="00BE0981" w:rsidP="00190435">
      <w:pPr>
        <w:pStyle w:val="FootnoteText"/>
        <w:spacing w:before="0"/>
        <w:rPr>
          <w:sz w:val="18"/>
          <w:szCs w:val="18"/>
          <w:lang w:val="es-ES"/>
        </w:rPr>
      </w:pPr>
      <w:r w:rsidRPr="00190435">
        <w:rPr>
          <w:rStyle w:val="FootnoteReference"/>
          <w:szCs w:val="18"/>
          <w:vertAlign w:val="superscript"/>
        </w:rPr>
        <w:footnoteRef/>
      </w:r>
      <w:r w:rsidRPr="00BE0981">
        <w:rPr>
          <w:sz w:val="18"/>
          <w:szCs w:val="18"/>
          <w:lang w:val="es-ES"/>
        </w:rPr>
        <w:t xml:space="preserve"> </w:t>
      </w:r>
      <w:hyperlink r:id="rId10" w:history="1">
        <w:r w:rsidRPr="00BE0981">
          <w:rPr>
            <w:rStyle w:val="Hyperlink"/>
            <w:sz w:val="18"/>
            <w:szCs w:val="18"/>
            <w:lang w:val="es-ES"/>
          </w:rPr>
          <w:t>https://www.bis.org/publ/bcbs195.pdf</w:t>
        </w:r>
      </w:hyperlink>
      <w:r w:rsidRPr="00BE0981">
        <w:rPr>
          <w:sz w:val="18"/>
          <w:szCs w:val="18"/>
          <w:lang w:val="es-ES"/>
        </w:rPr>
        <w:t xml:space="preserve"> </w:t>
      </w:r>
    </w:p>
  </w:footnote>
  <w:footnote w:id="37">
    <w:p w14:paraId="6A55B64E" w14:textId="77777777" w:rsidR="00BE0981" w:rsidRPr="00AC02DA" w:rsidRDefault="00BE0981" w:rsidP="00AC02DA">
      <w:pPr>
        <w:pStyle w:val="FootnoteText"/>
        <w:spacing w:before="0"/>
        <w:rPr>
          <w:sz w:val="18"/>
          <w:szCs w:val="18"/>
          <w:lang w:val="en-US"/>
        </w:rPr>
      </w:pPr>
      <w:r w:rsidRPr="00AC02DA">
        <w:rPr>
          <w:sz w:val="18"/>
          <w:szCs w:val="18"/>
          <w:vertAlign w:val="superscript"/>
          <w:lang w:val="en-US"/>
        </w:rPr>
        <w:footnoteRef/>
      </w:r>
      <w:r w:rsidRPr="00AC02DA">
        <w:rPr>
          <w:sz w:val="18"/>
          <w:szCs w:val="18"/>
          <w:lang w:val="en-US"/>
        </w:rPr>
        <w:t xml:space="preserve"> Minimum standard for improving ICT resilience, Bern 2018, Federal Department of Economic Affairs, Education and Research EAER, Federal Office for National Economic Supply FONES</w:t>
      </w:r>
    </w:p>
  </w:footnote>
  <w:footnote w:id="38">
    <w:p w14:paraId="753FAD58" w14:textId="77777777" w:rsidR="00BE0981" w:rsidRPr="00AC02DA" w:rsidRDefault="00BE0981" w:rsidP="00AC02DA">
      <w:pPr>
        <w:pStyle w:val="FootnoteText"/>
        <w:spacing w:before="0"/>
        <w:rPr>
          <w:sz w:val="18"/>
          <w:szCs w:val="18"/>
        </w:rPr>
      </w:pPr>
      <w:r w:rsidRPr="00AC02DA">
        <w:rPr>
          <w:sz w:val="18"/>
          <w:szCs w:val="18"/>
          <w:vertAlign w:val="superscript"/>
          <w:lang w:val="en-US"/>
        </w:rPr>
        <w:footnoteRef/>
      </w:r>
      <w:r w:rsidRPr="00AC02DA">
        <w:rPr>
          <w:sz w:val="18"/>
          <w:szCs w:val="18"/>
          <w:lang w:val="en-US"/>
        </w:rPr>
        <w:t xml:space="preserve"> https://www.nist.gov/cyberframework</w:t>
      </w:r>
    </w:p>
  </w:footnote>
  <w:footnote w:id="39">
    <w:p w14:paraId="26E9EF19" w14:textId="77777777" w:rsidR="00BE0981" w:rsidRPr="00AC02DA" w:rsidRDefault="00BE0981" w:rsidP="00AC02DA">
      <w:pPr>
        <w:pStyle w:val="FootnoteText"/>
        <w:spacing w:before="0"/>
        <w:rPr>
          <w:sz w:val="18"/>
          <w:szCs w:val="18"/>
          <w:lang w:val="en-US"/>
        </w:rPr>
      </w:pPr>
      <w:r w:rsidRPr="00AC02DA">
        <w:rPr>
          <w:rStyle w:val="FootnoteReference"/>
          <w:szCs w:val="18"/>
          <w:vertAlign w:val="superscript"/>
        </w:rPr>
        <w:footnoteRef/>
      </w:r>
      <w:r w:rsidRPr="00AC02DA">
        <w:rPr>
          <w:sz w:val="18"/>
          <w:szCs w:val="18"/>
          <w:lang w:val="en-US"/>
        </w:rPr>
        <w:t xml:space="preserve"> ISO/IEC JTC 1/SC 27 Information technology - Security techniques - Information security risk management</w:t>
      </w:r>
    </w:p>
  </w:footnote>
  <w:footnote w:id="40">
    <w:p w14:paraId="45AE2142" w14:textId="77777777" w:rsidR="00BE0981" w:rsidRPr="006417E8" w:rsidRDefault="00BE0981" w:rsidP="006417E8">
      <w:pPr>
        <w:pStyle w:val="FootnoteText"/>
        <w:spacing w:before="0"/>
        <w:rPr>
          <w:sz w:val="18"/>
          <w:szCs w:val="18"/>
        </w:rPr>
      </w:pPr>
      <w:r w:rsidRPr="006417E8">
        <w:rPr>
          <w:rStyle w:val="FootnoteReference"/>
          <w:szCs w:val="18"/>
        </w:rPr>
        <w:footnoteRef/>
      </w:r>
      <w:r w:rsidRPr="006417E8">
        <w:rPr>
          <w:sz w:val="18"/>
          <w:szCs w:val="18"/>
        </w:rPr>
        <w:t xml:space="preserve"> Coso risk assessement in practice, By Deloitte &amp; Touche LLP Dr. Patchin Curtis | Mark Carey. https://www2.deloitte.com/content/dam/Deloitte/global/Documents/Governance-Risk-Compliance/dttl-grc-riskassessmentinpractice.pdf</w:t>
      </w:r>
    </w:p>
  </w:footnote>
  <w:footnote w:id="41">
    <w:p w14:paraId="443EB7BE" w14:textId="77777777" w:rsidR="00BE0981" w:rsidRPr="00812233" w:rsidRDefault="00BE0981" w:rsidP="00812233">
      <w:pPr>
        <w:pStyle w:val="FootnoteText"/>
        <w:spacing w:before="0"/>
        <w:rPr>
          <w:sz w:val="18"/>
          <w:szCs w:val="18"/>
        </w:rPr>
      </w:pPr>
      <w:r w:rsidRPr="00812233">
        <w:rPr>
          <w:rStyle w:val="FootnoteReference"/>
          <w:szCs w:val="18"/>
        </w:rPr>
        <w:footnoteRef/>
      </w:r>
      <w:r w:rsidRPr="00812233">
        <w:rPr>
          <w:sz w:val="18"/>
          <w:szCs w:val="18"/>
        </w:rPr>
        <w:t xml:space="preserve"> Loss collection </w:t>
      </w:r>
      <w:hyperlink r:id="rId11" w:history="1">
        <w:r w:rsidRPr="00812233">
          <w:rPr>
            <w:rStyle w:val="Hyperlink"/>
            <w:sz w:val="18"/>
            <w:szCs w:val="18"/>
          </w:rPr>
          <w:t>https://www.bis.org/bcbs/publ/d355.pdf</w:t>
        </w:r>
      </w:hyperlink>
      <w:r w:rsidRPr="00812233">
        <w:rPr>
          <w:sz w:val="18"/>
          <w:szCs w:val="18"/>
        </w:rPr>
        <w:t xml:space="preserve"> or Loss Data Collection Exercise </w:t>
      </w:r>
      <w:hyperlink r:id="rId12" w:history="1">
        <w:r w:rsidRPr="00812233">
          <w:rPr>
            <w:rStyle w:val="Hyperlink"/>
            <w:sz w:val="18"/>
            <w:szCs w:val="18"/>
          </w:rPr>
          <w:t>https://www.ffiec.gov/ldce/</w:t>
        </w:r>
      </w:hyperlink>
    </w:p>
  </w:footnote>
  <w:footnote w:id="42">
    <w:p w14:paraId="351BDAE7" w14:textId="77777777" w:rsidR="00BE0981" w:rsidRPr="00812233" w:rsidRDefault="00BE0981" w:rsidP="00812233">
      <w:pPr>
        <w:pStyle w:val="FootnoteText"/>
        <w:spacing w:before="0"/>
        <w:rPr>
          <w:sz w:val="18"/>
          <w:szCs w:val="18"/>
          <w:lang w:val="en-US"/>
        </w:rPr>
      </w:pPr>
      <w:r w:rsidRPr="00812233">
        <w:rPr>
          <w:rStyle w:val="FootnoteReference"/>
          <w:szCs w:val="18"/>
        </w:rPr>
        <w:footnoteRef/>
      </w:r>
      <w:r w:rsidRPr="00812233">
        <w:rPr>
          <w:sz w:val="18"/>
          <w:szCs w:val="18"/>
          <w:lang w:val="en-US"/>
        </w:rPr>
        <w:t xml:space="preserve"> John Hull : Risk management and financial institutions</w:t>
      </w:r>
    </w:p>
  </w:footnote>
  <w:footnote w:id="43">
    <w:p w14:paraId="08A99275" w14:textId="77777777" w:rsidR="00BE0981" w:rsidRPr="00812233" w:rsidRDefault="00BE0981" w:rsidP="00812233">
      <w:pPr>
        <w:pStyle w:val="FootnoteText"/>
        <w:spacing w:before="0"/>
        <w:rPr>
          <w:sz w:val="18"/>
          <w:szCs w:val="18"/>
        </w:rPr>
      </w:pPr>
      <w:r w:rsidRPr="00812233">
        <w:rPr>
          <w:rStyle w:val="FootnoteReference"/>
          <w:szCs w:val="18"/>
          <w:vertAlign w:val="superscript"/>
        </w:rPr>
        <w:footnoteRef/>
      </w:r>
      <w:r w:rsidRPr="00812233">
        <w:rPr>
          <w:sz w:val="18"/>
          <w:szCs w:val="18"/>
        </w:rPr>
        <w:t xml:space="preserve"> See Aviation accidents and incidents statistics such as The Bureau</w:t>
      </w:r>
      <w:r w:rsidRPr="00812233">
        <w:rPr>
          <w:rFonts w:ascii="Arial" w:hAnsi="Arial" w:cs="Arial"/>
          <w:color w:val="8B97B2"/>
          <w:spacing w:val="2"/>
          <w:sz w:val="18"/>
          <w:szCs w:val="18"/>
        </w:rPr>
        <w:t xml:space="preserve"> </w:t>
      </w:r>
      <w:r w:rsidRPr="00812233">
        <w:rPr>
          <w:sz w:val="18"/>
          <w:szCs w:val="18"/>
        </w:rPr>
        <w:t xml:space="preserve">of Aircraft Accidents Archives (B3A) established in Geneva in 1990 for the purpose to deal with all information related to aviation accidentology: </w:t>
      </w:r>
      <w:hyperlink r:id="rId13" w:history="1">
        <w:r w:rsidRPr="00812233">
          <w:rPr>
            <w:rStyle w:val="Hyperlink"/>
            <w:sz w:val="18"/>
            <w:szCs w:val="18"/>
          </w:rPr>
          <w:t>http://www.baaa-acro.com/</w:t>
        </w:r>
      </w:hyperlink>
    </w:p>
  </w:footnote>
  <w:footnote w:id="44">
    <w:p w14:paraId="5F926C32" w14:textId="77777777" w:rsidR="00BE0981" w:rsidRPr="00812233" w:rsidRDefault="00BE0981" w:rsidP="00812233">
      <w:pPr>
        <w:pStyle w:val="FootnoteText"/>
        <w:spacing w:before="0"/>
        <w:rPr>
          <w:sz w:val="18"/>
          <w:szCs w:val="18"/>
          <w:lang w:val="en-US"/>
        </w:rPr>
      </w:pPr>
      <w:r w:rsidRPr="00812233">
        <w:rPr>
          <w:rStyle w:val="FootnoteReference"/>
          <w:szCs w:val="18"/>
          <w:vertAlign w:val="superscript"/>
        </w:rPr>
        <w:footnoteRef/>
      </w:r>
      <w:r w:rsidRPr="00812233">
        <w:rPr>
          <w:sz w:val="18"/>
          <w:szCs w:val="18"/>
          <w:lang w:val="en-US"/>
        </w:rPr>
        <w:t xml:space="preserve"> Risk Management Basics, ISO31000 standard, Louis Kunimatsu, CRISC, IT Security and Strategy, Ford Motor Company</w:t>
      </w:r>
    </w:p>
  </w:footnote>
  <w:footnote w:id="45">
    <w:p w14:paraId="0F4DAD7B" w14:textId="77777777" w:rsidR="00BE0981" w:rsidRPr="00812233" w:rsidRDefault="00BE0981" w:rsidP="00812233">
      <w:pPr>
        <w:pStyle w:val="FootnoteText"/>
        <w:spacing w:before="0"/>
        <w:ind w:left="794" w:hanging="794"/>
        <w:rPr>
          <w:sz w:val="18"/>
          <w:szCs w:val="18"/>
          <w:lang w:val="en-US"/>
        </w:rPr>
      </w:pPr>
      <w:r w:rsidRPr="00812233">
        <w:rPr>
          <w:rStyle w:val="FootnoteReference"/>
          <w:szCs w:val="18"/>
          <w:vertAlign w:val="superscript"/>
        </w:rPr>
        <w:footnoteRef/>
      </w:r>
      <w:r w:rsidRPr="00812233">
        <w:rPr>
          <w:sz w:val="18"/>
          <w:szCs w:val="18"/>
          <w:lang w:val="en-US"/>
        </w:rPr>
        <w:t xml:space="preserve"> https://www.theirm.org/knowledge-and-resources/thought-leadership/risk-appetite-and-tolerance/</w:t>
      </w:r>
    </w:p>
  </w:footnote>
  <w:footnote w:id="46">
    <w:p w14:paraId="32051011" w14:textId="77777777" w:rsidR="00BE0981" w:rsidRPr="00812233" w:rsidRDefault="00BE0981" w:rsidP="00812233">
      <w:pPr>
        <w:pStyle w:val="FootnoteText"/>
        <w:spacing w:before="0"/>
        <w:rPr>
          <w:sz w:val="18"/>
          <w:szCs w:val="18"/>
        </w:rPr>
      </w:pPr>
      <w:r w:rsidRPr="00812233">
        <w:rPr>
          <w:rStyle w:val="FootnoteReference"/>
          <w:szCs w:val="18"/>
          <w:vertAlign w:val="superscript"/>
        </w:rPr>
        <w:footnoteRef/>
      </w:r>
      <w:r w:rsidRPr="00812233">
        <w:rPr>
          <w:sz w:val="18"/>
          <w:szCs w:val="18"/>
        </w:rPr>
        <w:t xml:space="preserve"> Risks in computer and telecommunication systems (July 1989), https://www.bis.org/publ/bcbsc136.pdf</w:t>
      </w:r>
    </w:p>
  </w:footnote>
  <w:footnote w:id="47">
    <w:p w14:paraId="6868A881" w14:textId="77777777" w:rsidR="00BE0981" w:rsidRPr="00812233" w:rsidRDefault="00BE0981" w:rsidP="00A6007F">
      <w:pPr>
        <w:pStyle w:val="FootnoteText"/>
        <w:spacing w:before="0"/>
        <w:rPr>
          <w:sz w:val="18"/>
          <w:szCs w:val="18"/>
          <w:lang w:val="en-US"/>
        </w:rPr>
      </w:pPr>
      <w:r w:rsidRPr="00812233">
        <w:rPr>
          <w:rStyle w:val="FootnoteReference"/>
          <w:szCs w:val="18"/>
          <w:vertAlign w:val="superscript"/>
        </w:rPr>
        <w:footnoteRef/>
      </w:r>
      <w:r w:rsidRPr="00812233">
        <w:rPr>
          <w:sz w:val="18"/>
          <w:szCs w:val="18"/>
        </w:rPr>
        <w:t xml:space="preserve"> </w:t>
      </w:r>
      <w:r w:rsidRPr="00812233">
        <w:rPr>
          <w:sz w:val="18"/>
          <w:szCs w:val="18"/>
          <w:lang w:val="en-US"/>
        </w:rPr>
        <w:t>For example, in the banking industry, the Basel Committee proposed a first list of risks that the actors are continually expanding. The Coso also recommend improving the risk assessment process to be align with the evolution of the technologies and markets (as of today, Coso recommend taking into account the data issues, but hasn’t yet include the data in the model itself.)</w:t>
      </w:r>
    </w:p>
  </w:footnote>
  <w:footnote w:id="48">
    <w:p w14:paraId="12155BB8" w14:textId="77777777" w:rsidR="00BE0981" w:rsidRPr="005E1235" w:rsidRDefault="00BE0981" w:rsidP="005E1235">
      <w:pPr>
        <w:pStyle w:val="FootnoteText"/>
        <w:spacing w:before="0"/>
        <w:rPr>
          <w:sz w:val="18"/>
          <w:szCs w:val="18"/>
          <w:lang w:val="en-US"/>
        </w:rPr>
      </w:pPr>
      <w:r w:rsidRPr="005E1235">
        <w:rPr>
          <w:rStyle w:val="FootnoteReference"/>
          <w:szCs w:val="18"/>
          <w:vertAlign w:val="superscript"/>
        </w:rPr>
        <w:footnoteRef/>
      </w:r>
      <w:r w:rsidRPr="005E1235">
        <w:rPr>
          <w:sz w:val="18"/>
          <w:szCs w:val="18"/>
        </w:rPr>
        <w:t xml:space="preserve"> </w:t>
      </w:r>
      <w:r w:rsidRPr="005E1235">
        <w:rPr>
          <w:sz w:val="18"/>
          <w:szCs w:val="18"/>
          <w:lang w:val="en-US"/>
        </w:rPr>
        <w:t>Internet of things, privacy &amp; security in a Connected World, FTC Staff report</w:t>
      </w:r>
      <w:r w:rsidRPr="005E1235">
        <w:rPr>
          <w:sz w:val="18"/>
          <w:szCs w:val="18"/>
        </w:rPr>
        <w:t>. https://www.ftc.gov/system/files/documents/reports/federal-trade-commission-staff-report-november-2013-workshop-entitled-internet-things-privacy/150127iotrpt.pdf</w:t>
      </w:r>
    </w:p>
  </w:footnote>
  <w:footnote w:id="49">
    <w:p w14:paraId="586C692D" w14:textId="77777777" w:rsidR="00BE0981" w:rsidRPr="005E1235" w:rsidRDefault="00BE0981" w:rsidP="005E1235">
      <w:pPr>
        <w:pStyle w:val="FootnoteText"/>
        <w:spacing w:before="0"/>
        <w:rPr>
          <w:sz w:val="18"/>
          <w:szCs w:val="18"/>
          <w:lang w:val="en-US"/>
        </w:rPr>
      </w:pPr>
      <w:r w:rsidRPr="005E1235">
        <w:rPr>
          <w:rStyle w:val="FootnoteReference"/>
          <w:szCs w:val="18"/>
          <w:vertAlign w:val="superscript"/>
        </w:rPr>
        <w:footnoteRef/>
      </w:r>
      <w:r w:rsidRPr="005E1235">
        <w:rPr>
          <w:sz w:val="18"/>
          <w:szCs w:val="18"/>
          <w:lang w:val="en-US"/>
        </w:rPr>
        <w:t xml:space="preserve"> Veritas, the Databerg Report, Identify the value, risk and cost of your data, </w:t>
      </w:r>
      <w:hyperlink r:id="rId14" w:history="1">
        <w:r w:rsidRPr="005E1235">
          <w:rPr>
            <w:rStyle w:val="Hyperlink"/>
            <w:sz w:val="18"/>
            <w:szCs w:val="18"/>
            <w:lang w:val="en-US"/>
          </w:rPr>
          <w:t>http://info.veritas.com/databerg_report</w:t>
        </w:r>
      </w:hyperlink>
      <w:r w:rsidRPr="005E1235">
        <w:rPr>
          <w:sz w:val="18"/>
          <w:szCs w:val="18"/>
          <w:lang w:val="en-US"/>
        </w:rPr>
        <w:t xml:space="preserve"> </w:t>
      </w:r>
    </w:p>
  </w:footnote>
  <w:footnote w:id="50">
    <w:p w14:paraId="520BBA30" w14:textId="77777777" w:rsidR="00BE0981" w:rsidRPr="005E1235" w:rsidRDefault="00BE0981" w:rsidP="005E1235">
      <w:pPr>
        <w:pStyle w:val="FootnoteText"/>
        <w:spacing w:before="0"/>
        <w:rPr>
          <w:sz w:val="18"/>
          <w:szCs w:val="18"/>
          <w:lang w:val="fr-CH"/>
        </w:rPr>
      </w:pPr>
      <w:r w:rsidRPr="005E1235">
        <w:rPr>
          <w:rStyle w:val="FootnoteReference"/>
          <w:szCs w:val="18"/>
          <w:vertAlign w:val="superscript"/>
        </w:rPr>
        <w:footnoteRef/>
      </w:r>
      <w:r w:rsidRPr="005E1235">
        <w:rPr>
          <w:sz w:val="18"/>
          <w:szCs w:val="18"/>
          <w:lang w:val="fr-CH"/>
        </w:rPr>
        <w:t xml:space="preserve"> Les guides de la cnil - Edition 2017. La sécurité des données personnelles. https://www.cnil.fr/sites/default/files/atoms/files/cnil_guide_securite_personnelle.pdf</w:t>
      </w:r>
    </w:p>
  </w:footnote>
  <w:footnote w:id="51">
    <w:p w14:paraId="26F2B149" w14:textId="3348E65F" w:rsidR="00BE0981" w:rsidRPr="005E1235" w:rsidRDefault="00BE0981" w:rsidP="005E1235">
      <w:pPr>
        <w:pStyle w:val="FootnoteText"/>
        <w:spacing w:before="0"/>
        <w:rPr>
          <w:sz w:val="18"/>
          <w:szCs w:val="18"/>
          <w:lang w:val="en-US"/>
        </w:rPr>
      </w:pPr>
      <w:r w:rsidRPr="005E1235">
        <w:rPr>
          <w:rStyle w:val="FootnoteReference"/>
          <w:szCs w:val="18"/>
          <w:vertAlign w:val="superscript"/>
        </w:rPr>
        <w:footnoteRef/>
      </w:r>
      <w:r w:rsidRPr="005E1235">
        <w:rPr>
          <w:sz w:val="18"/>
          <w:szCs w:val="18"/>
        </w:rPr>
        <w:t xml:space="preserve"> Basel Committee on Banking Supervision</w:t>
      </w:r>
      <w:r w:rsidRPr="005E1235">
        <w:rPr>
          <w:sz w:val="18"/>
          <w:szCs w:val="18"/>
          <w:lang w:val="en-US"/>
        </w:rPr>
        <w:t xml:space="preserve"> (BCBS), 1989.</w:t>
      </w:r>
    </w:p>
  </w:footnote>
  <w:footnote w:id="52">
    <w:p w14:paraId="4787FBEF" w14:textId="77777777" w:rsidR="00BE0981" w:rsidRPr="005E1235" w:rsidRDefault="00BE0981" w:rsidP="005E1235">
      <w:pPr>
        <w:pStyle w:val="FootnoteText"/>
        <w:spacing w:before="0"/>
        <w:rPr>
          <w:sz w:val="18"/>
          <w:szCs w:val="18"/>
        </w:rPr>
      </w:pPr>
      <w:r w:rsidRPr="005E1235">
        <w:rPr>
          <w:rStyle w:val="FootnoteReference"/>
          <w:szCs w:val="18"/>
        </w:rPr>
        <w:footnoteRef/>
      </w:r>
      <w:r w:rsidRPr="005E1235">
        <w:rPr>
          <w:sz w:val="18"/>
          <w:szCs w:val="18"/>
        </w:rPr>
        <w:t xml:space="preserve"> Such a recommendation is adressed by BIS to the Banking industry : “Principles for effective risk data aggregation and risk reporting” </w:t>
      </w:r>
      <w:hyperlink r:id="rId15" w:history="1">
        <w:r w:rsidRPr="005E1235">
          <w:rPr>
            <w:rStyle w:val="Hyperlink"/>
            <w:sz w:val="18"/>
            <w:szCs w:val="18"/>
          </w:rPr>
          <w:t>https://www.bis.org/publ/bcbs239.pdf</w:t>
        </w:r>
      </w:hyperlink>
    </w:p>
  </w:footnote>
  <w:footnote w:id="53">
    <w:p w14:paraId="46D8E56D" w14:textId="77777777" w:rsidR="00BE0981" w:rsidRPr="003A6822" w:rsidRDefault="00BE0981" w:rsidP="00A21CCB">
      <w:pPr>
        <w:pStyle w:val="FootnoteText"/>
        <w:spacing w:before="0"/>
        <w:rPr>
          <w:sz w:val="18"/>
          <w:szCs w:val="18"/>
          <w:lang w:val="en-US"/>
        </w:rPr>
      </w:pPr>
      <w:r w:rsidRPr="003A6822">
        <w:rPr>
          <w:rStyle w:val="FootnoteReference"/>
          <w:szCs w:val="18"/>
          <w:vertAlign w:val="superscript"/>
        </w:rPr>
        <w:footnoteRef/>
      </w:r>
      <w:r w:rsidRPr="003A6822">
        <w:rPr>
          <w:sz w:val="18"/>
          <w:szCs w:val="18"/>
          <w:lang w:val="en-US"/>
        </w:rPr>
        <w:t xml:space="preserve"> See COSO – </w:t>
      </w:r>
      <w:r w:rsidRPr="003A6822">
        <w:rPr>
          <w:i/>
          <w:sz w:val="18"/>
          <w:szCs w:val="18"/>
          <w:lang w:val="en-US"/>
        </w:rPr>
        <w:t>Enterprise Risk Management – Integrated Framework</w:t>
      </w:r>
      <w:r w:rsidRPr="003A6822">
        <w:rPr>
          <w:sz w:val="18"/>
          <w:szCs w:val="18"/>
          <w:lang w:val="en-US"/>
        </w:rPr>
        <w:t>, Committee of Sponsoring Organizations of the Treadway Commission, September 2004</w:t>
      </w:r>
    </w:p>
  </w:footnote>
  <w:footnote w:id="54">
    <w:p w14:paraId="09E66C21" w14:textId="77777777" w:rsidR="00BE0981" w:rsidRPr="003A6822" w:rsidRDefault="00BE0981" w:rsidP="00A21CCB">
      <w:pPr>
        <w:rPr>
          <w:sz w:val="18"/>
          <w:szCs w:val="18"/>
        </w:rPr>
      </w:pPr>
      <w:r w:rsidRPr="003A6822">
        <w:rPr>
          <w:rStyle w:val="FootnoteReference"/>
          <w:szCs w:val="18"/>
          <w:vertAlign w:val="superscript"/>
        </w:rPr>
        <w:footnoteRef/>
      </w:r>
      <w:r w:rsidRPr="003A6822">
        <w:rPr>
          <w:sz w:val="18"/>
          <w:szCs w:val="18"/>
        </w:rPr>
        <w:t xml:space="preserve"> Conferences accessible on </w:t>
      </w:r>
      <w:hyperlink r:id="rId16" w:history="1">
        <w:r w:rsidRPr="003A6822">
          <w:rPr>
            <w:sz w:val="18"/>
            <w:szCs w:val="18"/>
          </w:rPr>
          <w:t>https://igf2017.sched.com/info</w:t>
        </w:r>
      </w:hyperlink>
    </w:p>
  </w:footnote>
  <w:footnote w:id="55">
    <w:p w14:paraId="67CEE62F" w14:textId="77777777" w:rsidR="00BE0981" w:rsidRPr="00470F6A" w:rsidRDefault="00BE0981" w:rsidP="00470F6A">
      <w:pPr>
        <w:pStyle w:val="FootnoteText"/>
        <w:spacing w:before="0"/>
        <w:rPr>
          <w:sz w:val="18"/>
          <w:szCs w:val="18"/>
        </w:rPr>
      </w:pPr>
      <w:r w:rsidRPr="00470F6A">
        <w:rPr>
          <w:rStyle w:val="FootnoteReference"/>
          <w:szCs w:val="18"/>
          <w:vertAlign w:val="superscript"/>
        </w:rPr>
        <w:footnoteRef/>
      </w:r>
      <w:r w:rsidRPr="00470F6A">
        <w:rPr>
          <w:sz w:val="18"/>
          <w:szCs w:val="18"/>
        </w:rPr>
        <w:t xml:space="preserve"> More info on https://ec.europa.eu/jrc/en/digcomp/digital-competence-framework</w:t>
      </w:r>
    </w:p>
  </w:footnote>
  <w:footnote w:id="56">
    <w:p w14:paraId="07617BC2" w14:textId="77777777" w:rsidR="00BE0981" w:rsidRPr="00470F6A" w:rsidRDefault="00BE0981" w:rsidP="00470F6A">
      <w:pPr>
        <w:pStyle w:val="FootnoteText"/>
        <w:spacing w:before="0"/>
        <w:rPr>
          <w:sz w:val="18"/>
          <w:szCs w:val="18"/>
          <w:lang w:val="fr-CH"/>
        </w:rPr>
      </w:pPr>
      <w:r w:rsidRPr="00470F6A">
        <w:rPr>
          <w:rStyle w:val="FootnoteReference"/>
          <w:szCs w:val="18"/>
          <w:vertAlign w:val="superscript"/>
        </w:rPr>
        <w:footnoteRef/>
      </w:r>
      <w:r w:rsidRPr="00470F6A">
        <w:rPr>
          <w:sz w:val="18"/>
          <w:szCs w:val="18"/>
          <w:lang w:val="fr-CH"/>
        </w:rPr>
        <w:t xml:space="preserve"> « Fonction Finance :  140 innovations au service de la croissance ». Collection les Livres Blancs, Pôle de compétitivité mondial FINANCE INNOVATION, 2018 (PI 21 et PI 22)</w:t>
      </w:r>
    </w:p>
  </w:footnote>
  <w:footnote w:id="57">
    <w:p w14:paraId="41D57D6B" w14:textId="71B2565A" w:rsidR="00BE0981" w:rsidRPr="00470F6A" w:rsidRDefault="00BE0981" w:rsidP="00470F6A">
      <w:pPr>
        <w:pStyle w:val="FootnoteText"/>
        <w:spacing w:before="0"/>
        <w:rPr>
          <w:sz w:val="18"/>
          <w:szCs w:val="18"/>
          <w:lang w:val="en-US"/>
        </w:rPr>
      </w:pPr>
      <w:r w:rsidRPr="00470F6A">
        <w:rPr>
          <w:rStyle w:val="FootnoteReference"/>
          <w:szCs w:val="18"/>
          <w:vertAlign w:val="superscript"/>
        </w:rPr>
        <w:footnoteRef/>
      </w:r>
      <w:r w:rsidRPr="00470F6A">
        <w:rPr>
          <w:sz w:val="18"/>
          <w:szCs w:val="18"/>
          <w:lang w:val="en-US"/>
        </w:rPr>
        <w:t xml:space="preserve"> Digital Citizenship Education Volume 1 : Overview and new perspectives, </w:t>
      </w:r>
      <w:r>
        <w:rPr>
          <w:sz w:val="18"/>
          <w:szCs w:val="18"/>
          <w:lang w:val="en-US"/>
        </w:rPr>
        <w:t>O</w:t>
      </w:r>
      <w:r w:rsidRPr="00470F6A">
        <w:rPr>
          <w:sz w:val="18"/>
          <w:szCs w:val="18"/>
          <w:lang w:val="en-US"/>
        </w:rPr>
        <w:t>ctobre 2017 (p.23)</w:t>
      </w:r>
    </w:p>
  </w:footnote>
  <w:footnote w:id="58">
    <w:p w14:paraId="3B97C575" w14:textId="77777777" w:rsidR="00BE0981" w:rsidRPr="005E1235" w:rsidRDefault="00BE0981" w:rsidP="005E1235">
      <w:pPr>
        <w:pStyle w:val="FootnoteText"/>
        <w:spacing w:before="0"/>
        <w:rPr>
          <w:sz w:val="18"/>
          <w:szCs w:val="18"/>
        </w:rPr>
      </w:pPr>
      <w:r w:rsidRPr="005E1235">
        <w:rPr>
          <w:rStyle w:val="FootnoteReference"/>
          <w:szCs w:val="18"/>
          <w:vertAlign w:val="superscript"/>
        </w:rPr>
        <w:footnoteRef/>
      </w:r>
      <w:r w:rsidRPr="005E1235">
        <w:rPr>
          <w:sz w:val="18"/>
          <w:szCs w:val="18"/>
          <w:vertAlign w:val="superscript"/>
        </w:rPr>
        <w:t xml:space="preserve"> </w:t>
      </w:r>
      <w:r w:rsidRPr="005E1235">
        <w:rPr>
          <w:sz w:val="18"/>
          <w:szCs w:val="18"/>
        </w:rPr>
        <w:t>See the Veritas Databerg report. http://info.veritas.com/databerg_report</w:t>
      </w:r>
    </w:p>
  </w:footnote>
  <w:footnote w:id="59">
    <w:p w14:paraId="487EF25E" w14:textId="77777777" w:rsidR="00BE0981" w:rsidRPr="005E1235" w:rsidRDefault="00BE0981" w:rsidP="005E1235">
      <w:pPr>
        <w:pStyle w:val="FootnoteText"/>
        <w:spacing w:before="0"/>
        <w:rPr>
          <w:sz w:val="18"/>
          <w:szCs w:val="18"/>
        </w:rPr>
      </w:pPr>
      <w:r w:rsidRPr="005E1235">
        <w:rPr>
          <w:rStyle w:val="FootnoteReference"/>
          <w:szCs w:val="18"/>
          <w:vertAlign w:val="superscript"/>
        </w:rPr>
        <w:footnoteRef/>
      </w:r>
      <w:r w:rsidRPr="005E1235">
        <w:rPr>
          <w:sz w:val="18"/>
          <w:szCs w:val="18"/>
        </w:rPr>
        <w:t xml:space="preserve"> See “The Butterfly Effect of Data Quality”, MIT conference, Steve Sarsfield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D9619" w14:textId="77777777" w:rsidR="00BE0981" w:rsidRPr="00D7552B" w:rsidRDefault="00BE0981" w:rsidP="003C226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1B648" w14:textId="566A165A" w:rsidR="00BE0981" w:rsidRDefault="00BE0981" w:rsidP="002977EE">
    <w:pPr>
      <w:pStyle w:val="Header"/>
    </w:pPr>
    <w:r w:rsidRPr="00E031FB">
      <w:t xml:space="preserve">- </w:t>
    </w:r>
    <w:r>
      <w:fldChar w:fldCharType="begin"/>
    </w:r>
    <w:r>
      <w:instrText xml:space="preserve"> PAGE  \* MERGEFORMAT </w:instrText>
    </w:r>
    <w:r>
      <w:fldChar w:fldCharType="separate"/>
    </w:r>
    <w:r w:rsidR="00ED776D">
      <w:rPr>
        <w:noProof/>
      </w:rPr>
      <w:t>30</w:t>
    </w:r>
    <w:r>
      <w:rPr>
        <w:noProof/>
      </w:rPr>
      <w:fldChar w:fldCharType="end"/>
    </w:r>
    <w:r w:rsidRPr="00E031FB">
      <w:t xml:space="preserve"> </w:t>
    </w: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937FD" w14:textId="4E0EE0C5" w:rsidR="00BE0981" w:rsidRPr="002977EE" w:rsidRDefault="00BE0981" w:rsidP="002977EE">
    <w:pPr>
      <w:pStyle w:val="Header"/>
    </w:pPr>
    <w:r w:rsidRPr="00E031FB">
      <w:t xml:space="preserve">- </w:t>
    </w:r>
    <w:r>
      <w:fldChar w:fldCharType="begin"/>
    </w:r>
    <w:r>
      <w:instrText xml:space="preserve"> PAGE  \* MERGEFORMAT </w:instrText>
    </w:r>
    <w:r>
      <w:fldChar w:fldCharType="separate"/>
    </w:r>
    <w:r w:rsidR="004946F7">
      <w:rPr>
        <w:noProof/>
      </w:rPr>
      <w:t>31</w:t>
    </w:r>
    <w:r>
      <w:rPr>
        <w:noProof/>
      </w:rPr>
      <w:fldChar w:fldCharType="end"/>
    </w:r>
    <w:r w:rsidRPr="00E031FB">
      <w:t xml:space="preserve"> </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015B388F"/>
    <w:multiLevelType w:val="hybridMultilevel"/>
    <w:tmpl w:val="25126B5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711AF"/>
    <w:multiLevelType w:val="multilevel"/>
    <w:tmpl w:val="248EB4BE"/>
    <w:styleLink w:val="List0"/>
    <w:lvl w:ilvl="0">
      <w:numFmt w:val="bullet"/>
      <w:lvlText w:val="•"/>
      <w:lvlJc w:val="left"/>
      <w:pPr>
        <w:tabs>
          <w:tab w:val="num" w:pos="360"/>
        </w:tabs>
        <w:ind w:left="360" w:hanging="360"/>
      </w:pPr>
      <w:rPr>
        <w:rFonts w:ascii="Calibri" w:eastAsia="Calibri" w:hAnsi="Calibri" w:cs="Batang"/>
        <w:caps w:val="0"/>
        <w:smallCaps w:val="0"/>
        <w:strike w:val="0"/>
        <w:dstrike w:val="0"/>
        <w:color w:val="000000"/>
        <w:spacing w:val="0"/>
        <w:kern w:val="0"/>
        <w:position w:val="0"/>
        <w:sz w:val="24"/>
        <w:szCs w:val="24"/>
        <w:u w:val="none" w:color="000000"/>
        <w:effect w:val="none"/>
        <w:vertAlign w:val="baseline"/>
        <w:lang w:val="en-US"/>
      </w:rPr>
    </w:lvl>
    <w:lvl w:ilvl="1">
      <w:start w:val="1"/>
      <w:numFmt w:val="bullet"/>
      <w:lvlText w:val="o"/>
      <w:lvlJc w:val="left"/>
      <w:pPr>
        <w:tabs>
          <w:tab w:val="num" w:pos="1020"/>
        </w:tabs>
        <w:ind w:left="102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2">
      <w:start w:val="1"/>
      <w:numFmt w:val="bullet"/>
      <w:lvlText w:val="▪"/>
      <w:lvlJc w:val="left"/>
      <w:pPr>
        <w:tabs>
          <w:tab w:val="num" w:pos="1740"/>
        </w:tabs>
        <w:ind w:left="174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3">
      <w:start w:val="1"/>
      <w:numFmt w:val="bullet"/>
      <w:lvlText w:val="•"/>
      <w:lvlJc w:val="left"/>
      <w:pPr>
        <w:tabs>
          <w:tab w:val="num" w:pos="2460"/>
        </w:tabs>
        <w:ind w:left="246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4">
      <w:start w:val="1"/>
      <w:numFmt w:val="bullet"/>
      <w:lvlText w:val="o"/>
      <w:lvlJc w:val="left"/>
      <w:pPr>
        <w:tabs>
          <w:tab w:val="num" w:pos="3180"/>
        </w:tabs>
        <w:ind w:left="318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5">
      <w:start w:val="1"/>
      <w:numFmt w:val="bullet"/>
      <w:lvlText w:val="▪"/>
      <w:lvlJc w:val="left"/>
      <w:pPr>
        <w:tabs>
          <w:tab w:val="num" w:pos="3900"/>
        </w:tabs>
        <w:ind w:left="390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6">
      <w:start w:val="1"/>
      <w:numFmt w:val="bullet"/>
      <w:lvlText w:val="•"/>
      <w:lvlJc w:val="left"/>
      <w:pPr>
        <w:tabs>
          <w:tab w:val="num" w:pos="4620"/>
        </w:tabs>
        <w:ind w:left="462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7">
      <w:start w:val="1"/>
      <w:numFmt w:val="bullet"/>
      <w:lvlText w:val="o"/>
      <w:lvlJc w:val="left"/>
      <w:pPr>
        <w:tabs>
          <w:tab w:val="num" w:pos="5340"/>
        </w:tabs>
        <w:ind w:left="534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8">
      <w:start w:val="1"/>
      <w:numFmt w:val="bullet"/>
      <w:lvlText w:val="▪"/>
      <w:lvlJc w:val="left"/>
      <w:pPr>
        <w:tabs>
          <w:tab w:val="num" w:pos="6060"/>
        </w:tabs>
        <w:ind w:left="606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abstractNum>
  <w:abstractNum w:abstractNumId="3" w15:restartNumberingAfterBreak="0">
    <w:nsid w:val="0E446C7C"/>
    <w:multiLevelType w:val="hybridMultilevel"/>
    <w:tmpl w:val="4FFCF82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A93528"/>
    <w:multiLevelType w:val="hybridMultilevel"/>
    <w:tmpl w:val="0C9C2D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3D61D8"/>
    <w:multiLevelType w:val="multilevel"/>
    <w:tmpl w:val="EE04C8BA"/>
    <w:styleLink w:val="List14"/>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6"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503683"/>
    <w:multiLevelType w:val="multilevel"/>
    <w:tmpl w:val="D79C1F4E"/>
    <w:styleLink w:val="List16"/>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8" w15:restartNumberingAfterBreak="0">
    <w:nsid w:val="1DF74869"/>
    <w:multiLevelType w:val="hybridMultilevel"/>
    <w:tmpl w:val="390E36E0"/>
    <w:lvl w:ilvl="0" w:tplc="0B8A082E">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1EB94B28"/>
    <w:multiLevelType w:val="hybridMultilevel"/>
    <w:tmpl w:val="F9B4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C3248"/>
    <w:multiLevelType w:val="hybridMultilevel"/>
    <w:tmpl w:val="825C928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410926"/>
    <w:multiLevelType w:val="multilevel"/>
    <w:tmpl w:val="E2B6073C"/>
    <w:lvl w:ilvl="0">
      <w:start w:val="1"/>
      <w:numFmt w:val="bullet"/>
      <w:pStyle w:val="bullettable"/>
      <w:lvlText w:val=""/>
      <w:lvlJc w:val="left"/>
      <w:pPr>
        <w:tabs>
          <w:tab w:val="num" w:pos="1342"/>
        </w:tabs>
        <w:ind w:left="2062" w:hanging="360"/>
      </w:pPr>
      <w:rPr>
        <w:rFonts w:ascii="Wingdings" w:hAnsi="Wingdings" w:hint="default"/>
        <w:strike w:val="0"/>
        <w:dstrike w:val="0"/>
        <w:color w:val="000000"/>
        <w:spacing w:val="0"/>
        <w:kern w:val="1"/>
        <w:sz w:val="20"/>
        <w:szCs w:val="20"/>
        <w:shd w:val="clear" w:color="auto" w:fill="auto"/>
        <w:em w:val="none"/>
        <w:lang w:val="it-IT"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622"/>
        </w:tabs>
        <w:ind w:left="2062" w:hanging="360"/>
      </w:pPr>
      <w:rPr>
        <w:rFonts w:ascii="Courier New" w:hAnsi="Courier New" w:cs="Courier New"/>
        <w:kern w:val="1"/>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kern w:val="1"/>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kern w:val="1"/>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32273F91"/>
    <w:multiLevelType w:val="multilevel"/>
    <w:tmpl w:val="9A10F91E"/>
    <w:styleLink w:val="List9"/>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15:restartNumberingAfterBreak="0">
    <w:nsid w:val="386957D6"/>
    <w:multiLevelType w:val="hybridMultilevel"/>
    <w:tmpl w:val="F1363D6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03761E"/>
    <w:multiLevelType w:val="hybridMultilevel"/>
    <w:tmpl w:val="7A5E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C2A02"/>
    <w:multiLevelType w:val="hybridMultilevel"/>
    <w:tmpl w:val="BF3A8F8E"/>
    <w:lvl w:ilvl="0" w:tplc="BE3817AE">
      <w:start w:val="1"/>
      <w:numFmt w:val="bullet"/>
      <w:pStyle w:val="enumlev1TR"/>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ED58D3"/>
    <w:multiLevelType w:val="hybridMultilevel"/>
    <w:tmpl w:val="CF00E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03017B"/>
    <w:multiLevelType w:val="hybridMultilevel"/>
    <w:tmpl w:val="EF9E297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BA0949"/>
    <w:multiLevelType w:val="multilevel"/>
    <w:tmpl w:val="EDA43D2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88D131C"/>
    <w:multiLevelType w:val="hybridMultilevel"/>
    <w:tmpl w:val="AF14FF3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557319"/>
    <w:multiLevelType w:val="hybridMultilevel"/>
    <w:tmpl w:val="CBAAAE9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0847B0"/>
    <w:multiLevelType w:val="hybridMultilevel"/>
    <w:tmpl w:val="EC507D8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F714F6"/>
    <w:multiLevelType w:val="hybridMultilevel"/>
    <w:tmpl w:val="B65C95E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E418CE"/>
    <w:multiLevelType w:val="hybridMultilevel"/>
    <w:tmpl w:val="AB6CC26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B539E8"/>
    <w:multiLevelType w:val="multilevel"/>
    <w:tmpl w:val="664A9130"/>
    <w:styleLink w:val="List5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5" w15:restartNumberingAfterBreak="0">
    <w:nsid w:val="57911E70"/>
    <w:multiLevelType w:val="multilevel"/>
    <w:tmpl w:val="E45E76D4"/>
    <w:lvl w:ilvl="0">
      <w:start w:val="1"/>
      <w:numFmt w:val="decimal"/>
      <w:pStyle w:val="Style1"/>
      <w:lvlText w:val="%1."/>
      <w:lvlJc w:val="left"/>
      <w:pPr>
        <w:ind w:left="450" w:hanging="360"/>
      </w:p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ED0924"/>
    <w:multiLevelType w:val="hybridMultilevel"/>
    <w:tmpl w:val="926E134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1758BA"/>
    <w:multiLevelType w:val="multilevel"/>
    <w:tmpl w:val="314EC352"/>
    <w:styleLink w:val="List1"/>
    <w:lvl w:ilvl="0">
      <w:numFmt w:val="bullet"/>
      <w:lvlText w:val="•"/>
      <w:lvlJc w:val="left"/>
      <w:pPr>
        <w:tabs>
          <w:tab w:val="num" w:pos="360"/>
        </w:tabs>
        <w:ind w:left="360" w:hanging="360"/>
      </w:pPr>
      <w:rPr>
        <w:rFonts w:ascii="Calibri" w:eastAsia="Calibri" w:hAnsi="Calibri" w:cs="Batang"/>
        <w:caps w:val="0"/>
        <w:smallCaps w:val="0"/>
        <w:strike w:val="0"/>
        <w:dstrike w:val="0"/>
        <w:color w:val="000000"/>
        <w:spacing w:val="0"/>
        <w:kern w:val="0"/>
        <w:position w:val="0"/>
        <w:sz w:val="24"/>
        <w:szCs w:val="24"/>
        <w:u w:val="none" w:color="000000"/>
        <w:effect w:val="none"/>
        <w:vertAlign w:val="baseline"/>
        <w:lang w:val="en-US"/>
      </w:rPr>
    </w:lvl>
    <w:lvl w:ilvl="1">
      <w:start w:val="1"/>
      <w:numFmt w:val="bullet"/>
      <w:lvlText w:val="o"/>
      <w:lvlJc w:val="left"/>
      <w:pPr>
        <w:tabs>
          <w:tab w:val="num" w:pos="1020"/>
        </w:tabs>
        <w:ind w:left="102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2">
      <w:start w:val="1"/>
      <w:numFmt w:val="bullet"/>
      <w:lvlText w:val="▪"/>
      <w:lvlJc w:val="left"/>
      <w:pPr>
        <w:tabs>
          <w:tab w:val="num" w:pos="1740"/>
        </w:tabs>
        <w:ind w:left="174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3">
      <w:start w:val="1"/>
      <w:numFmt w:val="bullet"/>
      <w:lvlText w:val="•"/>
      <w:lvlJc w:val="left"/>
      <w:pPr>
        <w:tabs>
          <w:tab w:val="num" w:pos="2460"/>
        </w:tabs>
        <w:ind w:left="246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4">
      <w:start w:val="1"/>
      <w:numFmt w:val="bullet"/>
      <w:lvlText w:val="o"/>
      <w:lvlJc w:val="left"/>
      <w:pPr>
        <w:tabs>
          <w:tab w:val="num" w:pos="3180"/>
        </w:tabs>
        <w:ind w:left="318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5">
      <w:start w:val="1"/>
      <w:numFmt w:val="bullet"/>
      <w:lvlText w:val="▪"/>
      <w:lvlJc w:val="left"/>
      <w:pPr>
        <w:tabs>
          <w:tab w:val="num" w:pos="3900"/>
        </w:tabs>
        <w:ind w:left="390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6">
      <w:start w:val="1"/>
      <w:numFmt w:val="bullet"/>
      <w:lvlText w:val="•"/>
      <w:lvlJc w:val="left"/>
      <w:pPr>
        <w:tabs>
          <w:tab w:val="num" w:pos="4620"/>
        </w:tabs>
        <w:ind w:left="462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7">
      <w:start w:val="1"/>
      <w:numFmt w:val="bullet"/>
      <w:lvlText w:val="o"/>
      <w:lvlJc w:val="left"/>
      <w:pPr>
        <w:tabs>
          <w:tab w:val="num" w:pos="5340"/>
        </w:tabs>
        <w:ind w:left="534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lvl w:ilvl="8">
      <w:start w:val="1"/>
      <w:numFmt w:val="bullet"/>
      <w:lvlText w:val="▪"/>
      <w:lvlJc w:val="left"/>
      <w:pPr>
        <w:tabs>
          <w:tab w:val="num" w:pos="6060"/>
        </w:tabs>
        <w:ind w:left="6060" w:hanging="300"/>
      </w:pPr>
      <w:rPr>
        <w:rFonts w:ascii="Calibri" w:eastAsia="Calibri" w:hAnsi="Calibri" w:cs="Batang"/>
        <w:caps w:val="0"/>
        <w:smallCaps w:val="0"/>
        <w:strike w:val="0"/>
        <w:dstrike w:val="0"/>
        <w:color w:val="000000"/>
        <w:spacing w:val="0"/>
        <w:kern w:val="0"/>
        <w:position w:val="0"/>
        <w:sz w:val="20"/>
        <w:szCs w:val="20"/>
        <w:u w:val="none" w:color="000000"/>
        <w:effect w:val="none"/>
        <w:vertAlign w:val="baseline"/>
        <w:lang w:val="en-US"/>
      </w:rPr>
    </w:lvl>
  </w:abstractNum>
  <w:abstractNum w:abstractNumId="28" w15:restartNumberingAfterBreak="0">
    <w:nsid w:val="5C25537E"/>
    <w:multiLevelType w:val="hybridMultilevel"/>
    <w:tmpl w:val="8C00430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A872D4"/>
    <w:multiLevelType w:val="hybridMultilevel"/>
    <w:tmpl w:val="FFBC70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F36609"/>
    <w:multiLevelType w:val="hybridMultilevel"/>
    <w:tmpl w:val="6E3EE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18514F"/>
    <w:multiLevelType w:val="hybridMultilevel"/>
    <w:tmpl w:val="FFAE823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1840FC"/>
    <w:multiLevelType w:val="hybridMultilevel"/>
    <w:tmpl w:val="A372B51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AA7FFE"/>
    <w:multiLevelType w:val="multilevel"/>
    <w:tmpl w:val="240672D0"/>
    <w:styleLink w:val="Bullet"/>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34" w15:restartNumberingAfterBreak="0">
    <w:nsid w:val="68886F4F"/>
    <w:multiLevelType w:val="hybridMultilevel"/>
    <w:tmpl w:val="E4D42178"/>
    <w:lvl w:ilvl="0" w:tplc="826AB684">
      <w:start w:val="1"/>
      <w:numFmt w:val="bullet"/>
      <w:pStyle w:val="bullet1"/>
      <w:lvlText w:val=""/>
      <w:lvlJc w:val="left"/>
      <w:pPr>
        <w:ind w:left="720" w:hanging="360"/>
      </w:pPr>
      <w:rPr>
        <w:rFonts w:ascii="Wingdings" w:hAnsi="Wingdings" w:hint="default"/>
      </w:rPr>
    </w:lvl>
    <w:lvl w:ilvl="1" w:tplc="5364AB96">
      <w:start w:val="1"/>
      <w:numFmt w:val="bullet"/>
      <w:pStyle w:val="bullet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692F0FE7"/>
    <w:multiLevelType w:val="hybridMultilevel"/>
    <w:tmpl w:val="69D6B8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DA1CE5"/>
    <w:multiLevelType w:val="hybridMultilevel"/>
    <w:tmpl w:val="5F549FE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603917"/>
    <w:multiLevelType w:val="hybridMultilevel"/>
    <w:tmpl w:val="BC8CD5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FF128A"/>
    <w:multiLevelType w:val="multilevel"/>
    <w:tmpl w:val="C66CD3DC"/>
    <w:styleLink w:val="List1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0"/>
  </w:num>
  <w:num w:numId="2">
    <w:abstractNumId w:val="15"/>
  </w:num>
  <w:num w:numId="3">
    <w:abstractNumId w:val="25"/>
  </w:num>
  <w:num w:numId="4">
    <w:abstractNumId w:val="27"/>
  </w:num>
  <w:num w:numId="5">
    <w:abstractNumId w:val="2"/>
  </w:num>
  <w:num w:numId="6">
    <w:abstractNumId w:val="33"/>
  </w:num>
  <w:num w:numId="7">
    <w:abstractNumId w:val="24"/>
  </w:num>
  <w:num w:numId="8">
    <w:abstractNumId w:val="12"/>
  </w:num>
  <w:num w:numId="9">
    <w:abstractNumId w:val="38"/>
  </w:num>
  <w:num w:numId="10">
    <w:abstractNumId w:val="5"/>
  </w:num>
  <w:num w:numId="11">
    <w:abstractNumId w:val="7"/>
  </w:num>
  <w:num w:numId="12">
    <w:abstractNumId w:val="6"/>
  </w:num>
  <w:num w:numId="13">
    <w:abstractNumId w:val="18"/>
  </w:num>
  <w:num w:numId="14">
    <w:abstractNumId w:val="14"/>
  </w:num>
  <w:num w:numId="15">
    <w:abstractNumId w:val="30"/>
  </w:num>
  <w:num w:numId="16">
    <w:abstractNumId w:val="16"/>
  </w:num>
  <w:num w:numId="17">
    <w:abstractNumId w:val="10"/>
  </w:num>
  <w:num w:numId="18">
    <w:abstractNumId w:val="13"/>
  </w:num>
  <w:num w:numId="19">
    <w:abstractNumId w:val="4"/>
  </w:num>
  <w:num w:numId="20">
    <w:abstractNumId w:val="28"/>
  </w:num>
  <w:num w:numId="21">
    <w:abstractNumId w:val="20"/>
  </w:num>
  <w:num w:numId="22">
    <w:abstractNumId w:val="22"/>
  </w:num>
  <w:num w:numId="23">
    <w:abstractNumId w:val="34"/>
  </w:num>
  <w:num w:numId="24">
    <w:abstractNumId w:val="36"/>
  </w:num>
  <w:num w:numId="25">
    <w:abstractNumId w:val="35"/>
  </w:num>
  <w:num w:numId="26">
    <w:abstractNumId w:val="1"/>
  </w:num>
  <w:num w:numId="27">
    <w:abstractNumId w:val="17"/>
  </w:num>
  <w:num w:numId="28">
    <w:abstractNumId w:val="3"/>
  </w:num>
  <w:num w:numId="29">
    <w:abstractNumId w:val="11"/>
  </w:num>
  <w:num w:numId="30">
    <w:abstractNumId w:val="31"/>
  </w:num>
  <w:num w:numId="31">
    <w:abstractNumId w:val="19"/>
  </w:num>
  <w:num w:numId="32">
    <w:abstractNumId w:val="21"/>
  </w:num>
  <w:num w:numId="33">
    <w:abstractNumId w:val="37"/>
  </w:num>
  <w:num w:numId="34">
    <w:abstractNumId w:val="32"/>
  </w:num>
  <w:num w:numId="35">
    <w:abstractNumId w:val="26"/>
  </w:num>
  <w:num w:numId="36">
    <w:abstractNumId w:val="23"/>
  </w:num>
  <w:num w:numId="37">
    <w:abstractNumId w:val="9"/>
  </w:num>
  <w:num w:numId="38">
    <w:abstractNumId w:val="8"/>
  </w:num>
  <w:num w:numId="39">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n-IN" w:vendorID="64" w:dllVersion="6" w:nlCheck="1" w:checkStyle="1"/>
  <w:activeWritingStyle w:appName="MSWord" w:lang="es-ES_tradnl" w:vendorID="64" w:dllVersion="6" w:nlCheck="1" w:checkStyle="1"/>
  <w:activeWritingStyle w:appName="MSWord" w:lang="de-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s-ES" w:vendorID="64" w:dllVersion="4096" w:nlCheck="1" w:checkStyle="0"/>
  <w:activeWritingStyle w:appName="MSWord" w:lang="es-ES"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n-IN"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0C"/>
    <w:rsid w:val="000062AD"/>
    <w:rsid w:val="0000759E"/>
    <w:rsid w:val="00015453"/>
    <w:rsid w:val="00021758"/>
    <w:rsid w:val="000227AB"/>
    <w:rsid w:val="00022FE3"/>
    <w:rsid w:val="00033093"/>
    <w:rsid w:val="00035434"/>
    <w:rsid w:val="00035B13"/>
    <w:rsid w:val="00037C89"/>
    <w:rsid w:val="00041BD0"/>
    <w:rsid w:val="000441E6"/>
    <w:rsid w:val="000464DD"/>
    <w:rsid w:val="0005060D"/>
    <w:rsid w:val="00050B76"/>
    <w:rsid w:val="000577E5"/>
    <w:rsid w:val="00061B4F"/>
    <w:rsid w:val="00066E3C"/>
    <w:rsid w:val="00072E74"/>
    <w:rsid w:val="00075050"/>
    <w:rsid w:val="00076DA9"/>
    <w:rsid w:val="0008481A"/>
    <w:rsid w:val="00084E38"/>
    <w:rsid w:val="00086328"/>
    <w:rsid w:val="00087CA4"/>
    <w:rsid w:val="00096169"/>
    <w:rsid w:val="000A269F"/>
    <w:rsid w:val="000A287B"/>
    <w:rsid w:val="000A45FD"/>
    <w:rsid w:val="000B28F1"/>
    <w:rsid w:val="000B48BF"/>
    <w:rsid w:val="000B5359"/>
    <w:rsid w:val="000B67A1"/>
    <w:rsid w:val="000C4F4A"/>
    <w:rsid w:val="000C5E8A"/>
    <w:rsid w:val="000D4677"/>
    <w:rsid w:val="000E0237"/>
    <w:rsid w:val="000E355E"/>
    <w:rsid w:val="000E6ED2"/>
    <w:rsid w:val="000F0D0B"/>
    <w:rsid w:val="000F22AD"/>
    <w:rsid w:val="000F3EAC"/>
    <w:rsid w:val="000F4575"/>
    <w:rsid w:val="00100AEE"/>
    <w:rsid w:val="001039C5"/>
    <w:rsid w:val="00106CA4"/>
    <w:rsid w:val="001134A3"/>
    <w:rsid w:val="00113B0A"/>
    <w:rsid w:val="00115BE4"/>
    <w:rsid w:val="0013143B"/>
    <w:rsid w:val="00131514"/>
    <w:rsid w:val="00131590"/>
    <w:rsid w:val="0013245D"/>
    <w:rsid w:val="00132DD9"/>
    <w:rsid w:val="00132EBE"/>
    <w:rsid w:val="0013384E"/>
    <w:rsid w:val="0013599C"/>
    <w:rsid w:val="001373BF"/>
    <w:rsid w:val="00137D4C"/>
    <w:rsid w:val="00144423"/>
    <w:rsid w:val="00153195"/>
    <w:rsid w:val="00153F27"/>
    <w:rsid w:val="00156515"/>
    <w:rsid w:val="0016509B"/>
    <w:rsid w:val="0016546A"/>
    <w:rsid w:val="001703C2"/>
    <w:rsid w:val="001772B8"/>
    <w:rsid w:val="0018403B"/>
    <w:rsid w:val="00185363"/>
    <w:rsid w:val="001853DF"/>
    <w:rsid w:val="00190435"/>
    <w:rsid w:val="0019395B"/>
    <w:rsid w:val="00193CFE"/>
    <w:rsid w:val="00194EDF"/>
    <w:rsid w:val="00196F37"/>
    <w:rsid w:val="001B19F6"/>
    <w:rsid w:val="001B3AC4"/>
    <w:rsid w:val="001B5921"/>
    <w:rsid w:val="001C107A"/>
    <w:rsid w:val="001C2372"/>
    <w:rsid w:val="001D07F7"/>
    <w:rsid w:val="001D1BFF"/>
    <w:rsid w:val="001D4E9B"/>
    <w:rsid w:val="001D6CB4"/>
    <w:rsid w:val="001D74F8"/>
    <w:rsid w:val="001E386B"/>
    <w:rsid w:val="001F66A0"/>
    <w:rsid w:val="001F7BB8"/>
    <w:rsid w:val="00204F5B"/>
    <w:rsid w:val="002076CB"/>
    <w:rsid w:val="00210AF1"/>
    <w:rsid w:val="00211E07"/>
    <w:rsid w:val="00213D0A"/>
    <w:rsid w:val="00214C6F"/>
    <w:rsid w:val="00217ECD"/>
    <w:rsid w:val="002207C5"/>
    <w:rsid w:val="00221A31"/>
    <w:rsid w:val="002309F5"/>
    <w:rsid w:val="00233985"/>
    <w:rsid w:val="002376C1"/>
    <w:rsid w:val="00240FAD"/>
    <w:rsid w:val="00251F75"/>
    <w:rsid w:val="00253934"/>
    <w:rsid w:val="00263AFE"/>
    <w:rsid w:val="0026679A"/>
    <w:rsid w:val="002778A3"/>
    <w:rsid w:val="00283BA1"/>
    <w:rsid w:val="00285232"/>
    <w:rsid w:val="0028537B"/>
    <w:rsid w:val="00290BEE"/>
    <w:rsid w:val="00297633"/>
    <w:rsid w:val="002977EE"/>
    <w:rsid w:val="002A1B32"/>
    <w:rsid w:val="002A2404"/>
    <w:rsid w:val="002A2C81"/>
    <w:rsid w:val="002B0D25"/>
    <w:rsid w:val="002B2170"/>
    <w:rsid w:val="002B2BEC"/>
    <w:rsid w:val="002C14AD"/>
    <w:rsid w:val="002D1CF8"/>
    <w:rsid w:val="002D3380"/>
    <w:rsid w:val="002D7BA9"/>
    <w:rsid w:val="002D7F77"/>
    <w:rsid w:val="002E0144"/>
    <w:rsid w:val="002E0900"/>
    <w:rsid w:val="002E0F55"/>
    <w:rsid w:val="002E17EC"/>
    <w:rsid w:val="002E5890"/>
    <w:rsid w:val="002E74A0"/>
    <w:rsid w:val="002F651C"/>
    <w:rsid w:val="002F7BC1"/>
    <w:rsid w:val="003010FD"/>
    <w:rsid w:val="00302A5B"/>
    <w:rsid w:val="0030405B"/>
    <w:rsid w:val="0030626D"/>
    <w:rsid w:val="00306C59"/>
    <w:rsid w:val="0031007A"/>
    <w:rsid w:val="00313B3C"/>
    <w:rsid w:val="00315C10"/>
    <w:rsid w:val="003174C6"/>
    <w:rsid w:val="003239B9"/>
    <w:rsid w:val="00327D9E"/>
    <w:rsid w:val="00331009"/>
    <w:rsid w:val="003334F7"/>
    <w:rsid w:val="00335C2E"/>
    <w:rsid w:val="003368D8"/>
    <w:rsid w:val="003401FA"/>
    <w:rsid w:val="00342FDC"/>
    <w:rsid w:val="00343CF7"/>
    <w:rsid w:val="00344337"/>
    <w:rsid w:val="00356B85"/>
    <w:rsid w:val="00356D5E"/>
    <w:rsid w:val="00363426"/>
    <w:rsid w:val="00371B66"/>
    <w:rsid w:val="003819C3"/>
    <w:rsid w:val="00383878"/>
    <w:rsid w:val="003860AE"/>
    <w:rsid w:val="003956B3"/>
    <w:rsid w:val="00395D3D"/>
    <w:rsid w:val="0039732A"/>
    <w:rsid w:val="003A0344"/>
    <w:rsid w:val="003A1C35"/>
    <w:rsid w:val="003A6822"/>
    <w:rsid w:val="003B29F2"/>
    <w:rsid w:val="003B6434"/>
    <w:rsid w:val="003B68E4"/>
    <w:rsid w:val="003C2262"/>
    <w:rsid w:val="003C24F4"/>
    <w:rsid w:val="003C6A30"/>
    <w:rsid w:val="003D49C9"/>
    <w:rsid w:val="003D6119"/>
    <w:rsid w:val="003D7C7A"/>
    <w:rsid w:val="003E1FB6"/>
    <w:rsid w:val="003E6C25"/>
    <w:rsid w:val="003F3DE9"/>
    <w:rsid w:val="003F45DE"/>
    <w:rsid w:val="003F5514"/>
    <w:rsid w:val="00407085"/>
    <w:rsid w:val="00407587"/>
    <w:rsid w:val="004075A8"/>
    <w:rsid w:val="00410E13"/>
    <w:rsid w:val="00412994"/>
    <w:rsid w:val="0041539F"/>
    <w:rsid w:val="004172A5"/>
    <w:rsid w:val="00417B23"/>
    <w:rsid w:val="00426CC2"/>
    <w:rsid w:val="00434BAE"/>
    <w:rsid w:val="00436FA1"/>
    <w:rsid w:val="00442E3B"/>
    <w:rsid w:val="0044327B"/>
    <w:rsid w:val="00445C10"/>
    <w:rsid w:val="00446FA1"/>
    <w:rsid w:val="00450252"/>
    <w:rsid w:val="00455822"/>
    <w:rsid w:val="004564E8"/>
    <w:rsid w:val="00464CD2"/>
    <w:rsid w:val="00470E26"/>
    <w:rsid w:val="00470F6A"/>
    <w:rsid w:val="004765B6"/>
    <w:rsid w:val="0049069D"/>
    <w:rsid w:val="004946F7"/>
    <w:rsid w:val="004A2772"/>
    <w:rsid w:val="004A6146"/>
    <w:rsid w:val="004C084A"/>
    <w:rsid w:val="004C1F2C"/>
    <w:rsid w:val="004C280C"/>
    <w:rsid w:val="004C2A74"/>
    <w:rsid w:val="004C37E7"/>
    <w:rsid w:val="004D41E8"/>
    <w:rsid w:val="004D4B36"/>
    <w:rsid w:val="004E4887"/>
    <w:rsid w:val="004E6165"/>
    <w:rsid w:val="004E6830"/>
    <w:rsid w:val="004E7D87"/>
    <w:rsid w:val="004F5EEC"/>
    <w:rsid w:val="005079B9"/>
    <w:rsid w:val="00507D7A"/>
    <w:rsid w:val="00512F1E"/>
    <w:rsid w:val="005208A9"/>
    <w:rsid w:val="005223B7"/>
    <w:rsid w:val="00554D00"/>
    <w:rsid w:val="005572F5"/>
    <w:rsid w:val="00561038"/>
    <w:rsid w:val="00563D8D"/>
    <w:rsid w:val="00564779"/>
    <w:rsid w:val="00570616"/>
    <w:rsid w:val="00575188"/>
    <w:rsid w:val="0057540B"/>
    <w:rsid w:val="00580106"/>
    <w:rsid w:val="005978AC"/>
    <w:rsid w:val="005A06F2"/>
    <w:rsid w:val="005A2D70"/>
    <w:rsid w:val="005A5706"/>
    <w:rsid w:val="005B208C"/>
    <w:rsid w:val="005B654D"/>
    <w:rsid w:val="005C20EA"/>
    <w:rsid w:val="005C3646"/>
    <w:rsid w:val="005D2976"/>
    <w:rsid w:val="005D46D1"/>
    <w:rsid w:val="005D483B"/>
    <w:rsid w:val="005D72E9"/>
    <w:rsid w:val="005E1235"/>
    <w:rsid w:val="005E2978"/>
    <w:rsid w:val="005E6B9B"/>
    <w:rsid w:val="005E7555"/>
    <w:rsid w:val="005F5FE3"/>
    <w:rsid w:val="00600A1E"/>
    <w:rsid w:val="00607EAB"/>
    <w:rsid w:val="006116FD"/>
    <w:rsid w:val="00611EEC"/>
    <w:rsid w:val="0061423E"/>
    <w:rsid w:val="0062037B"/>
    <w:rsid w:val="006214A6"/>
    <w:rsid w:val="006224EA"/>
    <w:rsid w:val="00625BEE"/>
    <w:rsid w:val="00626D7D"/>
    <w:rsid w:val="00627EA1"/>
    <w:rsid w:val="0063143E"/>
    <w:rsid w:val="00631BC0"/>
    <w:rsid w:val="00640670"/>
    <w:rsid w:val="006417E8"/>
    <w:rsid w:val="00642074"/>
    <w:rsid w:val="006468BC"/>
    <w:rsid w:val="006579EC"/>
    <w:rsid w:val="006613AC"/>
    <w:rsid w:val="00661B4A"/>
    <w:rsid w:val="0066696D"/>
    <w:rsid w:val="00673931"/>
    <w:rsid w:val="00681642"/>
    <w:rsid w:val="00684A23"/>
    <w:rsid w:val="00685CE6"/>
    <w:rsid w:val="006869E5"/>
    <w:rsid w:val="006910EA"/>
    <w:rsid w:val="00691FCA"/>
    <w:rsid w:val="00692293"/>
    <w:rsid w:val="0069280E"/>
    <w:rsid w:val="00693286"/>
    <w:rsid w:val="00694C7A"/>
    <w:rsid w:val="006972C7"/>
    <w:rsid w:val="006A5F03"/>
    <w:rsid w:val="006B01E4"/>
    <w:rsid w:val="006C5D9F"/>
    <w:rsid w:val="006C7CD6"/>
    <w:rsid w:val="006E5FBC"/>
    <w:rsid w:val="006F14C1"/>
    <w:rsid w:val="006F1F49"/>
    <w:rsid w:val="006F369D"/>
    <w:rsid w:val="006F4D2E"/>
    <w:rsid w:val="007050E1"/>
    <w:rsid w:val="00711655"/>
    <w:rsid w:val="00715790"/>
    <w:rsid w:val="007200A9"/>
    <w:rsid w:val="007201C3"/>
    <w:rsid w:val="00722CF5"/>
    <w:rsid w:val="007244DE"/>
    <w:rsid w:val="007246FE"/>
    <w:rsid w:val="00726163"/>
    <w:rsid w:val="00736057"/>
    <w:rsid w:val="00736B72"/>
    <w:rsid w:val="00737B27"/>
    <w:rsid w:val="00740764"/>
    <w:rsid w:val="00744463"/>
    <w:rsid w:val="00756D82"/>
    <w:rsid w:val="007616E4"/>
    <w:rsid w:val="00762761"/>
    <w:rsid w:val="00762779"/>
    <w:rsid w:val="007645E3"/>
    <w:rsid w:val="007655FB"/>
    <w:rsid w:val="007673CC"/>
    <w:rsid w:val="00770D56"/>
    <w:rsid w:val="00773B30"/>
    <w:rsid w:val="00780C56"/>
    <w:rsid w:val="00783451"/>
    <w:rsid w:val="00783586"/>
    <w:rsid w:val="00787353"/>
    <w:rsid w:val="00791A89"/>
    <w:rsid w:val="007946C5"/>
    <w:rsid w:val="007969C3"/>
    <w:rsid w:val="00797756"/>
    <w:rsid w:val="007A125F"/>
    <w:rsid w:val="007A4C6D"/>
    <w:rsid w:val="007A7AB6"/>
    <w:rsid w:val="007A7DBA"/>
    <w:rsid w:val="007B25D1"/>
    <w:rsid w:val="007B7E1C"/>
    <w:rsid w:val="007C7948"/>
    <w:rsid w:val="007D0D2A"/>
    <w:rsid w:val="007D3683"/>
    <w:rsid w:val="007E0DEA"/>
    <w:rsid w:val="007E5AC7"/>
    <w:rsid w:val="007F23FF"/>
    <w:rsid w:val="007F631C"/>
    <w:rsid w:val="00800F55"/>
    <w:rsid w:val="00801B7E"/>
    <w:rsid w:val="00807D47"/>
    <w:rsid w:val="00810BD5"/>
    <w:rsid w:val="00811C3E"/>
    <w:rsid w:val="00812233"/>
    <w:rsid w:val="00815B59"/>
    <w:rsid w:val="008230DD"/>
    <w:rsid w:val="00825617"/>
    <w:rsid w:val="0082640E"/>
    <w:rsid w:val="00833C7E"/>
    <w:rsid w:val="008351AC"/>
    <w:rsid w:val="0083768A"/>
    <w:rsid w:val="0084325E"/>
    <w:rsid w:val="008450EE"/>
    <w:rsid w:val="00854715"/>
    <w:rsid w:val="00856443"/>
    <w:rsid w:val="00863002"/>
    <w:rsid w:val="00865987"/>
    <w:rsid w:val="0086660B"/>
    <w:rsid w:val="00870C2B"/>
    <w:rsid w:val="008949C8"/>
    <w:rsid w:val="00895C89"/>
    <w:rsid w:val="008A3F39"/>
    <w:rsid w:val="008C0714"/>
    <w:rsid w:val="008C3123"/>
    <w:rsid w:val="008C38F5"/>
    <w:rsid w:val="008D0332"/>
    <w:rsid w:val="008D1698"/>
    <w:rsid w:val="008D34EC"/>
    <w:rsid w:val="008D42DD"/>
    <w:rsid w:val="008D4BA9"/>
    <w:rsid w:val="008D55CC"/>
    <w:rsid w:val="008E0811"/>
    <w:rsid w:val="008E18D4"/>
    <w:rsid w:val="008E4D53"/>
    <w:rsid w:val="008E6F9A"/>
    <w:rsid w:val="008F5BD1"/>
    <w:rsid w:val="00903216"/>
    <w:rsid w:val="00905034"/>
    <w:rsid w:val="009058B5"/>
    <w:rsid w:val="00907300"/>
    <w:rsid w:val="00911616"/>
    <w:rsid w:val="00913E6A"/>
    <w:rsid w:val="009140B5"/>
    <w:rsid w:val="00915980"/>
    <w:rsid w:val="00920C96"/>
    <w:rsid w:val="00922AF8"/>
    <w:rsid w:val="00923C60"/>
    <w:rsid w:val="00926C21"/>
    <w:rsid w:val="009327C4"/>
    <w:rsid w:val="009434EF"/>
    <w:rsid w:val="00943B25"/>
    <w:rsid w:val="00963C94"/>
    <w:rsid w:val="00964BEB"/>
    <w:rsid w:val="009672E5"/>
    <w:rsid w:val="009703F8"/>
    <w:rsid w:val="009718A5"/>
    <w:rsid w:val="00983595"/>
    <w:rsid w:val="00994FE7"/>
    <w:rsid w:val="0099506B"/>
    <w:rsid w:val="009A64BD"/>
    <w:rsid w:val="009A7DB4"/>
    <w:rsid w:val="009B289F"/>
    <w:rsid w:val="009B4E47"/>
    <w:rsid w:val="009B6602"/>
    <w:rsid w:val="009B7607"/>
    <w:rsid w:val="009C39A7"/>
    <w:rsid w:val="009C4BD0"/>
    <w:rsid w:val="009C7C55"/>
    <w:rsid w:val="009D148B"/>
    <w:rsid w:val="009D2558"/>
    <w:rsid w:val="009E02D3"/>
    <w:rsid w:val="009F1837"/>
    <w:rsid w:val="009F29DB"/>
    <w:rsid w:val="009F5DEA"/>
    <w:rsid w:val="00A01D57"/>
    <w:rsid w:val="00A02428"/>
    <w:rsid w:val="00A0557B"/>
    <w:rsid w:val="00A06185"/>
    <w:rsid w:val="00A065BF"/>
    <w:rsid w:val="00A07C06"/>
    <w:rsid w:val="00A21CCB"/>
    <w:rsid w:val="00A234D8"/>
    <w:rsid w:val="00A2369F"/>
    <w:rsid w:val="00A23FA6"/>
    <w:rsid w:val="00A25723"/>
    <w:rsid w:val="00A2668A"/>
    <w:rsid w:val="00A33B9D"/>
    <w:rsid w:val="00A346E7"/>
    <w:rsid w:val="00A35538"/>
    <w:rsid w:val="00A40CCA"/>
    <w:rsid w:val="00A43177"/>
    <w:rsid w:val="00A43E60"/>
    <w:rsid w:val="00A43FDD"/>
    <w:rsid w:val="00A6007F"/>
    <w:rsid w:val="00A6260D"/>
    <w:rsid w:val="00A65CD1"/>
    <w:rsid w:val="00A66145"/>
    <w:rsid w:val="00A715CC"/>
    <w:rsid w:val="00A7643C"/>
    <w:rsid w:val="00A76D93"/>
    <w:rsid w:val="00A772E6"/>
    <w:rsid w:val="00A7783E"/>
    <w:rsid w:val="00A825B3"/>
    <w:rsid w:val="00A873A0"/>
    <w:rsid w:val="00A9292D"/>
    <w:rsid w:val="00A957D5"/>
    <w:rsid w:val="00AA12E2"/>
    <w:rsid w:val="00AA2ED1"/>
    <w:rsid w:val="00AA662C"/>
    <w:rsid w:val="00AA72B6"/>
    <w:rsid w:val="00AB24BD"/>
    <w:rsid w:val="00AB3A5D"/>
    <w:rsid w:val="00AB49E9"/>
    <w:rsid w:val="00AC02DA"/>
    <w:rsid w:val="00AC3DD1"/>
    <w:rsid w:val="00AC6E7E"/>
    <w:rsid w:val="00AD60E6"/>
    <w:rsid w:val="00AE0910"/>
    <w:rsid w:val="00AE3B9A"/>
    <w:rsid w:val="00AE655A"/>
    <w:rsid w:val="00AE6980"/>
    <w:rsid w:val="00AF1821"/>
    <w:rsid w:val="00AF726F"/>
    <w:rsid w:val="00AF72F7"/>
    <w:rsid w:val="00AF7B5D"/>
    <w:rsid w:val="00B01B93"/>
    <w:rsid w:val="00B03881"/>
    <w:rsid w:val="00B065E7"/>
    <w:rsid w:val="00B06F7D"/>
    <w:rsid w:val="00B1036D"/>
    <w:rsid w:val="00B11B96"/>
    <w:rsid w:val="00B1386D"/>
    <w:rsid w:val="00B157BF"/>
    <w:rsid w:val="00B1605B"/>
    <w:rsid w:val="00B201EC"/>
    <w:rsid w:val="00B2375A"/>
    <w:rsid w:val="00B248FA"/>
    <w:rsid w:val="00B32397"/>
    <w:rsid w:val="00B41414"/>
    <w:rsid w:val="00B4170B"/>
    <w:rsid w:val="00B4401B"/>
    <w:rsid w:val="00B44A13"/>
    <w:rsid w:val="00B46FF3"/>
    <w:rsid w:val="00B56F68"/>
    <w:rsid w:val="00B679A2"/>
    <w:rsid w:val="00B72114"/>
    <w:rsid w:val="00B72D9C"/>
    <w:rsid w:val="00B761F7"/>
    <w:rsid w:val="00B84159"/>
    <w:rsid w:val="00B849B7"/>
    <w:rsid w:val="00B86B18"/>
    <w:rsid w:val="00B907B2"/>
    <w:rsid w:val="00B921CD"/>
    <w:rsid w:val="00BA0890"/>
    <w:rsid w:val="00BA4005"/>
    <w:rsid w:val="00BA4FF5"/>
    <w:rsid w:val="00BA7DB8"/>
    <w:rsid w:val="00BC3D5C"/>
    <w:rsid w:val="00BC5B82"/>
    <w:rsid w:val="00BD041F"/>
    <w:rsid w:val="00BD4211"/>
    <w:rsid w:val="00BD5B2C"/>
    <w:rsid w:val="00BD7FB3"/>
    <w:rsid w:val="00BE0981"/>
    <w:rsid w:val="00BE191B"/>
    <w:rsid w:val="00BE3FD0"/>
    <w:rsid w:val="00BF0EE7"/>
    <w:rsid w:val="00BF21FF"/>
    <w:rsid w:val="00BF3320"/>
    <w:rsid w:val="00BF4245"/>
    <w:rsid w:val="00C00B29"/>
    <w:rsid w:val="00C07480"/>
    <w:rsid w:val="00C16330"/>
    <w:rsid w:val="00C22206"/>
    <w:rsid w:val="00C30031"/>
    <w:rsid w:val="00C317D5"/>
    <w:rsid w:val="00C375F7"/>
    <w:rsid w:val="00C37C93"/>
    <w:rsid w:val="00C44B02"/>
    <w:rsid w:val="00C5204C"/>
    <w:rsid w:val="00C52C8B"/>
    <w:rsid w:val="00C56BDA"/>
    <w:rsid w:val="00C62C39"/>
    <w:rsid w:val="00C66E57"/>
    <w:rsid w:val="00C7154B"/>
    <w:rsid w:val="00C82D1D"/>
    <w:rsid w:val="00C82E8F"/>
    <w:rsid w:val="00C8489C"/>
    <w:rsid w:val="00C864F3"/>
    <w:rsid w:val="00C92D90"/>
    <w:rsid w:val="00C94D2B"/>
    <w:rsid w:val="00C96871"/>
    <w:rsid w:val="00C9695C"/>
    <w:rsid w:val="00CA4ADA"/>
    <w:rsid w:val="00CB012D"/>
    <w:rsid w:val="00CB2D6A"/>
    <w:rsid w:val="00CB6797"/>
    <w:rsid w:val="00CB6FA7"/>
    <w:rsid w:val="00CC0394"/>
    <w:rsid w:val="00CC2B38"/>
    <w:rsid w:val="00CC3E22"/>
    <w:rsid w:val="00CC3EBF"/>
    <w:rsid w:val="00CC413D"/>
    <w:rsid w:val="00CD624E"/>
    <w:rsid w:val="00CD7E95"/>
    <w:rsid w:val="00CE073C"/>
    <w:rsid w:val="00CE197F"/>
    <w:rsid w:val="00CE663C"/>
    <w:rsid w:val="00CF0C59"/>
    <w:rsid w:val="00D04374"/>
    <w:rsid w:val="00D06200"/>
    <w:rsid w:val="00D17EB7"/>
    <w:rsid w:val="00D20B54"/>
    <w:rsid w:val="00D20B5D"/>
    <w:rsid w:val="00D242CB"/>
    <w:rsid w:val="00D31F5C"/>
    <w:rsid w:val="00D45320"/>
    <w:rsid w:val="00D45587"/>
    <w:rsid w:val="00D4647F"/>
    <w:rsid w:val="00D46E67"/>
    <w:rsid w:val="00D517DF"/>
    <w:rsid w:val="00D51CF4"/>
    <w:rsid w:val="00D53043"/>
    <w:rsid w:val="00D530FF"/>
    <w:rsid w:val="00D53C03"/>
    <w:rsid w:val="00D6099E"/>
    <w:rsid w:val="00D61B1F"/>
    <w:rsid w:val="00D62D38"/>
    <w:rsid w:val="00D64D5B"/>
    <w:rsid w:val="00D66878"/>
    <w:rsid w:val="00D67085"/>
    <w:rsid w:val="00D70CB8"/>
    <w:rsid w:val="00D72003"/>
    <w:rsid w:val="00D7320C"/>
    <w:rsid w:val="00D94F41"/>
    <w:rsid w:val="00DA342B"/>
    <w:rsid w:val="00DA5514"/>
    <w:rsid w:val="00DB3982"/>
    <w:rsid w:val="00DC0049"/>
    <w:rsid w:val="00DC345E"/>
    <w:rsid w:val="00DC3966"/>
    <w:rsid w:val="00DC7D5C"/>
    <w:rsid w:val="00DD3F66"/>
    <w:rsid w:val="00DD5716"/>
    <w:rsid w:val="00DD6B65"/>
    <w:rsid w:val="00DD71CE"/>
    <w:rsid w:val="00DD73B6"/>
    <w:rsid w:val="00DD742A"/>
    <w:rsid w:val="00DD7CCC"/>
    <w:rsid w:val="00DE45D7"/>
    <w:rsid w:val="00DE7857"/>
    <w:rsid w:val="00DE7E25"/>
    <w:rsid w:val="00E064F5"/>
    <w:rsid w:val="00E139A0"/>
    <w:rsid w:val="00E14697"/>
    <w:rsid w:val="00E340E8"/>
    <w:rsid w:val="00E37C0E"/>
    <w:rsid w:val="00E37F9A"/>
    <w:rsid w:val="00E416B9"/>
    <w:rsid w:val="00E419EE"/>
    <w:rsid w:val="00E43669"/>
    <w:rsid w:val="00E503F8"/>
    <w:rsid w:val="00E5596B"/>
    <w:rsid w:val="00E80112"/>
    <w:rsid w:val="00E828CD"/>
    <w:rsid w:val="00E855C2"/>
    <w:rsid w:val="00E92381"/>
    <w:rsid w:val="00E92C16"/>
    <w:rsid w:val="00E94C15"/>
    <w:rsid w:val="00E95FDA"/>
    <w:rsid w:val="00EA14AD"/>
    <w:rsid w:val="00EA2CBD"/>
    <w:rsid w:val="00EA71DA"/>
    <w:rsid w:val="00EB1006"/>
    <w:rsid w:val="00EB58EF"/>
    <w:rsid w:val="00EB6B31"/>
    <w:rsid w:val="00EC1071"/>
    <w:rsid w:val="00EC47F7"/>
    <w:rsid w:val="00ED3CD6"/>
    <w:rsid w:val="00ED49AE"/>
    <w:rsid w:val="00ED776D"/>
    <w:rsid w:val="00EE2C4E"/>
    <w:rsid w:val="00EE2C5E"/>
    <w:rsid w:val="00EE548D"/>
    <w:rsid w:val="00EE614E"/>
    <w:rsid w:val="00EE6C1E"/>
    <w:rsid w:val="00EF0912"/>
    <w:rsid w:val="00F0052B"/>
    <w:rsid w:val="00F00B4A"/>
    <w:rsid w:val="00F01A84"/>
    <w:rsid w:val="00F04162"/>
    <w:rsid w:val="00F04DAA"/>
    <w:rsid w:val="00F05B3C"/>
    <w:rsid w:val="00F11D6C"/>
    <w:rsid w:val="00F11ECD"/>
    <w:rsid w:val="00F14307"/>
    <w:rsid w:val="00F31B37"/>
    <w:rsid w:val="00F3319B"/>
    <w:rsid w:val="00F34C26"/>
    <w:rsid w:val="00F34E3A"/>
    <w:rsid w:val="00F375D4"/>
    <w:rsid w:val="00F432A9"/>
    <w:rsid w:val="00F4560F"/>
    <w:rsid w:val="00F51BAB"/>
    <w:rsid w:val="00F6279F"/>
    <w:rsid w:val="00F73356"/>
    <w:rsid w:val="00F74D9C"/>
    <w:rsid w:val="00F8100D"/>
    <w:rsid w:val="00F81CCA"/>
    <w:rsid w:val="00F8386D"/>
    <w:rsid w:val="00F83C31"/>
    <w:rsid w:val="00F84671"/>
    <w:rsid w:val="00F90B42"/>
    <w:rsid w:val="00F9188C"/>
    <w:rsid w:val="00F943DD"/>
    <w:rsid w:val="00FA190F"/>
    <w:rsid w:val="00FA2375"/>
    <w:rsid w:val="00FA2CD9"/>
    <w:rsid w:val="00FA3D51"/>
    <w:rsid w:val="00FA7F65"/>
    <w:rsid w:val="00FB3809"/>
    <w:rsid w:val="00FC13F1"/>
    <w:rsid w:val="00FC1461"/>
    <w:rsid w:val="00FC6960"/>
    <w:rsid w:val="00FD5323"/>
    <w:rsid w:val="00FE2237"/>
    <w:rsid w:val="00FE3B23"/>
    <w:rsid w:val="00FE55D1"/>
    <w:rsid w:val="00FF56FE"/>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0C962F"/>
  <w15:docId w15:val="{28D0DB59-1D9C-450C-910D-BD029DB8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80E"/>
    <w:rPr>
      <w:rFonts w:ascii="Times New Roman" w:hAnsi="Times New Roman"/>
      <w:sz w:val="24"/>
      <w:szCs w:val="24"/>
      <w:lang w:eastAsia="en-GB"/>
    </w:rPr>
  </w:style>
  <w:style w:type="paragraph" w:styleId="Heading1">
    <w:name w:val="heading 1"/>
    <w:basedOn w:val="Normal"/>
    <w:next w:val="Normal"/>
    <w:link w:val="Heading1Char"/>
    <w:uiPriority w:val="9"/>
    <w:qFormat/>
    <w:rsid w:val="009A64BD"/>
    <w:pPr>
      <w:keepNext/>
      <w:keepLines/>
      <w:tabs>
        <w:tab w:val="left" w:pos="794"/>
        <w:tab w:val="left" w:pos="1191"/>
        <w:tab w:val="left" w:pos="1588"/>
        <w:tab w:val="left" w:pos="1985"/>
      </w:tabs>
      <w:overflowPunct w:val="0"/>
      <w:autoSpaceDE w:val="0"/>
      <w:autoSpaceDN w:val="0"/>
      <w:adjustRightInd w:val="0"/>
      <w:spacing w:before="360"/>
      <w:ind w:left="794" w:hanging="794"/>
      <w:jc w:val="both"/>
      <w:textAlignment w:val="baseline"/>
      <w:outlineLvl w:val="0"/>
    </w:pPr>
    <w:rPr>
      <w:rFonts w:eastAsia="Malgun Gothic"/>
      <w:b/>
      <w:szCs w:val="20"/>
      <w:lang w:val="en-GB" w:eastAsia="en-US"/>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link w:val="Heading3Char"/>
    <w:uiPriority w:val="9"/>
    <w:qFormat/>
    <w:rsid w:val="009A64BD"/>
    <w:pPr>
      <w:spacing w:before="160"/>
      <w:outlineLvl w:val="2"/>
    </w:pPr>
  </w:style>
  <w:style w:type="paragraph" w:styleId="Heading4">
    <w:name w:val="heading 4"/>
    <w:basedOn w:val="Heading3"/>
    <w:next w:val="Normal"/>
    <w:link w:val="Heading4Char"/>
    <w:uiPriority w:val="9"/>
    <w:qFormat/>
    <w:rsid w:val="009A64B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A64BD"/>
    <w:pPr>
      <w:outlineLvl w:val="4"/>
    </w:pPr>
  </w:style>
  <w:style w:type="paragraph" w:styleId="Heading6">
    <w:name w:val="heading 6"/>
    <w:basedOn w:val="Heading4"/>
    <w:next w:val="Normal"/>
    <w:link w:val="Heading6Char"/>
    <w:uiPriority w:val="9"/>
    <w:qFormat/>
    <w:rsid w:val="009A64BD"/>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A64BD"/>
    <w:pPr>
      <w:outlineLvl w:val="6"/>
    </w:pPr>
  </w:style>
  <w:style w:type="paragraph" w:styleId="Heading8">
    <w:name w:val="heading 8"/>
    <w:basedOn w:val="Heading6"/>
    <w:next w:val="Normal"/>
    <w:link w:val="Heading8Char"/>
    <w:uiPriority w:val="9"/>
    <w:qFormat/>
    <w:rsid w:val="009A64BD"/>
    <w:pPr>
      <w:outlineLvl w:val="7"/>
    </w:pPr>
  </w:style>
  <w:style w:type="paragraph" w:styleId="Heading9">
    <w:name w:val="heading 9"/>
    <w:basedOn w:val="Heading6"/>
    <w:next w:val="Normal"/>
    <w:link w:val="Heading9Char"/>
    <w:uiPriority w:val="9"/>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A9292D"/>
    <w:pPr>
      <w:tabs>
        <w:tab w:val="left" w:pos="794"/>
        <w:tab w:val="left" w:pos="1191"/>
        <w:tab w:val="left" w:pos="1588"/>
        <w:tab w:val="left" w:pos="1985"/>
      </w:tabs>
      <w:overflowPunct w:val="0"/>
      <w:autoSpaceDE w:val="0"/>
      <w:autoSpaceDN w:val="0"/>
      <w:adjustRightInd w:val="0"/>
      <w:jc w:val="both"/>
      <w:textAlignment w:val="baseline"/>
    </w:pPr>
    <w:rPr>
      <w:rFonts w:ascii="Tahoma" w:eastAsia="Malgun Gothic" w:hAnsi="Tahoma" w:cs="Tahoma"/>
      <w:sz w:val="16"/>
      <w:szCs w:val="16"/>
      <w:lang w:val="en-GB" w:eastAsia="en-US"/>
    </w:rPr>
  </w:style>
  <w:style w:type="character" w:customStyle="1" w:styleId="BalloonTextChar">
    <w:name w:val="Balloon Text Char"/>
    <w:basedOn w:val="DefaultParagraphFont"/>
    <w:uiPriority w:val="99"/>
    <w:semiHidden/>
    <w:rsid w:val="00C4721F"/>
    <w:rPr>
      <w:rFonts w:ascii="Lucida Grande" w:hAnsi="Lucida Grande"/>
      <w:sz w:val="18"/>
      <w:szCs w:val="18"/>
    </w:rPr>
  </w:style>
  <w:style w:type="character" w:customStyle="1" w:styleId="BalloonTextChar0">
    <w:name w:val="Balloon Text Char"/>
    <w:basedOn w:val="DefaultParagraphFont"/>
    <w:uiPriority w:val="99"/>
    <w:semiHidden/>
    <w:rsid w:val="00C4721F"/>
    <w:rPr>
      <w:rFonts w:ascii="Lucida Grande" w:hAnsi="Lucida Grande"/>
      <w:sz w:val="18"/>
      <w:szCs w:val="18"/>
    </w:rPr>
  </w:style>
  <w:style w:type="paragraph" w:styleId="TOC8">
    <w:name w:val="toc 8"/>
    <w:basedOn w:val="TOC4"/>
    <w:uiPriority w:val="39"/>
    <w:rsid w:val="009A64BD"/>
  </w:style>
  <w:style w:type="paragraph" w:styleId="TOC4">
    <w:name w:val="toc 4"/>
    <w:basedOn w:val="TOC3"/>
    <w:uiPriority w:val="39"/>
    <w:rsid w:val="009A64BD"/>
  </w:style>
  <w:style w:type="paragraph" w:styleId="TOC3">
    <w:name w:val="toc 3"/>
    <w:basedOn w:val="TOC2"/>
    <w:uiPriority w:val="39"/>
    <w:qFormat/>
    <w:rsid w:val="009A64BD"/>
  </w:style>
  <w:style w:type="paragraph" w:styleId="TOC2">
    <w:name w:val="toc 2"/>
    <w:basedOn w:val="TOC1"/>
    <w:uiPriority w:val="39"/>
    <w:qFormat/>
    <w:rsid w:val="009A64BD"/>
    <w:pPr>
      <w:spacing w:before="80"/>
      <w:ind w:left="1531" w:hanging="851"/>
    </w:pPr>
  </w:style>
  <w:style w:type="paragraph" w:styleId="TOC1">
    <w:name w:val="toc 1"/>
    <w:basedOn w:val="Normal"/>
    <w:uiPriority w:val="39"/>
    <w:qFormat/>
    <w:rsid w:val="009A64BD"/>
    <w:pPr>
      <w:tabs>
        <w:tab w:val="left" w:pos="964"/>
        <w:tab w:val="left" w:leader="dot" w:pos="8789"/>
        <w:tab w:val="right" w:pos="9639"/>
      </w:tabs>
      <w:overflowPunct w:val="0"/>
      <w:autoSpaceDE w:val="0"/>
      <w:autoSpaceDN w:val="0"/>
      <w:adjustRightInd w:val="0"/>
      <w:spacing w:before="120"/>
      <w:ind w:left="680" w:right="851" w:hanging="680"/>
      <w:jc w:val="both"/>
      <w:textAlignment w:val="baseline"/>
    </w:pPr>
    <w:rPr>
      <w:rFonts w:eastAsia="Malgun Gothic"/>
      <w:szCs w:val="20"/>
      <w:lang w:val="en-GB" w:eastAsia="en-US"/>
    </w:rPr>
  </w:style>
  <w:style w:type="paragraph" w:styleId="TOC7">
    <w:name w:val="toc 7"/>
    <w:basedOn w:val="TOC4"/>
    <w:uiPriority w:val="39"/>
    <w:rsid w:val="009A64BD"/>
  </w:style>
  <w:style w:type="paragraph" w:styleId="TOC6">
    <w:name w:val="toc 6"/>
    <w:basedOn w:val="TOC4"/>
    <w:uiPriority w:val="39"/>
    <w:rsid w:val="009A64BD"/>
  </w:style>
  <w:style w:type="paragraph" w:styleId="TOC5">
    <w:name w:val="toc 5"/>
    <w:basedOn w:val="TOC4"/>
    <w:uiPriority w:val="39"/>
    <w:rsid w:val="009A64BD"/>
  </w:style>
  <w:style w:type="paragraph" w:styleId="Footer">
    <w:name w:val="footer"/>
    <w:basedOn w:val="Normal"/>
    <w:link w:val="FooterChar"/>
    <w:uiPriority w:val="99"/>
    <w:rsid w:val="009A64BD"/>
    <w:pPr>
      <w:tabs>
        <w:tab w:val="left" w:pos="5954"/>
        <w:tab w:val="right" w:pos="9639"/>
      </w:tabs>
      <w:overflowPunct w:val="0"/>
      <w:autoSpaceDE w:val="0"/>
      <w:autoSpaceDN w:val="0"/>
      <w:adjustRightInd w:val="0"/>
      <w:jc w:val="both"/>
      <w:textAlignment w:val="baseline"/>
    </w:pPr>
    <w:rPr>
      <w:rFonts w:eastAsia="Malgun Gothic"/>
      <w:caps/>
      <w:noProof/>
      <w:sz w:val="16"/>
      <w:szCs w:val="20"/>
      <w:lang w:val="en-GB" w:eastAsia="en-US"/>
    </w:rPr>
  </w:style>
  <w:style w:type="paragraph" w:styleId="Header">
    <w:name w:val="header"/>
    <w:aliases w:val="h,Header/Footer"/>
    <w:basedOn w:val="Normal"/>
    <w:link w:val="HeaderChar"/>
    <w:uiPriority w:val="99"/>
    <w:rsid w:val="009A64BD"/>
    <w:pPr>
      <w:overflowPunct w:val="0"/>
      <w:autoSpaceDE w:val="0"/>
      <w:autoSpaceDN w:val="0"/>
      <w:adjustRightInd w:val="0"/>
      <w:jc w:val="center"/>
      <w:textAlignment w:val="baseline"/>
    </w:pPr>
    <w:rPr>
      <w:rFonts w:eastAsia="Malgun Gothic"/>
      <w:sz w:val="18"/>
      <w:szCs w:val="20"/>
      <w:lang w:val="en-GB" w:eastAsia="en-US"/>
    </w:rPr>
  </w:style>
  <w:style w:type="character" w:styleId="FootnoteReference">
    <w:name w:val="footnote reference"/>
    <w:aliases w:val="Appel note de bas de p,Footnote symbol,Times 10 Point,Exposant 3 Point,footnote ref,FR,Fußnotenzeichen diss neu,Voetnootverwijzing,FR + (Complex) Arial,(Latin) 9 pt,(Complex) 10 pt + (Compl...,Footnote anchor,Footnote reference number"/>
    <w:basedOn w:val="DefaultParagraphFont"/>
    <w:uiPriority w:val="99"/>
    <w:qFormat/>
    <w:rsid w:val="009A64BD"/>
    <w:rPr>
      <w:position w:val="6"/>
      <w:sz w:val="18"/>
    </w:rPr>
  </w:style>
  <w:style w:type="paragraph" w:styleId="FootnoteText">
    <w:name w:val="footnote text"/>
    <w:aliases w:val="Footnote,Schriftart: 9 pt,Schriftart: 10 pt,Schriftart: 8 pt,WB-Fußnotentext,fn,Footnotes,Footnote ak,footnote text,FoodNote,ft,Footnote text,Footnote Text Char1,Footnote Text Char Char,Footnote Text Char1 Char Cha,ftx,Ch,f"/>
    <w:basedOn w:val="Note"/>
    <w:link w:val="FootnoteTextChar"/>
    <w:uiPriority w:val="99"/>
    <w:qFormat/>
    <w:rsid w:val="009A64BD"/>
    <w:pPr>
      <w:keepLines/>
      <w:tabs>
        <w:tab w:val="left" w:pos="255"/>
      </w:tabs>
      <w:ind w:left="255" w:hanging="255"/>
    </w:pPr>
  </w:style>
  <w:style w:type="paragraph" w:customStyle="1" w:styleId="Note">
    <w:name w:val="Note"/>
    <w:basedOn w:val="Normal"/>
    <w:rsid w:val="009A64BD"/>
    <w:pPr>
      <w:tabs>
        <w:tab w:val="left" w:pos="794"/>
        <w:tab w:val="left" w:pos="1191"/>
        <w:tab w:val="left" w:pos="1588"/>
        <w:tab w:val="left" w:pos="1985"/>
      </w:tabs>
      <w:overflowPunct w:val="0"/>
      <w:autoSpaceDE w:val="0"/>
      <w:autoSpaceDN w:val="0"/>
      <w:adjustRightInd w:val="0"/>
      <w:spacing w:before="80"/>
      <w:jc w:val="both"/>
      <w:textAlignment w:val="baseline"/>
    </w:pPr>
    <w:rPr>
      <w:rFonts w:eastAsia="Malgun Gothic"/>
      <w:sz w:val="22"/>
      <w:szCs w:val="20"/>
      <w:lang w:val="en-GB" w:eastAsia="en-US"/>
    </w:rPr>
  </w:style>
  <w:style w:type="paragraph" w:customStyle="1" w:styleId="enumlev1">
    <w:name w:val="enumlev1"/>
    <w:basedOn w:val="Normal"/>
    <w:link w:val="enumlev1Char"/>
    <w:rsid w:val="009A64BD"/>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Malgun Gothic"/>
      <w:szCs w:val="20"/>
      <w:lang w:val="en-GB" w:eastAsia="en-US"/>
    </w:r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left" w:pos="794"/>
        <w:tab w:val="center" w:pos="4820"/>
        <w:tab w:val="right" w:pos="9639"/>
      </w:tabs>
      <w:overflowPunct w:val="0"/>
      <w:autoSpaceDE w:val="0"/>
      <w:autoSpaceDN w:val="0"/>
      <w:adjustRightInd w:val="0"/>
      <w:spacing w:before="120"/>
      <w:jc w:val="both"/>
      <w:textAlignment w:val="baseline"/>
    </w:pPr>
    <w:rPr>
      <w:rFonts w:eastAsia="Malgun Gothic"/>
      <w:szCs w:val="20"/>
      <w:lang w:val="en-GB" w:eastAsia="en-US"/>
    </w:rPr>
  </w:style>
  <w:style w:type="paragraph" w:customStyle="1" w:styleId="toc0">
    <w:name w:val="toc 0"/>
    <w:basedOn w:val="Normal"/>
    <w:next w:val="TOC1"/>
    <w:rsid w:val="009A64BD"/>
    <w:pPr>
      <w:keepLines/>
      <w:tabs>
        <w:tab w:val="right" w:pos="9639"/>
      </w:tabs>
      <w:overflowPunct w:val="0"/>
      <w:autoSpaceDE w:val="0"/>
      <w:autoSpaceDN w:val="0"/>
      <w:adjustRightInd w:val="0"/>
      <w:spacing w:before="120"/>
      <w:jc w:val="both"/>
      <w:textAlignment w:val="baseline"/>
    </w:pPr>
    <w:rPr>
      <w:rFonts w:eastAsia="Malgun Gothic"/>
      <w:b/>
      <w:szCs w:val="20"/>
      <w:lang w:val="en-GB" w:eastAsia="en-US"/>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uiPriority w:val="39"/>
    <w:rsid w:val="009A64BD"/>
  </w:style>
  <w:style w:type="paragraph" w:customStyle="1" w:styleId="Chaptitle">
    <w:name w:val="Chap_title"/>
    <w:basedOn w:val="Normal"/>
    <w:next w:val="Normalaftertitle"/>
    <w:rsid w:val="009A64BD"/>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algun Gothic"/>
      <w:b/>
      <w:sz w:val="28"/>
      <w:szCs w:val="20"/>
      <w:lang w:val="en-GB" w:eastAsia="en-US"/>
    </w:rPr>
  </w:style>
  <w:style w:type="character" w:styleId="PageNumber">
    <w:name w:val="page number"/>
    <w:basedOn w:val="DefaultParagraphFont"/>
    <w:rsid w:val="009A64BD"/>
  </w:style>
  <w:style w:type="paragraph" w:styleId="Index1">
    <w:name w:val="index 1"/>
    <w:basedOn w:val="Normal"/>
    <w:next w:val="Normal"/>
    <w:semiHidden/>
    <w:rsid w:val="009A64BD"/>
    <w:pPr>
      <w:tabs>
        <w:tab w:val="left" w:pos="794"/>
        <w:tab w:val="left" w:pos="1191"/>
        <w:tab w:val="left" w:pos="1588"/>
        <w:tab w:val="left" w:pos="1985"/>
      </w:tabs>
      <w:overflowPunct w:val="0"/>
      <w:autoSpaceDE w:val="0"/>
      <w:autoSpaceDN w:val="0"/>
      <w:adjustRightInd w:val="0"/>
      <w:spacing w:before="120"/>
      <w:jc w:val="both"/>
      <w:textAlignment w:val="baseline"/>
    </w:pPr>
    <w:rPr>
      <w:rFonts w:eastAsia="Malgun Gothic"/>
      <w:szCs w:val="20"/>
      <w:lang w:val="en-GB" w:eastAsia="en-US"/>
    </w:rPr>
  </w:style>
  <w:style w:type="paragraph" w:customStyle="1" w:styleId="AnnexNoTitle">
    <w:name w:val="Annex_NoTitle"/>
    <w:basedOn w:val="Normal"/>
    <w:next w:val="Normalaftertitle"/>
    <w:rsid w:val="00E503F8"/>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Malgun Gothic"/>
      <w:b/>
      <w:sz w:val="28"/>
      <w:szCs w:val="20"/>
      <w:lang w:val="en-GB" w:eastAsia="en-US"/>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rsid w:val="009A64BD"/>
    <w:rPr>
      <w:sz w:val="16"/>
      <w:szCs w:val="16"/>
    </w:rPr>
  </w:style>
  <w:style w:type="paragraph" w:customStyle="1" w:styleId="Reftitle">
    <w:name w:val="Ref_title"/>
    <w:basedOn w:val="Normal"/>
    <w:next w:val="Reftext"/>
    <w:rsid w:val="009A64BD"/>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algun Gothic"/>
      <w:b/>
      <w:szCs w:val="20"/>
      <w:lang w:val="en-GB" w:eastAsia="en-US"/>
    </w:rPr>
  </w:style>
  <w:style w:type="paragraph" w:customStyle="1" w:styleId="ArtNo">
    <w:name w:val="Art_No"/>
    <w:basedOn w:val="Normal"/>
    <w:next w:val="Arttitle"/>
    <w:rsid w:val="009A64B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algun Gothic"/>
      <w:caps/>
      <w:sz w:val="28"/>
      <w:szCs w:val="20"/>
      <w:lang w:val="en-GB" w:eastAsia="en-US"/>
    </w:rPr>
  </w:style>
  <w:style w:type="paragraph" w:customStyle="1" w:styleId="Arttitle">
    <w:name w:val="Art_title"/>
    <w:basedOn w:val="Normal"/>
    <w:next w:val="Normalaftertitle"/>
    <w:rsid w:val="009A64BD"/>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algun Gothic"/>
      <w:b/>
      <w:sz w:val="28"/>
      <w:szCs w:val="20"/>
      <w:lang w:val="en-GB" w:eastAsia="en-US"/>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pPr>
    <w:rPr>
      <w:rFonts w:eastAsia="Malgun Gothic"/>
      <w:i/>
      <w:szCs w:val="20"/>
      <w:lang w:val="en-GB" w:eastAsia="en-US"/>
    </w:rPr>
  </w:style>
  <w:style w:type="paragraph" w:customStyle="1" w:styleId="ChapNo">
    <w:name w:val="Chap_No"/>
    <w:basedOn w:val="Normal"/>
    <w:next w:val="Chaptitle"/>
    <w:rsid w:val="009A64B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algun Gothic"/>
      <w:b/>
      <w:caps/>
      <w:sz w:val="28"/>
      <w:szCs w:val="20"/>
      <w:lang w:val="en-GB" w:eastAsia="en-US"/>
    </w:rPr>
  </w:style>
  <w:style w:type="paragraph" w:customStyle="1" w:styleId="Equationlegend">
    <w:name w:val="Equation_legend"/>
    <w:basedOn w:val="Normal"/>
    <w:rsid w:val="009A64BD"/>
    <w:pPr>
      <w:tabs>
        <w:tab w:val="right" w:pos="1814"/>
        <w:tab w:val="left" w:pos="1985"/>
      </w:tabs>
      <w:overflowPunct w:val="0"/>
      <w:autoSpaceDE w:val="0"/>
      <w:autoSpaceDN w:val="0"/>
      <w:adjustRightInd w:val="0"/>
      <w:spacing w:before="80"/>
      <w:ind w:left="1985" w:hanging="1985"/>
      <w:jc w:val="both"/>
      <w:textAlignment w:val="baseline"/>
    </w:pPr>
    <w:rPr>
      <w:rFonts w:eastAsia="Malgun Gothic"/>
      <w:szCs w:val="20"/>
      <w:lang w:val="en-GB" w:eastAsia="en-US"/>
    </w:rPr>
  </w:style>
  <w:style w:type="paragraph" w:customStyle="1" w:styleId="Figurelegend">
    <w:name w:val="Figure_legend"/>
    <w:basedOn w:val="Normal"/>
    <w:rsid w:val="009A64BD"/>
    <w:pPr>
      <w:keepNext/>
      <w:keepLines/>
      <w:overflowPunct w:val="0"/>
      <w:autoSpaceDE w:val="0"/>
      <w:autoSpaceDN w:val="0"/>
      <w:adjustRightInd w:val="0"/>
      <w:spacing w:before="20" w:after="20"/>
      <w:jc w:val="both"/>
      <w:textAlignment w:val="baseline"/>
    </w:pPr>
    <w:rPr>
      <w:rFonts w:eastAsia="Malgun Gothic"/>
      <w:sz w:val="18"/>
      <w:szCs w:val="20"/>
      <w:lang w:val="en-GB" w:eastAsia="en-US"/>
    </w:rPr>
  </w:style>
  <w:style w:type="paragraph" w:customStyle="1" w:styleId="Figure">
    <w:name w:val="Figure"/>
    <w:basedOn w:val="Normal"/>
    <w:next w:val="FigureNoTitle"/>
    <w:rsid w:val="009A64B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algun Gothic"/>
      <w:szCs w:val="20"/>
      <w:lang w:val="en-GB" w:eastAsia="en-US"/>
    </w:rPr>
  </w:style>
  <w:style w:type="paragraph" w:customStyle="1" w:styleId="FigureNoTitle">
    <w:name w:val="Figure_NoTitle"/>
    <w:basedOn w:val="Normal"/>
    <w:next w:val="Normalaftertitle"/>
    <w:rsid w:val="009A64B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algun Gothic"/>
      <w:b/>
      <w:szCs w:val="20"/>
      <w:lang w:val="en-GB" w:eastAsia="en-US"/>
    </w:rPr>
  </w:style>
  <w:style w:type="paragraph" w:customStyle="1" w:styleId="Figurewithouttitle">
    <w:name w:val="Figure_without_title"/>
    <w:basedOn w:val="Normal"/>
    <w:next w:val="Normalaftertitle"/>
    <w:rsid w:val="009A64B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algun Gothic"/>
      <w:szCs w:val="20"/>
      <w:lang w:val="en-GB" w:eastAsia="en-US"/>
    </w:rPr>
  </w:style>
  <w:style w:type="paragraph" w:customStyle="1" w:styleId="FooterQP">
    <w:name w:val="Footer_QP"/>
    <w:basedOn w:val="Normal"/>
    <w:rsid w:val="009A64BD"/>
    <w:pPr>
      <w:tabs>
        <w:tab w:val="left" w:pos="907"/>
        <w:tab w:val="right" w:pos="8789"/>
        <w:tab w:val="right" w:pos="9639"/>
      </w:tabs>
      <w:overflowPunct w:val="0"/>
      <w:autoSpaceDE w:val="0"/>
      <w:autoSpaceDN w:val="0"/>
      <w:adjustRightInd w:val="0"/>
      <w:jc w:val="both"/>
      <w:textAlignment w:val="baseline"/>
    </w:pPr>
    <w:rPr>
      <w:rFonts w:eastAsia="Malgun Gothic"/>
      <w:b/>
      <w:sz w:val="22"/>
      <w:szCs w:val="20"/>
      <w:lang w:val="en-GB" w:eastAsia="en-US"/>
    </w:rPr>
  </w:style>
  <w:style w:type="paragraph" w:customStyle="1" w:styleId="FirstFooter">
    <w:name w:val="FirstFooter"/>
    <w:basedOn w:val="Footer"/>
    <w:rsid w:val="009A64BD"/>
    <w:pPr>
      <w:tabs>
        <w:tab w:val="clear" w:pos="5954"/>
        <w:tab w:val="clear" w:pos="9639"/>
      </w:tabs>
      <w:overflowPunct/>
      <w:autoSpaceDE/>
      <w:autoSpaceDN/>
      <w:adjustRightInd/>
      <w:spacing w:before="40"/>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qFormat/>
    <w:rsid w:val="009A64BD"/>
    <w:pPr>
      <w:keepNext/>
      <w:tabs>
        <w:tab w:val="left" w:pos="794"/>
        <w:tab w:val="left" w:pos="1191"/>
        <w:tab w:val="left" w:pos="1588"/>
        <w:tab w:val="left" w:pos="1985"/>
      </w:tabs>
      <w:overflowPunct w:val="0"/>
      <w:autoSpaceDE w:val="0"/>
      <w:autoSpaceDN w:val="0"/>
      <w:adjustRightInd w:val="0"/>
      <w:spacing w:before="160"/>
      <w:jc w:val="both"/>
      <w:textAlignment w:val="baseline"/>
    </w:pPr>
    <w:rPr>
      <w:rFonts w:eastAsia="Malgun Gothic"/>
      <w:b/>
      <w:szCs w:val="20"/>
      <w:lang w:val="en-GB" w:eastAsia="en-US"/>
    </w:rPr>
  </w:style>
  <w:style w:type="paragraph" w:customStyle="1" w:styleId="Headingi">
    <w:name w:val="Heading_i"/>
    <w:basedOn w:val="Normal"/>
    <w:next w:val="Normal"/>
    <w:rsid w:val="009A64BD"/>
    <w:pPr>
      <w:keepNext/>
      <w:tabs>
        <w:tab w:val="left" w:pos="794"/>
        <w:tab w:val="left" w:pos="1191"/>
        <w:tab w:val="left" w:pos="1588"/>
        <w:tab w:val="left" w:pos="1985"/>
      </w:tabs>
      <w:overflowPunct w:val="0"/>
      <w:autoSpaceDE w:val="0"/>
      <w:autoSpaceDN w:val="0"/>
      <w:adjustRightInd w:val="0"/>
      <w:spacing w:before="160"/>
      <w:jc w:val="both"/>
      <w:textAlignment w:val="baseline"/>
    </w:pPr>
    <w:rPr>
      <w:rFonts w:eastAsia="Malgun Gothic"/>
      <w:i/>
      <w:szCs w:val="20"/>
      <w:lang w:val="en-GB" w:eastAsia="en-US"/>
    </w:rPr>
  </w:style>
  <w:style w:type="paragraph" w:styleId="Index2">
    <w:name w:val="index 2"/>
    <w:basedOn w:val="Normal"/>
    <w:next w:val="Normal"/>
    <w:semiHidden/>
    <w:rsid w:val="009A64BD"/>
    <w:pPr>
      <w:tabs>
        <w:tab w:val="left" w:pos="794"/>
        <w:tab w:val="left" w:pos="1191"/>
        <w:tab w:val="left" w:pos="1588"/>
        <w:tab w:val="left" w:pos="1985"/>
      </w:tabs>
      <w:overflowPunct w:val="0"/>
      <w:autoSpaceDE w:val="0"/>
      <w:autoSpaceDN w:val="0"/>
      <w:adjustRightInd w:val="0"/>
      <w:spacing w:before="120"/>
      <w:ind w:left="284"/>
      <w:jc w:val="both"/>
      <w:textAlignment w:val="baseline"/>
    </w:pPr>
    <w:rPr>
      <w:rFonts w:eastAsia="Malgun Gothic"/>
      <w:szCs w:val="20"/>
      <w:lang w:val="en-GB" w:eastAsia="en-US"/>
    </w:rPr>
  </w:style>
  <w:style w:type="paragraph" w:styleId="Index3">
    <w:name w:val="index 3"/>
    <w:basedOn w:val="Normal"/>
    <w:next w:val="Normal"/>
    <w:semiHidden/>
    <w:rsid w:val="009A64BD"/>
    <w:pPr>
      <w:tabs>
        <w:tab w:val="left" w:pos="794"/>
        <w:tab w:val="left" w:pos="1191"/>
        <w:tab w:val="left" w:pos="1588"/>
        <w:tab w:val="left" w:pos="1985"/>
      </w:tabs>
      <w:overflowPunct w:val="0"/>
      <w:autoSpaceDE w:val="0"/>
      <w:autoSpaceDN w:val="0"/>
      <w:adjustRightInd w:val="0"/>
      <w:spacing w:before="120"/>
      <w:ind w:left="567"/>
      <w:jc w:val="both"/>
      <w:textAlignment w:val="baseline"/>
    </w:pPr>
    <w:rPr>
      <w:rFonts w:eastAsia="Malgun Gothic"/>
      <w:szCs w:val="20"/>
      <w:lang w:val="en-GB" w:eastAsia="en-US"/>
    </w:rPr>
  </w:style>
  <w:style w:type="paragraph" w:customStyle="1" w:styleId="Normalaftertitle">
    <w:name w:val="Normal_after_title"/>
    <w:basedOn w:val="Normal"/>
    <w:next w:val="Normal"/>
    <w:rsid w:val="009A64BD"/>
    <w:pPr>
      <w:tabs>
        <w:tab w:val="left" w:pos="794"/>
        <w:tab w:val="left" w:pos="1191"/>
        <w:tab w:val="left" w:pos="1588"/>
        <w:tab w:val="left" w:pos="1985"/>
      </w:tabs>
      <w:overflowPunct w:val="0"/>
      <w:autoSpaceDE w:val="0"/>
      <w:autoSpaceDN w:val="0"/>
      <w:adjustRightInd w:val="0"/>
      <w:spacing w:before="360"/>
      <w:jc w:val="both"/>
      <w:textAlignment w:val="baseline"/>
    </w:pPr>
    <w:rPr>
      <w:rFonts w:eastAsia="Malgun Gothic"/>
      <w:szCs w:val="20"/>
      <w:lang w:val="en-GB" w:eastAsia="en-US"/>
    </w:rPr>
  </w:style>
  <w:style w:type="paragraph" w:customStyle="1" w:styleId="PartNo">
    <w:name w:val="Part_No"/>
    <w:basedOn w:val="Normal"/>
    <w:next w:val="Partref"/>
    <w:rsid w:val="009A64BD"/>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algun Gothic"/>
      <w:caps/>
      <w:sz w:val="28"/>
      <w:szCs w:val="20"/>
      <w:lang w:val="en-GB" w:eastAsia="en-US"/>
    </w:rPr>
  </w:style>
  <w:style w:type="paragraph" w:customStyle="1" w:styleId="Partref">
    <w:name w:val="Part_ref"/>
    <w:basedOn w:val="Normal"/>
    <w:next w:val="Parttitle"/>
    <w:rsid w:val="009A64BD"/>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Malgun Gothic"/>
      <w:szCs w:val="20"/>
      <w:lang w:val="en-GB" w:eastAsia="en-US"/>
    </w:rPr>
  </w:style>
  <w:style w:type="paragraph" w:customStyle="1" w:styleId="Parttitle">
    <w:name w:val="Part_title"/>
    <w:basedOn w:val="Normal"/>
    <w:next w:val="Normalaftertitle"/>
    <w:rsid w:val="009A64BD"/>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Malgun Gothic"/>
      <w:b/>
      <w:sz w:val="28"/>
      <w:szCs w:val="20"/>
      <w:lang w:val="en-GB" w:eastAsia="en-US"/>
    </w:rPr>
  </w:style>
  <w:style w:type="paragraph" w:customStyle="1" w:styleId="Recdate">
    <w:name w:val="Rec_date"/>
    <w:basedOn w:val="Normal"/>
    <w:next w:val="Normalaftertitle"/>
    <w:rsid w:val="009A64BD"/>
    <w:pPr>
      <w:keepNext/>
      <w:keepLines/>
      <w:overflowPunct w:val="0"/>
      <w:autoSpaceDE w:val="0"/>
      <w:autoSpaceDN w:val="0"/>
      <w:adjustRightInd w:val="0"/>
      <w:spacing w:before="120"/>
      <w:jc w:val="right"/>
      <w:textAlignment w:val="baseline"/>
    </w:pPr>
    <w:rPr>
      <w:rFonts w:eastAsia="Malgun Gothic"/>
      <w:i/>
      <w:sz w:val="22"/>
      <w:szCs w:val="20"/>
      <w:lang w:val="en-GB" w:eastAsia="en-US"/>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tabs>
        <w:tab w:val="left" w:pos="794"/>
        <w:tab w:val="left" w:pos="1191"/>
        <w:tab w:val="left" w:pos="1588"/>
        <w:tab w:val="left" w:pos="1985"/>
      </w:tabs>
      <w:overflowPunct w:val="0"/>
      <w:autoSpaceDE w:val="0"/>
      <w:autoSpaceDN w:val="0"/>
      <w:adjustRightInd w:val="0"/>
      <w:jc w:val="both"/>
      <w:textAlignment w:val="baseline"/>
    </w:pPr>
    <w:rPr>
      <w:rFonts w:eastAsia="Malgun Gothic"/>
      <w:b/>
      <w:sz w:val="28"/>
      <w:szCs w:val="20"/>
      <w:lang w:val="en-GB" w:eastAsia="en-US"/>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overflowPunct w:val="0"/>
      <w:autoSpaceDE w:val="0"/>
      <w:autoSpaceDN w:val="0"/>
      <w:adjustRightInd w:val="0"/>
      <w:spacing w:before="120"/>
      <w:jc w:val="center"/>
      <w:textAlignment w:val="baseline"/>
    </w:pPr>
    <w:rPr>
      <w:rFonts w:eastAsia="Malgun Gothic"/>
      <w:i/>
      <w:szCs w:val="20"/>
      <w:lang w:val="en-GB" w:eastAsia="en-US"/>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Malgun Gothic"/>
      <w:b/>
      <w:sz w:val="28"/>
      <w:szCs w:val="20"/>
      <w:lang w:val="en-GB" w:eastAsia="en-US"/>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tabs>
        <w:tab w:val="left" w:pos="794"/>
        <w:tab w:val="left" w:pos="1191"/>
        <w:tab w:val="left" w:pos="1588"/>
        <w:tab w:val="left" w:pos="1985"/>
      </w:tabs>
      <w:overflowPunct w:val="0"/>
      <w:autoSpaceDE w:val="0"/>
      <w:autoSpaceDN w:val="0"/>
      <w:adjustRightInd w:val="0"/>
      <w:spacing w:before="120"/>
      <w:ind w:left="794" w:hanging="794"/>
      <w:jc w:val="both"/>
      <w:textAlignment w:val="baseline"/>
    </w:pPr>
    <w:rPr>
      <w:rFonts w:eastAsia="Malgun Gothic"/>
      <w:szCs w:val="20"/>
      <w:lang w:val="en-GB" w:eastAsia="en-US"/>
    </w:r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overflowPunct w:val="0"/>
      <w:autoSpaceDE w:val="0"/>
      <w:autoSpaceDN w:val="0"/>
      <w:adjustRightInd w:val="0"/>
      <w:spacing w:before="624"/>
      <w:jc w:val="center"/>
      <w:textAlignment w:val="baseline"/>
    </w:pPr>
    <w:rPr>
      <w:rFonts w:eastAsia="Malgun Gothic"/>
      <w:b/>
      <w:szCs w:val="20"/>
      <w:lang w:val="en-GB" w:eastAsia="en-US"/>
    </w:rPr>
  </w:style>
  <w:style w:type="paragraph" w:customStyle="1" w:styleId="Section2">
    <w:name w:val="Section_2"/>
    <w:basedOn w:val="Normal"/>
    <w:next w:val="Normal"/>
    <w:rsid w:val="009A64BD"/>
    <w:pPr>
      <w:overflowPunct w:val="0"/>
      <w:autoSpaceDE w:val="0"/>
      <w:autoSpaceDN w:val="0"/>
      <w:adjustRightInd w:val="0"/>
      <w:spacing w:before="240"/>
      <w:jc w:val="center"/>
      <w:textAlignment w:val="baseline"/>
    </w:pPr>
    <w:rPr>
      <w:rFonts w:eastAsia="Malgun Gothic"/>
      <w:i/>
      <w:szCs w:val="20"/>
      <w:lang w:val="en-GB" w:eastAsia="en-US"/>
    </w:rPr>
  </w:style>
  <w:style w:type="paragraph" w:customStyle="1" w:styleId="SectionNo">
    <w:name w:val="Section_No"/>
    <w:basedOn w:val="Normal"/>
    <w:next w:val="Sectiontitle"/>
    <w:rsid w:val="009A64BD"/>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algun Gothic"/>
      <w:caps/>
      <w:sz w:val="28"/>
      <w:szCs w:val="20"/>
      <w:lang w:val="en-GB" w:eastAsia="en-US"/>
    </w:rPr>
  </w:style>
  <w:style w:type="paragraph" w:customStyle="1" w:styleId="Sectiontitle">
    <w:name w:val="Section_title"/>
    <w:basedOn w:val="Normal"/>
    <w:next w:val="Normalaftertitle"/>
    <w:rsid w:val="009A64BD"/>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Malgun Gothic"/>
      <w:b/>
      <w:sz w:val="28"/>
      <w:szCs w:val="20"/>
      <w:lang w:val="en-GB" w:eastAsia="en-US"/>
    </w:rPr>
  </w:style>
  <w:style w:type="paragraph" w:customStyle="1" w:styleId="Source">
    <w:name w:val="Source"/>
    <w:basedOn w:val="Normal"/>
    <w:next w:val="Normalaftertitle"/>
    <w:rsid w:val="009A64BD"/>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Malgun Gothic"/>
      <w:b/>
      <w:sz w:val="28"/>
      <w:szCs w:val="20"/>
      <w:lang w:val="en-GB" w:eastAsia="en-US"/>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Malgun Gothic"/>
      <w:b/>
      <w:sz w:val="22"/>
      <w:szCs w:val="20"/>
      <w:lang w:val="en-GB" w:eastAsia="en-US"/>
    </w:rPr>
  </w:style>
  <w:style w:type="paragraph" w:customStyle="1" w:styleId="Tablelegend">
    <w:name w:val="Table_legend"/>
    <w:basedOn w:val="Normal"/>
    <w:rsid w:val="009A64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jc w:val="both"/>
      <w:textAlignment w:val="baseline"/>
    </w:pPr>
    <w:rPr>
      <w:rFonts w:eastAsia="Malgun Gothic"/>
      <w:sz w:val="22"/>
      <w:szCs w:val="20"/>
      <w:lang w:val="en-GB" w:eastAsia="en-US"/>
    </w:rPr>
  </w:style>
  <w:style w:type="paragraph" w:styleId="CommentText">
    <w:name w:val="annotation text"/>
    <w:basedOn w:val="Normal"/>
    <w:link w:val="CommentTextChar1"/>
    <w:rsid w:val="009A64BD"/>
    <w:pPr>
      <w:jc w:val="both"/>
    </w:pPr>
    <w:rPr>
      <w:rFonts w:eastAsia="Malgun Gothic"/>
      <w:sz w:val="20"/>
      <w:szCs w:val="20"/>
      <w:lang w:eastAsia="en-US"/>
    </w:rPr>
  </w:style>
  <w:style w:type="paragraph" w:customStyle="1" w:styleId="Tabletext">
    <w:name w:val="Table_text"/>
    <w:basedOn w:val="Normal"/>
    <w:rsid w:val="009A64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Malgun Gothic"/>
      <w:sz w:val="22"/>
      <w:szCs w:val="20"/>
      <w:lang w:val="en-GB" w:eastAsia="en-US"/>
    </w:rPr>
  </w:style>
  <w:style w:type="paragraph" w:customStyle="1" w:styleId="TableNoTitle">
    <w:name w:val="Table_NoTitle"/>
    <w:basedOn w:val="Normal"/>
    <w:next w:val="Tablehead"/>
    <w:rsid w:val="009A64B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Malgun Gothic"/>
      <w:b/>
      <w:szCs w:val="20"/>
      <w:lang w:val="en-GB" w:eastAsia="en-US"/>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algun Gothic"/>
      <w:b/>
      <w:sz w:val="28"/>
      <w:szCs w:val="20"/>
      <w:lang w:val="en-GB" w:eastAsia="en-US"/>
    </w:rPr>
  </w:style>
  <w:style w:type="character" w:styleId="Hyperlink">
    <w:name w:val="Hyperlink"/>
    <w:basedOn w:val="DefaultParagraphFont"/>
    <w:uiPriority w:val="99"/>
    <w:rsid w:val="009A64BD"/>
    <w:rPr>
      <w:color w:val="0000FF"/>
      <w:u w:val="single"/>
    </w:rPr>
  </w:style>
  <w:style w:type="character" w:customStyle="1" w:styleId="BalloonTextChar1">
    <w:name w:val="Balloon Text Char1"/>
    <w:basedOn w:val="DefaultParagraphFont"/>
    <w:link w:val="BalloonText"/>
    <w:uiPriority w:val="99"/>
    <w:rsid w:val="00A9292D"/>
    <w:rPr>
      <w:rFonts w:ascii="Tahoma" w:hAnsi="Tahoma" w:cs="Tahoma"/>
      <w:sz w:val="16"/>
      <w:szCs w:val="16"/>
      <w:lang w:val="en-GB" w:eastAsia="en-US"/>
    </w:rPr>
  </w:style>
  <w:style w:type="paragraph" w:customStyle="1" w:styleId="AnnexNotitle0">
    <w:name w:val="Annex_No &amp; title"/>
    <w:basedOn w:val="Normal"/>
    <w:next w:val="Normal"/>
    <w:rsid w:val="00AA662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algun Gothic"/>
      <w:b/>
      <w:sz w:val="28"/>
      <w:szCs w:val="20"/>
      <w:lang w:val="en-GB" w:eastAsia="en-US"/>
    </w:rPr>
  </w:style>
  <w:style w:type="paragraph" w:customStyle="1" w:styleId="AppendixNotitle0">
    <w:name w:val="Appendix_No &amp; title"/>
    <w:basedOn w:val="AnnexNotitle0"/>
    <w:next w:val="Normal"/>
    <w:rsid w:val="00AA662C"/>
  </w:style>
  <w:style w:type="character" w:styleId="EndnoteReference">
    <w:name w:val="endnote reference"/>
    <w:rsid w:val="00AA662C"/>
    <w:rPr>
      <w:vertAlign w:val="superscript"/>
    </w:rPr>
  </w:style>
  <w:style w:type="paragraph" w:customStyle="1" w:styleId="FigureNotitle0">
    <w:name w:val="Figure_No &amp; title"/>
    <w:basedOn w:val="Normal"/>
    <w:next w:val="Normal"/>
    <w:qFormat/>
    <w:rsid w:val="00AA662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algun Gothic"/>
      <w:b/>
      <w:szCs w:val="20"/>
      <w:lang w:val="en-GB" w:eastAsia="en-US"/>
    </w:rPr>
  </w:style>
  <w:style w:type="paragraph" w:customStyle="1" w:styleId="FigureNoBR">
    <w:name w:val="Figure_No_BR"/>
    <w:basedOn w:val="Normal"/>
    <w:next w:val="Normal"/>
    <w:rsid w:val="00AA662C"/>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Malgun Gothic"/>
      <w:caps/>
      <w:szCs w:val="20"/>
      <w:lang w:val="en-GB" w:eastAsia="en-US"/>
    </w:rPr>
  </w:style>
  <w:style w:type="paragraph" w:customStyle="1" w:styleId="TabletitleBR">
    <w:name w:val="Table_title_BR"/>
    <w:basedOn w:val="Normal"/>
    <w:next w:val="Normal"/>
    <w:rsid w:val="00AA662C"/>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Malgun Gothic"/>
      <w:b/>
      <w:szCs w:val="20"/>
      <w:lang w:val="en-GB" w:eastAsia="en-US"/>
    </w:rPr>
  </w:style>
  <w:style w:type="paragraph" w:customStyle="1" w:styleId="FiguretitleBR">
    <w:name w:val="Figure_title_BR"/>
    <w:basedOn w:val="TabletitleBR"/>
    <w:next w:val="Normal"/>
    <w:rsid w:val="00AA662C"/>
    <w:pPr>
      <w:keepNext w:val="0"/>
      <w:spacing w:after="480"/>
    </w:pPr>
  </w:style>
  <w:style w:type="paragraph" w:customStyle="1" w:styleId="RecNoBR">
    <w:name w:val="Rec_No_BR"/>
    <w:basedOn w:val="Normal"/>
    <w:next w:val="Normal"/>
    <w:rsid w:val="00AA662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algun Gothic"/>
      <w:caps/>
      <w:sz w:val="28"/>
      <w:szCs w:val="20"/>
      <w:lang w:val="en-GB" w:eastAsia="en-US"/>
    </w:rPr>
  </w:style>
  <w:style w:type="paragraph" w:customStyle="1" w:styleId="QuestionNoBR">
    <w:name w:val="Question_No_BR"/>
    <w:basedOn w:val="RecNoBR"/>
    <w:next w:val="Normal"/>
    <w:rsid w:val="00AA662C"/>
  </w:style>
  <w:style w:type="character" w:customStyle="1" w:styleId="Recdef">
    <w:name w:val="Rec_def"/>
    <w:rsid w:val="00AA662C"/>
    <w:rPr>
      <w:b/>
    </w:rPr>
  </w:style>
  <w:style w:type="paragraph" w:customStyle="1" w:styleId="RepNoBR">
    <w:name w:val="Rep_No_BR"/>
    <w:basedOn w:val="RecNoBR"/>
    <w:next w:val="Normal"/>
    <w:rsid w:val="00AA662C"/>
  </w:style>
  <w:style w:type="paragraph" w:customStyle="1" w:styleId="ResNoBR">
    <w:name w:val="Res_No_BR"/>
    <w:basedOn w:val="RecNoBR"/>
    <w:next w:val="Normal"/>
    <w:rsid w:val="00AA662C"/>
  </w:style>
  <w:style w:type="paragraph" w:customStyle="1" w:styleId="TableNotitle0">
    <w:name w:val="Table_No &amp; title"/>
    <w:basedOn w:val="Normal"/>
    <w:next w:val="Tablehead"/>
    <w:qFormat/>
    <w:rsid w:val="00AA662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Malgun Gothic"/>
      <w:b/>
      <w:szCs w:val="20"/>
      <w:lang w:val="en-GB" w:eastAsia="en-US"/>
    </w:rPr>
  </w:style>
  <w:style w:type="paragraph" w:customStyle="1" w:styleId="TableNoBR">
    <w:name w:val="Table_No_BR"/>
    <w:basedOn w:val="Normal"/>
    <w:next w:val="TabletitleBR"/>
    <w:rsid w:val="00AA662C"/>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Malgun Gothic"/>
      <w:caps/>
      <w:szCs w:val="20"/>
      <w:lang w:val="en-GB" w:eastAsia="en-US"/>
    </w:rPr>
  </w:style>
  <w:style w:type="paragraph" w:customStyle="1" w:styleId="Tableref">
    <w:name w:val="Table_ref"/>
    <w:basedOn w:val="Normal"/>
    <w:next w:val="TabletitleBR"/>
    <w:rsid w:val="00AA662C"/>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eastAsia="Malgun Gothic"/>
      <w:szCs w:val="20"/>
      <w:lang w:val="en-GB" w:eastAsia="en-US"/>
    </w:rPr>
  </w:style>
  <w:style w:type="character" w:customStyle="1" w:styleId="Heading1Char">
    <w:name w:val="Heading 1 Char"/>
    <w:link w:val="Heading1"/>
    <w:uiPriority w:val="9"/>
    <w:locked/>
    <w:rsid w:val="00AA662C"/>
    <w:rPr>
      <w:rFonts w:ascii="Times New Roman" w:hAnsi="Times New Roman"/>
      <w:b/>
      <w:sz w:val="24"/>
      <w:lang w:val="en-GB" w:eastAsia="en-US"/>
    </w:rPr>
  </w:style>
  <w:style w:type="character" w:customStyle="1" w:styleId="Heading2Char">
    <w:name w:val="Heading 2 Char"/>
    <w:link w:val="Heading2"/>
    <w:locked/>
    <w:rsid w:val="00AA662C"/>
    <w:rPr>
      <w:rFonts w:ascii="Times New Roman" w:hAnsi="Times New Roman"/>
      <w:b/>
      <w:sz w:val="24"/>
      <w:lang w:val="en-GB" w:eastAsia="en-US"/>
    </w:rPr>
  </w:style>
  <w:style w:type="table" w:styleId="TableGrid">
    <w:name w:val="Table Grid"/>
    <w:basedOn w:val="TableNormal"/>
    <w:rsid w:val="00AA662C"/>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62C"/>
    <w:pPr>
      <w:widowControl w:val="0"/>
      <w:autoSpaceDE w:val="0"/>
      <w:autoSpaceDN w:val="0"/>
      <w:adjustRightInd w:val="0"/>
    </w:pPr>
    <w:rPr>
      <w:rFonts w:ascii="Wingdings" w:eastAsia="Malgun Gothic" w:hAnsi="Wingdings" w:cs="Wingdings"/>
      <w:color w:val="000000"/>
      <w:sz w:val="24"/>
      <w:szCs w:val="24"/>
      <w:lang w:eastAsia="ja-JP"/>
    </w:rPr>
  </w:style>
  <w:style w:type="character" w:customStyle="1" w:styleId="CommentTextChar">
    <w:name w:val="Comment Text Char"/>
    <w:rsid w:val="00AA662C"/>
    <w:rPr>
      <w:sz w:val="24"/>
      <w:lang w:val="en-GB" w:eastAsia="en-US"/>
    </w:rPr>
  </w:style>
  <w:style w:type="paragraph" w:styleId="CommentSubject">
    <w:name w:val="annotation subject"/>
    <w:basedOn w:val="CommentText"/>
    <w:next w:val="CommentText"/>
    <w:link w:val="CommentSubjectChar"/>
    <w:uiPriority w:val="99"/>
    <w:rsid w:val="00AA662C"/>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TextChar1">
    <w:name w:val="Comment Text Char1"/>
    <w:basedOn w:val="DefaultParagraphFont"/>
    <w:link w:val="CommentText"/>
    <w:uiPriority w:val="99"/>
    <w:rsid w:val="00AA662C"/>
    <w:rPr>
      <w:rFonts w:ascii="Times New Roman" w:hAnsi="Times New Roman"/>
      <w:lang w:eastAsia="en-US"/>
    </w:rPr>
  </w:style>
  <w:style w:type="character" w:customStyle="1" w:styleId="CommentSubjectChar">
    <w:name w:val="Comment Subject Char"/>
    <w:basedOn w:val="CommentTextChar1"/>
    <w:link w:val="CommentSubject"/>
    <w:uiPriority w:val="99"/>
    <w:rsid w:val="00AA662C"/>
    <w:rPr>
      <w:rFonts w:ascii="Times New Roman" w:eastAsia="Malgun Gothic" w:hAnsi="Times New Roman"/>
      <w:b/>
      <w:bCs/>
      <w:sz w:val="24"/>
      <w:lang w:val="en-GB" w:eastAsia="en-US"/>
    </w:rPr>
  </w:style>
  <w:style w:type="paragraph" w:styleId="PlainText">
    <w:name w:val="Plain Text"/>
    <w:basedOn w:val="Normal"/>
    <w:link w:val="PlainTextChar"/>
    <w:uiPriority w:val="99"/>
    <w:unhideWhenUsed/>
    <w:rsid w:val="00AA662C"/>
    <w:pPr>
      <w:widowControl w:val="0"/>
      <w:jc w:val="both"/>
    </w:pPr>
    <w:rPr>
      <w:rFonts w:ascii="MS Gothic" w:eastAsia="MS Gothic" w:hAnsi="Courier New"/>
      <w:kern w:val="2"/>
      <w:sz w:val="20"/>
      <w:szCs w:val="21"/>
      <w:lang w:val="en-GB" w:eastAsia="en-US"/>
    </w:rPr>
  </w:style>
  <w:style w:type="character" w:customStyle="1" w:styleId="PlainTextChar">
    <w:name w:val="Plain Text Char"/>
    <w:basedOn w:val="DefaultParagraphFont"/>
    <w:link w:val="PlainText"/>
    <w:uiPriority w:val="99"/>
    <w:rsid w:val="00AA662C"/>
    <w:rPr>
      <w:rFonts w:ascii="MS Gothic" w:eastAsia="MS Gothic" w:hAnsi="Courier New"/>
      <w:kern w:val="2"/>
      <w:szCs w:val="21"/>
    </w:rPr>
  </w:style>
  <w:style w:type="paragraph" w:customStyle="1" w:styleId="kgkreflist">
    <w:name w:val="kgkreflist"/>
    <w:basedOn w:val="Normal"/>
    <w:rsid w:val="00AA662C"/>
    <w:pPr>
      <w:tabs>
        <w:tab w:val="left" w:pos="794"/>
        <w:tab w:val="left" w:pos="1191"/>
        <w:tab w:val="left" w:pos="1588"/>
        <w:tab w:val="left" w:pos="1985"/>
      </w:tabs>
      <w:overflowPunct w:val="0"/>
      <w:autoSpaceDE w:val="0"/>
      <w:autoSpaceDN w:val="0"/>
      <w:adjustRightInd w:val="0"/>
      <w:spacing w:before="120"/>
      <w:jc w:val="both"/>
      <w:textAlignment w:val="baseline"/>
    </w:pPr>
    <w:rPr>
      <w:rFonts w:eastAsia="Batang"/>
      <w:szCs w:val="20"/>
      <w:lang w:val="en-GB" w:eastAsia="en-US"/>
    </w:rPr>
  </w:style>
  <w:style w:type="paragraph" w:customStyle="1" w:styleId="NormalBlack">
    <w:name w:val="Normal + Black"/>
    <w:basedOn w:val="Normal"/>
    <w:rsid w:val="00AA662C"/>
    <w:pPr>
      <w:jc w:val="both"/>
      <w:outlineLvl w:val="0"/>
    </w:pPr>
    <w:rPr>
      <w:rFonts w:eastAsia="MS Mincho"/>
      <w:lang w:eastAsia="ja-JP"/>
    </w:rPr>
  </w:style>
  <w:style w:type="paragraph" w:styleId="Caption">
    <w:name w:val="caption"/>
    <w:aliases w:val="label,Beschriftung Char1,Beschriftung Char Char1,Beschriftung Ch...,Beschriftung Char2 Char Char1,Beschriftung Char1 Char Char Char,Beschriftung Char Char Char Char Char,label Char Char Char Char Char,Beschriftung Char Char1 Char Char,lab"/>
    <w:basedOn w:val="Normal"/>
    <w:next w:val="Normal"/>
    <w:link w:val="CaptionChar"/>
    <w:qFormat/>
    <w:rsid w:val="00AA662C"/>
    <w:pPr>
      <w:widowControl w:val="0"/>
      <w:jc w:val="both"/>
    </w:pPr>
    <w:rPr>
      <w:rFonts w:ascii="Cambria" w:eastAsia="SimHei" w:hAnsi="Cambria"/>
      <w:kern w:val="2"/>
      <w:sz w:val="20"/>
      <w:szCs w:val="20"/>
      <w:lang w:eastAsia="zh-CN"/>
    </w:rPr>
  </w:style>
  <w:style w:type="paragraph" w:customStyle="1" w:styleId="FreeForm">
    <w:name w:val="Free Form"/>
    <w:rsid w:val="00AA662C"/>
    <w:rPr>
      <w:rFonts w:ascii="Times New Roman" w:eastAsia="ヒラギノ角ゴ Pro W3" w:hAnsi="Times New Roman"/>
      <w:color w:val="000000"/>
    </w:r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rsid w:val="00AA662C"/>
    <w:pPr>
      <w:spacing w:after="200" w:line="276" w:lineRule="auto"/>
      <w:ind w:left="720"/>
      <w:contextualSpacing/>
      <w:jc w:val="both"/>
    </w:pPr>
    <w:rPr>
      <w:rFonts w:ascii="Calibri" w:eastAsia="MS Mincho" w:hAnsi="Calibri" w:cs="Arial"/>
      <w:sz w:val="22"/>
      <w:szCs w:val="22"/>
      <w:lang w:eastAsia="zh-CN"/>
    </w:rPr>
  </w:style>
  <w:style w:type="character" w:customStyle="1" w:styleId="apple-style-span">
    <w:name w:val="apple-style-span"/>
    <w:rsid w:val="00AA662C"/>
    <w:rPr>
      <w:rFonts w:cs="Times New Roman"/>
    </w:rPr>
  </w:style>
  <w:style w:type="character" w:styleId="FollowedHyperlink">
    <w:name w:val="FollowedHyperlink"/>
    <w:uiPriority w:val="99"/>
    <w:rsid w:val="00AA662C"/>
    <w:rPr>
      <w:color w:val="800080"/>
      <w:u w:val="single"/>
    </w:rPr>
  </w:style>
  <w:style w:type="character" w:customStyle="1" w:styleId="hps">
    <w:name w:val="hps"/>
    <w:rsid w:val="00AA662C"/>
  </w:style>
  <w:style w:type="paragraph" w:customStyle="1" w:styleId="Docnumber">
    <w:name w:val="Docnumber"/>
    <w:basedOn w:val="Normal"/>
    <w:link w:val="DocnumberChar"/>
    <w:rsid w:val="00AA662C"/>
    <w:pPr>
      <w:tabs>
        <w:tab w:val="left" w:pos="794"/>
        <w:tab w:val="left" w:pos="1191"/>
        <w:tab w:val="left" w:pos="1588"/>
        <w:tab w:val="left" w:pos="1985"/>
      </w:tabs>
      <w:overflowPunct w:val="0"/>
      <w:autoSpaceDE w:val="0"/>
      <w:autoSpaceDN w:val="0"/>
      <w:adjustRightInd w:val="0"/>
      <w:spacing w:before="120"/>
      <w:jc w:val="right"/>
      <w:textAlignment w:val="baseline"/>
    </w:pPr>
    <w:rPr>
      <w:rFonts w:eastAsia="MS Mincho"/>
      <w:b/>
      <w:bCs/>
      <w:sz w:val="40"/>
      <w:szCs w:val="20"/>
      <w:lang w:val="en-GB" w:eastAsia="en-US"/>
    </w:rPr>
  </w:style>
  <w:style w:type="character" w:customStyle="1" w:styleId="DocnumberChar">
    <w:name w:val="Docnumber Char"/>
    <w:link w:val="Docnumber"/>
    <w:rsid w:val="00AA662C"/>
    <w:rPr>
      <w:rFonts w:ascii="Times New Roman" w:eastAsia="MS Mincho" w:hAnsi="Times New Roman"/>
      <w:b/>
      <w:bCs/>
      <w:sz w:val="40"/>
      <w:lang w:val="en-GB" w:eastAsia="en-US"/>
    </w:rPr>
  </w:style>
  <w:style w:type="paragraph" w:styleId="Revision">
    <w:name w:val="Revision"/>
    <w:hidden/>
    <w:uiPriority w:val="99"/>
    <w:semiHidden/>
    <w:rsid w:val="00AA662C"/>
    <w:rPr>
      <w:rFonts w:ascii="Times New Roman" w:eastAsia="Malgun Gothic" w:hAnsi="Times New Roman"/>
      <w:sz w:val="24"/>
      <w:lang w:val="en-GB" w:eastAsia="en-US"/>
    </w:rPr>
  </w:style>
  <w:style w:type="character" w:customStyle="1" w:styleId="HeaderChar">
    <w:name w:val="Header Char"/>
    <w:aliases w:val="h Char,Header/Footer Char"/>
    <w:link w:val="Header"/>
    <w:uiPriority w:val="99"/>
    <w:rsid w:val="00AA662C"/>
    <w:rPr>
      <w:rFonts w:ascii="Times New Roman" w:hAnsi="Times New Roman"/>
      <w:sz w:val="18"/>
      <w:lang w:val="en-GB" w:eastAsia="en-US"/>
    </w:rPr>
  </w:style>
  <w:style w:type="character" w:customStyle="1" w:styleId="FooterChar">
    <w:name w:val="Footer Char"/>
    <w:basedOn w:val="DefaultParagraphFont"/>
    <w:link w:val="Footer"/>
    <w:uiPriority w:val="99"/>
    <w:rsid w:val="00AA662C"/>
    <w:rPr>
      <w:rFonts w:ascii="Times New Roman" w:hAnsi="Times New Roman"/>
      <w:caps/>
      <w:noProof/>
      <w:sz w:val="16"/>
      <w:lang w:val="en-GB" w:eastAsia="en-US"/>
    </w:rPr>
  </w:style>
  <w:style w:type="numbering" w:customStyle="1" w:styleId="NoList1">
    <w:name w:val="No List1"/>
    <w:next w:val="NoList"/>
    <w:uiPriority w:val="99"/>
    <w:semiHidden/>
    <w:unhideWhenUsed/>
    <w:rsid w:val="00AA662C"/>
  </w:style>
  <w:style w:type="character" w:customStyle="1" w:styleId="Heading3Char">
    <w:name w:val="Heading 3 Char"/>
    <w:basedOn w:val="DefaultParagraphFont"/>
    <w:link w:val="Heading3"/>
    <w:uiPriority w:val="9"/>
    <w:rsid w:val="00AA662C"/>
    <w:rPr>
      <w:rFonts w:ascii="Times New Roman" w:hAnsi="Times New Roman"/>
      <w:b/>
      <w:sz w:val="24"/>
      <w:lang w:val="en-GB" w:eastAsia="en-US"/>
    </w:rPr>
  </w:style>
  <w:style w:type="paragraph" w:styleId="NormalWeb">
    <w:name w:val="Normal (Web)"/>
    <w:basedOn w:val="Normal"/>
    <w:uiPriority w:val="99"/>
    <w:unhideWhenUsed/>
    <w:rsid w:val="00AA662C"/>
    <w:pPr>
      <w:spacing w:before="100" w:beforeAutospacing="1" w:after="100" w:afterAutospacing="1"/>
      <w:jc w:val="both"/>
    </w:pPr>
    <w:rPr>
      <w:lang w:eastAsia="zh-CN"/>
    </w:rPr>
  </w:style>
  <w:style w:type="character" w:customStyle="1" w:styleId="apple-converted-space">
    <w:name w:val="apple-converted-space"/>
    <w:basedOn w:val="DefaultParagraphFont"/>
    <w:rsid w:val="00AA662C"/>
  </w:style>
  <w:style w:type="character" w:styleId="Strong">
    <w:name w:val="Strong"/>
    <w:basedOn w:val="DefaultParagraphFont"/>
    <w:uiPriority w:val="22"/>
    <w:qFormat/>
    <w:rsid w:val="00AA662C"/>
    <w:rPr>
      <w:b/>
      <w:bCs/>
    </w:rPr>
  </w:style>
  <w:style w:type="character" w:styleId="Emphasis">
    <w:name w:val="Emphasis"/>
    <w:basedOn w:val="DefaultParagraphFont"/>
    <w:uiPriority w:val="20"/>
    <w:qFormat/>
    <w:rsid w:val="00AA662C"/>
    <w:rPr>
      <w:i/>
      <w:iCs/>
    </w:r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ListParagraph"/>
    <w:uiPriority w:val="34"/>
    <w:qFormat/>
    <w:rsid w:val="00AA662C"/>
    <w:rPr>
      <w:rFonts w:ascii="Calibri" w:eastAsia="MS Mincho" w:hAnsi="Calibri" w:cs="Arial"/>
      <w:sz w:val="22"/>
      <w:szCs w:val="22"/>
    </w:rPr>
  </w:style>
  <w:style w:type="character" w:customStyle="1" w:styleId="EndnoteTextChar">
    <w:name w:val="Endnote Text Char"/>
    <w:link w:val="EndnoteText"/>
    <w:rsid w:val="00AA662C"/>
    <w:rPr>
      <w:rFonts w:eastAsia="Calibri"/>
      <w:lang w:val="en-AU" w:eastAsia="en-US"/>
    </w:rPr>
  </w:style>
  <w:style w:type="paragraph" w:styleId="EndnoteText">
    <w:name w:val="endnote text"/>
    <w:basedOn w:val="Normal"/>
    <w:link w:val="EndnoteTextChar"/>
    <w:rsid w:val="00AA662C"/>
    <w:pPr>
      <w:tabs>
        <w:tab w:val="left" w:pos="794"/>
        <w:tab w:val="left" w:pos="1191"/>
        <w:tab w:val="left" w:pos="1588"/>
        <w:tab w:val="left" w:pos="1985"/>
      </w:tabs>
      <w:overflowPunct w:val="0"/>
      <w:autoSpaceDE w:val="0"/>
      <w:autoSpaceDN w:val="0"/>
      <w:adjustRightInd w:val="0"/>
      <w:spacing w:before="120"/>
      <w:jc w:val="both"/>
      <w:textAlignment w:val="baseline"/>
    </w:pPr>
    <w:rPr>
      <w:rFonts w:ascii="CG Times" w:eastAsia="Calibri" w:hAnsi="CG Times"/>
      <w:sz w:val="20"/>
      <w:szCs w:val="20"/>
      <w:lang w:val="en-AU" w:eastAsia="en-US"/>
    </w:rPr>
  </w:style>
  <w:style w:type="character" w:customStyle="1" w:styleId="EndnoteTextChar1">
    <w:name w:val="Endnote Text Char1"/>
    <w:basedOn w:val="DefaultParagraphFont"/>
    <w:uiPriority w:val="99"/>
    <w:semiHidden/>
    <w:rsid w:val="00AA662C"/>
    <w:rPr>
      <w:rFonts w:ascii="Times New Roman" w:eastAsia="Malgun Gothic" w:hAnsi="Times New Roman"/>
      <w:lang w:val="en-GB" w:eastAsia="en-US"/>
    </w:rPr>
  </w:style>
  <w:style w:type="paragraph" w:styleId="TOCHeading">
    <w:name w:val="TOC Heading"/>
    <w:basedOn w:val="Heading1"/>
    <w:next w:val="Normal"/>
    <w:uiPriority w:val="39"/>
    <w:unhideWhenUsed/>
    <w:qFormat/>
    <w:rsid w:val="00AA662C"/>
    <w:pPr>
      <w:tabs>
        <w:tab w:val="clear" w:pos="794"/>
        <w:tab w:val="clear" w:pos="1191"/>
        <w:tab w:val="clear" w:pos="1588"/>
        <w:tab w:val="clear" w:pos="1985"/>
        <w:tab w:val="num" w:pos="432"/>
      </w:tabs>
      <w:overflowPunct/>
      <w:autoSpaceDE/>
      <w:autoSpaceDN/>
      <w:adjustRightInd/>
      <w:spacing w:before="480" w:line="276" w:lineRule="auto"/>
      <w:ind w:left="432" w:hanging="432"/>
      <w:textAlignment w:val="auto"/>
      <w:outlineLvl w:val="9"/>
    </w:pPr>
    <w:rPr>
      <w:rFonts w:ascii="Cambria" w:eastAsia="SimSun" w:hAnsi="Cambria"/>
      <w:bCs/>
      <w:color w:val="365F91"/>
      <w:sz w:val="28"/>
      <w:szCs w:val="28"/>
      <w:lang w:val="en-US"/>
    </w:rPr>
  </w:style>
  <w:style w:type="table" w:customStyle="1" w:styleId="TableGrid1">
    <w:name w:val="Table Grid1"/>
    <w:basedOn w:val="TableNormal"/>
    <w:next w:val="TableGrid"/>
    <w:uiPriority w:val="59"/>
    <w:rsid w:val="00AA662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Char,Schriftart: 9 pt Char,Schriftart: 10 pt Char,Schriftart: 8 pt Char,WB-Fußnotentext Char,fn Char,Footnotes Char,Footnote ak Char,footnote text Char,FoodNote Char,ft Char,Footnote text Char,Footnote Text Char1 Char,Ch Char"/>
    <w:basedOn w:val="DefaultParagraphFont"/>
    <w:link w:val="FootnoteText"/>
    <w:uiPriority w:val="99"/>
    <w:qFormat/>
    <w:rsid w:val="00AA662C"/>
    <w:rPr>
      <w:rFonts w:ascii="Times New Roman" w:hAnsi="Times New Roman"/>
      <w:sz w:val="22"/>
      <w:lang w:val="en-GB" w:eastAsia="en-US"/>
    </w:rPr>
  </w:style>
  <w:style w:type="character" w:customStyle="1" w:styleId="Heading4Char">
    <w:name w:val="Heading 4 Char"/>
    <w:basedOn w:val="DefaultParagraphFont"/>
    <w:link w:val="Heading4"/>
    <w:uiPriority w:val="9"/>
    <w:rsid w:val="00AA662C"/>
    <w:rPr>
      <w:rFonts w:ascii="Times New Roman" w:hAnsi="Times New Roman"/>
      <w:b/>
      <w:sz w:val="24"/>
      <w:lang w:val="en-GB" w:eastAsia="en-US"/>
    </w:rPr>
  </w:style>
  <w:style w:type="character" w:customStyle="1" w:styleId="Heading5Char">
    <w:name w:val="Heading 5 Char"/>
    <w:basedOn w:val="DefaultParagraphFont"/>
    <w:link w:val="Heading5"/>
    <w:uiPriority w:val="9"/>
    <w:rsid w:val="00AA662C"/>
    <w:rPr>
      <w:rFonts w:ascii="Times New Roman" w:hAnsi="Times New Roman"/>
      <w:b/>
      <w:sz w:val="24"/>
      <w:lang w:val="en-GB" w:eastAsia="en-US"/>
    </w:rPr>
  </w:style>
  <w:style w:type="character" w:customStyle="1" w:styleId="Heading6Char">
    <w:name w:val="Heading 6 Char"/>
    <w:basedOn w:val="DefaultParagraphFont"/>
    <w:link w:val="Heading6"/>
    <w:uiPriority w:val="9"/>
    <w:rsid w:val="00AA662C"/>
    <w:rPr>
      <w:rFonts w:ascii="Times New Roman" w:hAnsi="Times New Roman"/>
      <w:b/>
      <w:sz w:val="24"/>
      <w:lang w:val="en-GB" w:eastAsia="en-US"/>
    </w:rPr>
  </w:style>
  <w:style w:type="character" w:customStyle="1" w:styleId="Heading7Char">
    <w:name w:val="Heading 7 Char"/>
    <w:basedOn w:val="DefaultParagraphFont"/>
    <w:link w:val="Heading7"/>
    <w:uiPriority w:val="9"/>
    <w:rsid w:val="00AA662C"/>
    <w:rPr>
      <w:rFonts w:ascii="Times New Roman" w:hAnsi="Times New Roman"/>
      <w:b/>
      <w:sz w:val="24"/>
      <w:lang w:val="en-GB" w:eastAsia="en-US"/>
    </w:rPr>
  </w:style>
  <w:style w:type="character" w:customStyle="1" w:styleId="Heading8Char">
    <w:name w:val="Heading 8 Char"/>
    <w:basedOn w:val="DefaultParagraphFont"/>
    <w:link w:val="Heading8"/>
    <w:uiPriority w:val="9"/>
    <w:rsid w:val="00AA662C"/>
    <w:rPr>
      <w:rFonts w:ascii="Times New Roman" w:hAnsi="Times New Roman"/>
      <w:b/>
      <w:sz w:val="24"/>
      <w:lang w:val="en-GB" w:eastAsia="en-US"/>
    </w:rPr>
  </w:style>
  <w:style w:type="character" w:customStyle="1" w:styleId="Heading9Char">
    <w:name w:val="Heading 9 Char"/>
    <w:basedOn w:val="DefaultParagraphFont"/>
    <w:link w:val="Heading9"/>
    <w:uiPriority w:val="9"/>
    <w:rsid w:val="00AA662C"/>
    <w:rPr>
      <w:rFonts w:ascii="Times New Roman" w:hAnsi="Times New Roman"/>
      <w:b/>
      <w:sz w:val="24"/>
      <w:lang w:val="en-GB" w:eastAsia="en-US"/>
    </w:rPr>
  </w:style>
  <w:style w:type="paragraph" w:customStyle="1" w:styleId="Quote1">
    <w:name w:val="Quote1"/>
    <w:basedOn w:val="Normal"/>
    <w:next w:val="Normal"/>
    <w:uiPriority w:val="29"/>
    <w:qFormat/>
    <w:rsid w:val="00AA662C"/>
    <w:pPr>
      <w:spacing w:after="200" w:line="276" w:lineRule="auto"/>
      <w:jc w:val="both"/>
    </w:pPr>
    <w:rPr>
      <w:rFonts w:ascii="Calibri" w:eastAsia="SimSun" w:hAnsi="Calibri" w:cs="Arial"/>
      <w:i/>
      <w:iCs/>
      <w:color w:val="000000"/>
      <w:sz w:val="22"/>
      <w:szCs w:val="22"/>
      <w:lang w:eastAsia="zh-CN"/>
    </w:rPr>
  </w:style>
  <w:style w:type="character" w:customStyle="1" w:styleId="QuoteChar">
    <w:name w:val="Quote Char"/>
    <w:basedOn w:val="DefaultParagraphFont"/>
    <w:link w:val="Quote"/>
    <w:uiPriority w:val="29"/>
    <w:rsid w:val="00AA662C"/>
    <w:rPr>
      <w:i/>
      <w:iCs/>
      <w:color w:val="000000"/>
    </w:rPr>
  </w:style>
  <w:style w:type="table" w:customStyle="1" w:styleId="LightShading-Accent11">
    <w:name w:val="Light Shading - Accent 11"/>
    <w:basedOn w:val="TableNormal"/>
    <w:uiPriority w:val="60"/>
    <w:rsid w:val="00AA662C"/>
    <w:rPr>
      <w:rFonts w:ascii="Calibri" w:eastAsia="Calibri" w:hAnsi="Calibri" w:cs="Arial"/>
      <w:color w:val="365F91"/>
      <w:sz w:val="22"/>
      <w:szCs w:val="22"/>
      <w:lang w:val="en-GB"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
    <w:name w:val="Body"/>
    <w:rsid w:val="00AA662C"/>
    <w:pPr>
      <w:spacing w:after="120"/>
    </w:pPr>
    <w:rPr>
      <w:rFonts w:ascii="Calibri" w:eastAsia="Calibri" w:hAnsi="Calibri" w:cs="Calibri"/>
      <w:color w:val="000000"/>
      <w:sz w:val="24"/>
      <w:szCs w:val="24"/>
      <w:u w:color="000000"/>
    </w:rPr>
  </w:style>
  <w:style w:type="paragraph" w:styleId="Quote">
    <w:name w:val="Quote"/>
    <w:basedOn w:val="Normal"/>
    <w:next w:val="Normal"/>
    <w:link w:val="QuoteChar"/>
    <w:uiPriority w:val="29"/>
    <w:qFormat/>
    <w:rsid w:val="00AA662C"/>
    <w:pPr>
      <w:tabs>
        <w:tab w:val="left" w:pos="794"/>
        <w:tab w:val="left" w:pos="1191"/>
        <w:tab w:val="left" w:pos="1588"/>
        <w:tab w:val="left" w:pos="1985"/>
      </w:tabs>
      <w:overflowPunct w:val="0"/>
      <w:autoSpaceDE w:val="0"/>
      <w:autoSpaceDN w:val="0"/>
      <w:adjustRightInd w:val="0"/>
      <w:spacing w:before="200" w:after="160"/>
      <w:ind w:left="864" w:right="864"/>
      <w:jc w:val="center"/>
      <w:textAlignment w:val="baseline"/>
    </w:pPr>
    <w:rPr>
      <w:rFonts w:ascii="CG Times" w:hAnsi="CG Times"/>
      <w:i/>
      <w:iCs/>
      <w:color w:val="000000"/>
      <w:sz w:val="20"/>
      <w:szCs w:val="20"/>
      <w:lang w:eastAsia="zh-CN"/>
    </w:rPr>
  </w:style>
  <w:style w:type="character" w:customStyle="1" w:styleId="QuoteChar1">
    <w:name w:val="Quote Char1"/>
    <w:basedOn w:val="DefaultParagraphFont"/>
    <w:uiPriority w:val="29"/>
    <w:rsid w:val="00AA662C"/>
    <w:rPr>
      <w:rFonts w:ascii="Times New Roman" w:eastAsia="Malgun Gothic" w:hAnsi="Times New Roman"/>
      <w:i/>
      <w:iCs/>
      <w:color w:val="404040" w:themeColor="text1" w:themeTint="BF"/>
      <w:sz w:val="24"/>
      <w:lang w:val="en-GB" w:eastAsia="en-US"/>
    </w:rPr>
  </w:style>
  <w:style w:type="character" w:customStyle="1" w:styleId="href">
    <w:name w:val="href"/>
    <w:basedOn w:val="DefaultParagraphFont"/>
    <w:rsid w:val="004C084A"/>
  </w:style>
  <w:style w:type="paragraph" w:customStyle="1" w:styleId="HeadingTR1">
    <w:name w:val="Heading TR 1"/>
    <w:basedOn w:val="Heading1"/>
    <w:link w:val="HeadingTR1Char"/>
    <w:qFormat/>
    <w:rsid w:val="00C864F3"/>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sid w:val="00DC345E"/>
    <w:rPr>
      <w:sz w:val="32"/>
      <w:szCs w:val="32"/>
    </w:rPr>
  </w:style>
  <w:style w:type="character" w:customStyle="1" w:styleId="HeadingTR1Char">
    <w:name w:val="Heading TR 1 Char"/>
    <w:basedOn w:val="Heading1Char"/>
    <w:link w:val="HeadingTR1"/>
    <w:rsid w:val="00C864F3"/>
    <w:rPr>
      <w:rFonts w:ascii="Times New Roman" w:eastAsia="Malgun Gothic" w:hAnsi="Times New Roman"/>
      <w:b/>
      <w:i/>
      <w:iCs/>
      <w:sz w:val="40"/>
      <w:szCs w:val="40"/>
      <w:u w:val="single"/>
      <w:lang w:val="en-GB" w:eastAsia="en-US"/>
    </w:rPr>
  </w:style>
  <w:style w:type="paragraph" w:customStyle="1" w:styleId="enumlev1TR">
    <w:name w:val="enumlev1 TR"/>
    <w:basedOn w:val="enumlev1"/>
    <w:link w:val="enumlev1TRChar"/>
    <w:qFormat/>
    <w:rsid w:val="00D70CB8"/>
    <w:pPr>
      <w:numPr>
        <w:numId w:val="2"/>
      </w:numPr>
    </w:pPr>
    <w:rPr>
      <w:lang w:val="fr-CH" w:eastAsia="zh-CN"/>
    </w:rPr>
  </w:style>
  <w:style w:type="character" w:customStyle="1" w:styleId="HeadingTR2Char">
    <w:name w:val="Heading TR 2 Char"/>
    <w:basedOn w:val="Heading2Char"/>
    <w:link w:val="HeadingTR2"/>
    <w:rsid w:val="00DC345E"/>
    <w:rPr>
      <w:rFonts w:ascii="Times New Roman" w:eastAsia="Malgun Gothic" w:hAnsi="Times New Roman"/>
      <w:b/>
      <w:sz w:val="32"/>
      <w:szCs w:val="32"/>
      <w:lang w:val="en-GB" w:eastAsia="en-US"/>
    </w:rPr>
  </w:style>
  <w:style w:type="character" w:customStyle="1" w:styleId="enumlev1Char">
    <w:name w:val="enumlev1 Char"/>
    <w:basedOn w:val="DefaultParagraphFont"/>
    <w:link w:val="enumlev1"/>
    <w:rsid w:val="00D70CB8"/>
    <w:rPr>
      <w:rFonts w:ascii="Times New Roman" w:eastAsia="Malgun Gothic" w:hAnsi="Times New Roman"/>
      <w:sz w:val="24"/>
      <w:lang w:val="en-GB" w:eastAsia="en-US"/>
    </w:rPr>
  </w:style>
  <w:style w:type="character" w:customStyle="1" w:styleId="enumlev1TRChar">
    <w:name w:val="enumlev1 TR Char"/>
    <w:basedOn w:val="enumlev1Char"/>
    <w:link w:val="enumlev1TR"/>
    <w:rsid w:val="00D70CB8"/>
    <w:rPr>
      <w:rFonts w:ascii="Times New Roman" w:eastAsia="Malgun Gothic" w:hAnsi="Times New Roman"/>
      <w:sz w:val="24"/>
      <w:lang w:val="fr-CH" w:eastAsia="en-US"/>
    </w:rPr>
  </w:style>
  <w:style w:type="paragraph" w:customStyle="1" w:styleId="Pa22">
    <w:name w:val="Pa22"/>
    <w:basedOn w:val="Default"/>
    <w:next w:val="Default"/>
    <w:uiPriority w:val="99"/>
    <w:rsid w:val="00D7320C"/>
    <w:pPr>
      <w:widowControl/>
      <w:spacing w:line="181" w:lineRule="atLeast"/>
    </w:pPr>
    <w:rPr>
      <w:rFonts w:ascii="Trebuchet MS" w:eastAsiaTheme="minorHAnsi" w:hAnsi="Trebuchet MS" w:cstheme="minorBidi"/>
      <w:color w:val="auto"/>
      <w:lang w:eastAsia="en-US"/>
    </w:rPr>
  </w:style>
  <w:style w:type="character" w:customStyle="1" w:styleId="A15">
    <w:name w:val="A15"/>
    <w:uiPriority w:val="99"/>
    <w:rsid w:val="00D7320C"/>
    <w:rPr>
      <w:rFonts w:cs="Trebuchet MS"/>
      <w:color w:val="0077C1"/>
      <w:sz w:val="14"/>
      <w:szCs w:val="14"/>
    </w:rPr>
  </w:style>
  <w:style w:type="character" w:customStyle="1" w:styleId="A19">
    <w:name w:val="A19"/>
    <w:uiPriority w:val="99"/>
    <w:rsid w:val="00D7320C"/>
    <w:rPr>
      <w:rFonts w:cs="Trebuchet MS"/>
      <w:b/>
      <w:bCs/>
      <w:color w:val="0077C1"/>
      <w:sz w:val="10"/>
      <w:szCs w:val="10"/>
    </w:rPr>
  </w:style>
  <w:style w:type="paragraph" w:styleId="NoSpacing">
    <w:name w:val="No Spacing"/>
    <w:link w:val="NoSpacingChar"/>
    <w:uiPriority w:val="1"/>
    <w:qFormat/>
    <w:rsid w:val="00D7320C"/>
    <w:pPr>
      <w:spacing w:beforeAutospacing="1" w:afterAutospacing="1"/>
    </w:pPr>
    <w:rPr>
      <w:rFonts w:asciiTheme="minorHAnsi" w:eastAsiaTheme="minorHAnsi" w:hAnsiTheme="minorHAnsi"/>
      <w:bCs/>
      <w:szCs w:val="24"/>
      <w:lang w:eastAsia="en-US"/>
    </w:rPr>
  </w:style>
  <w:style w:type="paragraph" w:customStyle="1" w:styleId="Pa11">
    <w:name w:val="Pa11"/>
    <w:basedOn w:val="Default"/>
    <w:next w:val="Default"/>
    <w:uiPriority w:val="99"/>
    <w:rsid w:val="00D7320C"/>
    <w:pPr>
      <w:widowControl/>
      <w:spacing w:line="200" w:lineRule="atLeast"/>
    </w:pPr>
    <w:rPr>
      <w:rFonts w:ascii="HWVCCC+Univers-CondensedLight" w:eastAsiaTheme="minorHAnsi" w:hAnsi="HWVCCC+Univers-CondensedLight" w:cstheme="minorBidi"/>
      <w:color w:val="auto"/>
      <w:lang w:eastAsia="en-US"/>
    </w:rPr>
  </w:style>
  <w:style w:type="paragraph" w:styleId="Bibliography">
    <w:name w:val="Bibliography"/>
    <w:basedOn w:val="Normal"/>
    <w:next w:val="Normal"/>
    <w:uiPriority w:val="37"/>
    <w:unhideWhenUsed/>
    <w:rsid w:val="00D7320C"/>
    <w:pPr>
      <w:spacing w:after="120"/>
      <w:ind w:left="540"/>
    </w:pPr>
    <w:rPr>
      <w:rFonts w:asciiTheme="minorHAnsi" w:eastAsiaTheme="minorHAnsi" w:hAnsiTheme="minorHAnsi" w:cstheme="minorBidi"/>
      <w:sz w:val="22"/>
      <w:szCs w:val="22"/>
      <w:lang w:val="en-IN" w:eastAsia="en-IN"/>
    </w:rPr>
  </w:style>
  <w:style w:type="character" w:customStyle="1" w:styleId="NoSpacingChar">
    <w:name w:val="No Spacing Char"/>
    <w:basedOn w:val="DefaultParagraphFont"/>
    <w:link w:val="NoSpacing"/>
    <w:uiPriority w:val="1"/>
    <w:rsid w:val="00D7320C"/>
    <w:rPr>
      <w:rFonts w:asciiTheme="minorHAnsi" w:eastAsiaTheme="minorHAnsi" w:hAnsiTheme="minorHAnsi"/>
      <w:bCs/>
      <w:szCs w:val="24"/>
      <w:lang w:eastAsia="en-US"/>
    </w:rPr>
  </w:style>
  <w:style w:type="character" w:styleId="IntenseEmphasis">
    <w:name w:val="Intense Emphasis"/>
    <w:basedOn w:val="DefaultParagraphFont"/>
    <w:uiPriority w:val="21"/>
    <w:qFormat/>
    <w:rsid w:val="00D7320C"/>
    <w:rPr>
      <w:b/>
      <w:bCs/>
      <w:i/>
      <w:iCs/>
      <w:color w:val="4F81BD" w:themeColor="accent1"/>
    </w:rPr>
  </w:style>
  <w:style w:type="paragraph" w:styleId="DocumentMap">
    <w:name w:val="Document Map"/>
    <w:basedOn w:val="Normal"/>
    <w:link w:val="DocumentMapChar"/>
    <w:uiPriority w:val="99"/>
    <w:semiHidden/>
    <w:unhideWhenUsed/>
    <w:rsid w:val="00D7320C"/>
    <w:pPr>
      <w:spacing w:after="120"/>
      <w:ind w:left="540"/>
    </w:pPr>
    <w:rPr>
      <w:rFonts w:ascii="Tahoma" w:eastAsiaTheme="minorHAnsi" w:hAnsi="Tahoma" w:cs="Tahoma"/>
      <w:sz w:val="16"/>
      <w:szCs w:val="16"/>
      <w:lang w:val="en-IN" w:eastAsia="en-IN"/>
    </w:rPr>
  </w:style>
  <w:style w:type="character" w:customStyle="1" w:styleId="DocumentMapChar">
    <w:name w:val="Document Map Char"/>
    <w:basedOn w:val="DefaultParagraphFont"/>
    <w:link w:val="DocumentMap"/>
    <w:uiPriority w:val="99"/>
    <w:semiHidden/>
    <w:rsid w:val="00D7320C"/>
    <w:rPr>
      <w:rFonts w:ascii="Tahoma" w:eastAsiaTheme="minorHAnsi" w:hAnsi="Tahoma" w:cs="Tahoma"/>
      <w:sz w:val="16"/>
      <w:szCs w:val="16"/>
      <w:lang w:val="en-IN" w:eastAsia="en-IN"/>
    </w:rPr>
  </w:style>
  <w:style w:type="paragraph" w:customStyle="1" w:styleId="Style1">
    <w:name w:val="Style1"/>
    <w:basedOn w:val="Heading1"/>
    <w:link w:val="Style1Char"/>
    <w:autoRedefine/>
    <w:qFormat/>
    <w:rsid w:val="00D7320C"/>
    <w:pPr>
      <w:numPr>
        <w:numId w:val="3"/>
      </w:numPr>
      <w:pBdr>
        <w:bottom w:val="single" w:sz="8" w:space="1" w:color="000000" w:themeColor="text1"/>
      </w:pBdr>
      <w:tabs>
        <w:tab w:val="clear" w:pos="794"/>
        <w:tab w:val="clear" w:pos="1191"/>
        <w:tab w:val="clear" w:pos="1588"/>
        <w:tab w:val="clear" w:pos="1985"/>
      </w:tabs>
      <w:overflowPunct/>
      <w:autoSpaceDE/>
      <w:autoSpaceDN/>
      <w:adjustRightInd/>
      <w:spacing w:before="120" w:after="360" w:line="276" w:lineRule="auto"/>
      <w:jc w:val="left"/>
      <w:textAlignment w:val="auto"/>
    </w:pPr>
    <w:rPr>
      <w:rFonts w:asciiTheme="majorHAnsi" w:eastAsiaTheme="majorEastAsia" w:hAnsiTheme="majorHAnsi" w:cstheme="majorBidi"/>
      <w:bCs/>
      <w:i/>
      <w:color w:val="365F91" w:themeColor="accent1" w:themeShade="BF"/>
      <w:kern w:val="32"/>
      <w:sz w:val="32"/>
      <w:szCs w:val="32"/>
      <w:lang w:val="en-IN" w:eastAsia="en-IN"/>
    </w:rPr>
  </w:style>
  <w:style w:type="character" w:customStyle="1" w:styleId="Style1Char">
    <w:name w:val="Style1 Char"/>
    <w:basedOn w:val="Heading1Char"/>
    <w:link w:val="Style1"/>
    <w:rsid w:val="00D7320C"/>
    <w:rPr>
      <w:rFonts w:asciiTheme="majorHAnsi" w:eastAsiaTheme="majorEastAsia" w:hAnsiTheme="majorHAnsi" w:cstheme="majorBidi"/>
      <w:b/>
      <w:bCs/>
      <w:i/>
      <w:color w:val="365F91" w:themeColor="accent1" w:themeShade="BF"/>
      <w:kern w:val="32"/>
      <w:sz w:val="32"/>
      <w:szCs w:val="32"/>
      <w:lang w:val="en-IN" w:eastAsia="en-IN"/>
    </w:rPr>
  </w:style>
  <w:style w:type="character" w:customStyle="1" w:styleId="cross-head">
    <w:name w:val="cross-head"/>
    <w:basedOn w:val="DefaultParagraphFont"/>
    <w:rsid w:val="00D7320C"/>
  </w:style>
  <w:style w:type="character" w:customStyle="1" w:styleId="ms-rtestyle-tagline">
    <w:name w:val="ms-rtestyle-tagline"/>
    <w:basedOn w:val="DefaultParagraphFont"/>
    <w:rsid w:val="00D7320C"/>
  </w:style>
  <w:style w:type="table" w:customStyle="1" w:styleId="LightList-Accent11">
    <w:name w:val="Light List - Accent 11"/>
    <w:basedOn w:val="TableNormal"/>
    <w:uiPriority w:val="61"/>
    <w:rsid w:val="00D7320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D7320C"/>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3">
    <w:name w:val="Pa3"/>
    <w:basedOn w:val="Default"/>
    <w:next w:val="Default"/>
    <w:uiPriority w:val="99"/>
    <w:rsid w:val="00D7320C"/>
    <w:pPr>
      <w:widowControl/>
      <w:spacing w:line="201" w:lineRule="atLeast"/>
    </w:pPr>
    <w:rPr>
      <w:rFonts w:ascii="Foundry Form Serif" w:eastAsiaTheme="minorHAnsi" w:hAnsi="Foundry Form Serif" w:cstheme="minorBidi"/>
      <w:color w:val="auto"/>
      <w:lang w:eastAsia="en-US"/>
    </w:rPr>
  </w:style>
  <w:style w:type="character" w:customStyle="1" w:styleId="A5">
    <w:name w:val="A5"/>
    <w:uiPriority w:val="99"/>
    <w:rsid w:val="00D7320C"/>
    <w:rPr>
      <w:rFonts w:cs="Foundry Form Serif"/>
      <w:color w:val="211D1E"/>
      <w:sz w:val="12"/>
      <w:szCs w:val="12"/>
    </w:rPr>
  </w:style>
  <w:style w:type="character" w:customStyle="1" w:styleId="A6">
    <w:name w:val="A6"/>
    <w:uiPriority w:val="99"/>
    <w:rsid w:val="00D7320C"/>
    <w:rPr>
      <w:rFonts w:cs="Foundry Form Serif"/>
      <w:color w:val="57585A"/>
      <w:sz w:val="10"/>
      <w:szCs w:val="10"/>
    </w:rPr>
  </w:style>
  <w:style w:type="character" w:styleId="HTMLCite">
    <w:name w:val="HTML Cite"/>
    <w:basedOn w:val="DefaultParagraphFont"/>
    <w:uiPriority w:val="99"/>
    <w:semiHidden/>
    <w:unhideWhenUsed/>
    <w:rsid w:val="00D7320C"/>
    <w:rPr>
      <w:i/>
      <w:iCs/>
    </w:rPr>
  </w:style>
  <w:style w:type="character" w:customStyle="1" w:styleId="rwrro">
    <w:name w:val="rwrro"/>
    <w:basedOn w:val="DefaultParagraphFont"/>
    <w:rsid w:val="00D7320C"/>
  </w:style>
  <w:style w:type="table" w:styleId="LightList-Accent2">
    <w:name w:val="Light List Accent 2"/>
    <w:basedOn w:val="TableNormal"/>
    <w:uiPriority w:val="61"/>
    <w:rsid w:val="00D7320C"/>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googqs-tidbit">
    <w:name w:val="goog_qs-tidbit"/>
    <w:basedOn w:val="DefaultParagraphFont"/>
    <w:rsid w:val="00D7320C"/>
  </w:style>
  <w:style w:type="character" w:customStyle="1" w:styleId="reference-text">
    <w:name w:val="reference-text"/>
    <w:basedOn w:val="DefaultParagraphFont"/>
    <w:rsid w:val="00D7320C"/>
  </w:style>
  <w:style w:type="character" w:customStyle="1" w:styleId="DocnumberCharChar">
    <w:name w:val="Docnumber Char Char"/>
    <w:rsid w:val="00D7320C"/>
    <w:rPr>
      <w:rFonts w:ascii="Times New Roman" w:eastAsia="Batang" w:hAnsi="Times New Roman" w:cs="Times New Roman"/>
      <w:b/>
      <w:bCs/>
      <w:sz w:val="40"/>
      <w:szCs w:val="24"/>
      <w:lang w:eastAsia="ko-KR"/>
    </w:rPr>
  </w:style>
  <w:style w:type="character" w:customStyle="1" w:styleId="Hyperlink1">
    <w:name w:val="Hyperlink1"/>
    <w:rsid w:val="00D7320C"/>
    <w:rPr>
      <w:color w:val="0000FF"/>
      <w:sz w:val="22"/>
      <w:u w:val="single"/>
    </w:rPr>
  </w:style>
  <w:style w:type="character" w:customStyle="1" w:styleId="Hyperlink0">
    <w:name w:val="Hyperlink.0"/>
    <w:basedOn w:val="DefaultParagraphFont"/>
    <w:rsid w:val="00D7320C"/>
    <w:rPr>
      <w:color w:val="0000FF"/>
      <w:u w:val="single" w:color="0000FF"/>
    </w:rPr>
  </w:style>
  <w:style w:type="character" w:customStyle="1" w:styleId="Hyperlink10">
    <w:name w:val="Hyperlink.1"/>
    <w:basedOn w:val="DefaultParagraphFont"/>
    <w:rsid w:val="00D7320C"/>
    <w:rPr>
      <w:color w:val="0000FF"/>
      <w:kern w:val="24"/>
      <w:u w:val="single" w:color="0000FF"/>
      <w:lang w:val="en-US"/>
    </w:rPr>
  </w:style>
  <w:style w:type="character" w:customStyle="1" w:styleId="Hyperlink2">
    <w:name w:val="Hyperlink.2"/>
    <w:basedOn w:val="DefaultParagraphFont"/>
    <w:rsid w:val="00D7320C"/>
    <w:rPr>
      <w:color w:val="0000FF"/>
      <w:kern w:val="24"/>
      <w:u w:val="single" w:color="0000FF"/>
    </w:rPr>
  </w:style>
  <w:style w:type="character" w:customStyle="1" w:styleId="Hyperlink3">
    <w:name w:val="Hyperlink.3"/>
    <w:basedOn w:val="DefaultParagraphFont"/>
    <w:rsid w:val="00D7320C"/>
    <w:rPr>
      <w:color w:val="0000FF"/>
      <w:kern w:val="24"/>
      <w:u w:val="single" w:color="0000FF"/>
      <w:lang w:val="en-US"/>
    </w:rPr>
  </w:style>
  <w:style w:type="numbering" w:customStyle="1" w:styleId="List1">
    <w:name w:val="List 1"/>
    <w:rsid w:val="00D7320C"/>
    <w:pPr>
      <w:numPr>
        <w:numId w:val="4"/>
      </w:numPr>
    </w:pPr>
  </w:style>
  <w:style w:type="numbering" w:customStyle="1" w:styleId="List0">
    <w:name w:val="List 0"/>
    <w:rsid w:val="00D7320C"/>
    <w:pPr>
      <w:numPr>
        <w:numId w:val="5"/>
      </w:numPr>
    </w:pPr>
  </w:style>
  <w:style w:type="character" w:customStyle="1" w:styleId="Hyperlink5">
    <w:name w:val="Hyperlink.5"/>
    <w:basedOn w:val="DefaultParagraphFont"/>
    <w:rsid w:val="00D7320C"/>
    <w:rPr>
      <w:color w:val="0000FF"/>
      <w:sz w:val="18"/>
      <w:szCs w:val="18"/>
      <w:u w:val="single" w:color="0000FF"/>
    </w:rPr>
  </w:style>
  <w:style w:type="numbering" w:customStyle="1" w:styleId="Bullet">
    <w:name w:val="Bullet"/>
    <w:rsid w:val="00D7320C"/>
    <w:pPr>
      <w:numPr>
        <w:numId w:val="6"/>
      </w:numPr>
    </w:pPr>
  </w:style>
  <w:style w:type="numbering" w:customStyle="1" w:styleId="List51">
    <w:name w:val="List 51"/>
    <w:basedOn w:val="NoList"/>
    <w:rsid w:val="00D7320C"/>
    <w:pPr>
      <w:numPr>
        <w:numId w:val="7"/>
      </w:numPr>
    </w:pPr>
  </w:style>
  <w:style w:type="numbering" w:customStyle="1" w:styleId="List9">
    <w:name w:val="List 9"/>
    <w:basedOn w:val="NoList"/>
    <w:rsid w:val="00D7320C"/>
    <w:pPr>
      <w:numPr>
        <w:numId w:val="8"/>
      </w:numPr>
    </w:pPr>
  </w:style>
  <w:style w:type="numbering" w:customStyle="1" w:styleId="List10">
    <w:name w:val="List 10"/>
    <w:basedOn w:val="NoList"/>
    <w:rsid w:val="00D7320C"/>
    <w:pPr>
      <w:numPr>
        <w:numId w:val="9"/>
      </w:numPr>
    </w:pPr>
  </w:style>
  <w:style w:type="character" w:customStyle="1" w:styleId="Hyperlink6">
    <w:name w:val="Hyperlink.6"/>
    <w:basedOn w:val="DefaultParagraphFont"/>
    <w:rsid w:val="00D7320C"/>
    <w:rPr>
      <w:color w:val="0000FF"/>
      <w:sz w:val="20"/>
      <w:szCs w:val="20"/>
      <w:u w:val="single" w:color="0000FF"/>
    </w:rPr>
  </w:style>
  <w:style w:type="numbering" w:customStyle="1" w:styleId="List14">
    <w:name w:val="List 14"/>
    <w:basedOn w:val="NoList"/>
    <w:rsid w:val="00D7320C"/>
    <w:pPr>
      <w:numPr>
        <w:numId w:val="10"/>
      </w:numPr>
    </w:pPr>
  </w:style>
  <w:style w:type="numbering" w:customStyle="1" w:styleId="List16">
    <w:name w:val="List 16"/>
    <w:basedOn w:val="NoList"/>
    <w:rsid w:val="00D7320C"/>
    <w:pPr>
      <w:numPr>
        <w:numId w:val="11"/>
      </w:numPr>
    </w:pPr>
  </w:style>
  <w:style w:type="character" w:customStyle="1" w:styleId="Hyperlink7">
    <w:name w:val="Hyperlink.7"/>
    <w:basedOn w:val="DefaultParagraphFont"/>
    <w:rsid w:val="00D7320C"/>
    <w:rPr>
      <w:color w:val="0000FF"/>
      <w:sz w:val="24"/>
      <w:szCs w:val="24"/>
      <w:u w:val="single" w:color="0000FF"/>
    </w:rPr>
  </w:style>
  <w:style w:type="character" w:customStyle="1" w:styleId="Link">
    <w:name w:val="Link"/>
    <w:rsid w:val="00D7320C"/>
    <w:rPr>
      <w:color w:val="0000FF"/>
      <w:u w:val="single" w:color="0000FF"/>
    </w:rPr>
  </w:style>
  <w:style w:type="paragraph" w:styleId="TableofFigures">
    <w:name w:val="table of figures"/>
    <w:basedOn w:val="Normal"/>
    <w:next w:val="Normal"/>
    <w:rsid w:val="00D7320C"/>
    <w:rPr>
      <w:rFonts w:asciiTheme="minorHAnsi" w:eastAsiaTheme="minorHAnsi" w:hAnsiTheme="minorHAnsi"/>
      <w:bCs/>
      <w:lang w:val="en-IN" w:eastAsia="en-IN"/>
    </w:rPr>
  </w:style>
  <w:style w:type="paragraph" w:customStyle="1" w:styleId="Appendix1">
    <w:name w:val="Appendix 1"/>
    <w:basedOn w:val="Heading1"/>
    <w:link w:val="Appendix1Char"/>
    <w:qFormat/>
    <w:rsid w:val="00D7320C"/>
    <w:pPr>
      <w:tabs>
        <w:tab w:val="clear" w:pos="794"/>
        <w:tab w:val="clear" w:pos="1191"/>
        <w:tab w:val="clear" w:pos="1588"/>
        <w:tab w:val="clear" w:pos="1985"/>
      </w:tabs>
      <w:overflowPunct/>
      <w:autoSpaceDE/>
      <w:autoSpaceDN/>
      <w:adjustRightInd/>
      <w:spacing w:before="120" w:after="240" w:line="276" w:lineRule="auto"/>
      <w:ind w:left="0" w:firstLine="0"/>
      <w:jc w:val="center"/>
      <w:textAlignment w:val="auto"/>
    </w:pPr>
    <w:rPr>
      <w:rFonts w:eastAsia="Times New Roman" w:cs="Arial"/>
      <w:kern w:val="32"/>
      <w:sz w:val="28"/>
      <w:szCs w:val="48"/>
      <w:lang w:val="en-IN" w:eastAsia="en-IN"/>
    </w:rPr>
  </w:style>
  <w:style w:type="character" w:customStyle="1" w:styleId="Appendix1Char">
    <w:name w:val="Appendix 1 Char"/>
    <w:basedOn w:val="Heading1Char"/>
    <w:link w:val="Appendix1"/>
    <w:rsid w:val="00D7320C"/>
    <w:rPr>
      <w:rFonts w:ascii="Times New Roman" w:hAnsi="Times New Roman" w:cs="Arial"/>
      <w:b/>
      <w:kern w:val="32"/>
      <w:sz w:val="28"/>
      <w:szCs w:val="48"/>
      <w:lang w:val="en-IN" w:eastAsia="en-IN"/>
    </w:rPr>
  </w:style>
  <w:style w:type="paragraph" w:customStyle="1" w:styleId="TableofContents">
    <w:name w:val="Table of Contents"/>
    <w:basedOn w:val="Appendix1"/>
    <w:link w:val="TableofContentsChar"/>
    <w:qFormat/>
    <w:rsid w:val="00D7320C"/>
    <w:rPr>
      <w:i/>
      <w:sz w:val="24"/>
    </w:rPr>
  </w:style>
  <w:style w:type="character" w:customStyle="1" w:styleId="TableofContentsChar">
    <w:name w:val="Table of Contents Char"/>
    <w:basedOn w:val="Appendix1Char"/>
    <w:link w:val="TableofContents"/>
    <w:rsid w:val="00D7320C"/>
    <w:rPr>
      <w:rFonts w:ascii="Times New Roman" w:hAnsi="Times New Roman" w:cs="Arial"/>
      <w:b/>
      <w:i/>
      <w:kern w:val="32"/>
      <w:sz w:val="24"/>
      <w:szCs w:val="48"/>
      <w:lang w:val="en-IN" w:eastAsia="en-IN"/>
    </w:rPr>
  </w:style>
  <w:style w:type="paragraph" w:customStyle="1" w:styleId="bullet0">
    <w:name w:val="bullet"/>
    <w:basedOn w:val="ListParagraph"/>
    <w:link w:val="bulletCar"/>
    <w:qFormat/>
    <w:rsid w:val="00913E6A"/>
    <w:pPr>
      <w:tabs>
        <w:tab w:val="num" w:pos="1342"/>
      </w:tabs>
      <w:suppressAutoHyphens/>
      <w:spacing w:before="120" w:after="120" w:line="100" w:lineRule="atLeast"/>
      <w:ind w:left="714" w:hanging="357"/>
      <w:contextualSpacing w:val="0"/>
    </w:pPr>
    <w:rPr>
      <w:rFonts w:ascii="Times New Roman" w:eastAsia="Batang" w:hAnsi="Times New Roman" w:cs="Times New Roman"/>
      <w:noProof/>
      <w:sz w:val="24"/>
      <w:szCs w:val="24"/>
      <w:lang w:val="it-IT" w:eastAsia="ko-KR"/>
    </w:rPr>
  </w:style>
  <w:style w:type="character" w:customStyle="1" w:styleId="bulletCar">
    <w:name w:val="bullet Car"/>
    <w:basedOn w:val="DefaultParagraphFont"/>
    <w:link w:val="bullet0"/>
    <w:rsid w:val="00913E6A"/>
    <w:rPr>
      <w:rFonts w:ascii="Times New Roman" w:eastAsia="Batang" w:hAnsi="Times New Roman"/>
      <w:noProof/>
      <w:sz w:val="24"/>
      <w:szCs w:val="24"/>
      <w:lang w:val="it-IT" w:eastAsia="ko-KR"/>
    </w:rPr>
  </w:style>
  <w:style w:type="paragraph" w:customStyle="1" w:styleId="bullet20">
    <w:name w:val="bullet 2"/>
    <w:basedOn w:val="bullet0"/>
    <w:link w:val="bullet2Car"/>
    <w:qFormat/>
    <w:rsid w:val="00913E6A"/>
    <w:pPr>
      <w:tabs>
        <w:tab w:val="clear" w:pos="1342"/>
      </w:tabs>
      <w:ind w:left="993" w:hanging="284"/>
    </w:pPr>
    <w:rPr>
      <w:lang w:bidi="hi-IN"/>
    </w:rPr>
  </w:style>
  <w:style w:type="paragraph" w:customStyle="1" w:styleId="definition">
    <w:name w:val="definition"/>
    <w:basedOn w:val="Normal"/>
    <w:link w:val="definitionCar"/>
    <w:qFormat/>
    <w:rsid w:val="00913E6A"/>
    <w:pPr>
      <w:overflowPunct w:val="0"/>
      <w:autoSpaceDE w:val="0"/>
      <w:autoSpaceDN w:val="0"/>
      <w:adjustRightInd w:val="0"/>
      <w:ind w:left="2552" w:hanging="2552"/>
      <w:jc w:val="both"/>
      <w:textAlignment w:val="baseline"/>
    </w:pPr>
    <w:rPr>
      <w:rFonts w:eastAsia="Batang"/>
      <w:lang w:val="it-IT" w:eastAsia="zh-CN"/>
    </w:rPr>
  </w:style>
  <w:style w:type="character" w:customStyle="1" w:styleId="definitionCar">
    <w:name w:val="definition Car"/>
    <w:basedOn w:val="DefaultParagraphFont"/>
    <w:link w:val="definition"/>
    <w:rsid w:val="00913E6A"/>
    <w:rPr>
      <w:rFonts w:ascii="Times New Roman" w:eastAsia="Batang" w:hAnsi="Times New Roman"/>
      <w:sz w:val="24"/>
      <w:szCs w:val="24"/>
      <w:lang w:val="it-IT"/>
    </w:rPr>
  </w:style>
  <w:style w:type="character" w:customStyle="1" w:styleId="bullet2Car">
    <w:name w:val="bullet 2 Car"/>
    <w:basedOn w:val="bulletCar"/>
    <w:link w:val="bullet20"/>
    <w:rsid w:val="009434EF"/>
    <w:rPr>
      <w:rFonts w:ascii="Times New Roman" w:eastAsia="Batang" w:hAnsi="Times New Roman"/>
      <w:noProof/>
      <w:sz w:val="24"/>
      <w:szCs w:val="24"/>
      <w:lang w:val="it-IT" w:eastAsia="ko-KR" w:bidi="hi-IN"/>
    </w:rPr>
  </w:style>
  <w:style w:type="table" w:customStyle="1" w:styleId="TableGrid7">
    <w:name w:val="Table Grid7"/>
    <w:basedOn w:val="TableNormal"/>
    <w:next w:val="TableGrid"/>
    <w:rsid w:val="009434EF"/>
    <w:rPr>
      <w:rFonts w:ascii="Calibri" w:eastAsia="Calibri" w:hAnsi="Calibri" w:cs="Arial"/>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entred">
    <w:name w:val="figure centred"/>
    <w:basedOn w:val="Normal"/>
    <w:link w:val="figurecentredCar"/>
    <w:qFormat/>
    <w:rsid w:val="009434EF"/>
    <w:pPr>
      <w:overflowPunct w:val="0"/>
      <w:autoSpaceDE w:val="0"/>
      <w:autoSpaceDN w:val="0"/>
      <w:adjustRightInd w:val="0"/>
      <w:spacing w:before="120" w:after="120"/>
      <w:jc w:val="center"/>
      <w:textAlignment w:val="baseline"/>
    </w:pPr>
    <w:rPr>
      <w:rFonts w:eastAsia="Batang"/>
      <w:b/>
      <w:sz w:val="22"/>
      <w:lang w:val="it-IT" w:eastAsia="hi-IN" w:bidi="hi-IN"/>
    </w:rPr>
  </w:style>
  <w:style w:type="character" w:customStyle="1" w:styleId="figurecentredCar">
    <w:name w:val="figure centred Car"/>
    <w:basedOn w:val="DefaultParagraphFont"/>
    <w:link w:val="figurecentred"/>
    <w:rsid w:val="009434EF"/>
    <w:rPr>
      <w:rFonts w:ascii="Times New Roman" w:eastAsia="Batang" w:hAnsi="Times New Roman"/>
      <w:b/>
      <w:sz w:val="22"/>
      <w:szCs w:val="24"/>
      <w:lang w:val="it-IT" w:eastAsia="hi-IN" w:bidi="hi-IN"/>
    </w:rPr>
  </w:style>
  <w:style w:type="paragraph" w:customStyle="1" w:styleId="TableauNormal1">
    <w:name w:val="Tableau Normal1"/>
    <w:basedOn w:val="Normal"/>
    <w:link w:val="normaltableCar"/>
    <w:qFormat/>
    <w:rsid w:val="009434EF"/>
    <w:pPr>
      <w:tabs>
        <w:tab w:val="left" w:pos="794"/>
        <w:tab w:val="left" w:pos="1191"/>
        <w:tab w:val="left" w:pos="1588"/>
        <w:tab w:val="left" w:pos="1985"/>
      </w:tabs>
      <w:overflowPunct w:val="0"/>
      <w:autoSpaceDE w:val="0"/>
      <w:autoSpaceDN w:val="0"/>
      <w:adjustRightInd w:val="0"/>
      <w:textAlignment w:val="baseline"/>
    </w:pPr>
    <w:rPr>
      <w:rFonts w:eastAsia="Calibri"/>
      <w:sz w:val="20"/>
      <w:lang w:val="it-IT" w:eastAsia="en-US"/>
    </w:rPr>
  </w:style>
  <w:style w:type="character" w:customStyle="1" w:styleId="normaltableCar">
    <w:name w:val="normal table Car"/>
    <w:basedOn w:val="DefaultParagraphFont"/>
    <w:link w:val="TableauNormal1"/>
    <w:rsid w:val="009434EF"/>
    <w:rPr>
      <w:rFonts w:ascii="Times New Roman" w:eastAsia="Calibri" w:hAnsi="Times New Roman"/>
      <w:szCs w:val="24"/>
      <w:lang w:val="it-IT" w:eastAsia="en-US"/>
    </w:rPr>
  </w:style>
  <w:style w:type="character" w:customStyle="1" w:styleId="EditorNote">
    <w:name w:val="EditorNote"/>
    <w:basedOn w:val="DefaultParagraphFont"/>
    <w:uiPriority w:val="1"/>
    <w:qFormat/>
    <w:rsid w:val="009434EF"/>
    <w:rPr>
      <w:i/>
      <w:noProof w:val="0"/>
      <w:color w:val="76923C" w:themeColor="accent3" w:themeShade="BF"/>
      <w:lang w:val="en-US"/>
    </w:rPr>
  </w:style>
  <w:style w:type="character" w:customStyle="1" w:styleId="CaptionChar">
    <w:name w:val="Caption Char"/>
    <w:aliases w:val="label Char,Beschriftung Char1 Char,Beschriftung Char Char1 Char,Beschriftung Ch... Char,Beschriftung Char2 Char Char1 Char,Beschriftung Char1 Char Char Char Char,Beschriftung Char Char Char Char Char Char,label Char Char Char Char Char Char"/>
    <w:basedOn w:val="DefaultParagraphFont"/>
    <w:link w:val="Caption"/>
    <w:rsid w:val="009434EF"/>
    <w:rPr>
      <w:rFonts w:ascii="Cambria" w:eastAsia="SimHei" w:hAnsi="Cambria"/>
      <w:kern w:val="2"/>
    </w:rPr>
  </w:style>
  <w:style w:type="paragraph" w:customStyle="1" w:styleId="bullet1">
    <w:name w:val="bullet1"/>
    <w:basedOn w:val="ListParagraph"/>
    <w:link w:val="bullet1Car"/>
    <w:qFormat/>
    <w:rsid w:val="00CD7E95"/>
    <w:pPr>
      <w:numPr>
        <w:numId w:val="23"/>
      </w:numPr>
      <w:tabs>
        <w:tab w:val="left" w:pos="794"/>
        <w:tab w:val="left" w:pos="1191"/>
        <w:tab w:val="left" w:pos="1588"/>
        <w:tab w:val="left" w:pos="1985"/>
      </w:tabs>
      <w:overflowPunct w:val="0"/>
      <w:autoSpaceDE w:val="0"/>
      <w:autoSpaceDN w:val="0"/>
      <w:adjustRightInd w:val="0"/>
      <w:spacing w:before="120" w:after="120" w:line="240" w:lineRule="auto"/>
      <w:ind w:hanging="294"/>
      <w:textAlignment w:val="baseline"/>
    </w:pPr>
    <w:rPr>
      <w:rFonts w:ascii="Times New Roman" w:eastAsia="Batang" w:hAnsi="Times New Roman"/>
      <w:sz w:val="24"/>
      <w:szCs w:val="24"/>
      <w:lang w:val="it-IT"/>
    </w:rPr>
  </w:style>
  <w:style w:type="paragraph" w:customStyle="1" w:styleId="bullet2">
    <w:name w:val="bullet2"/>
    <w:basedOn w:val="ListParagraph"/>
    <w:link w:val="bullet2Car0"/>
    <w:qFormat/>
    <w:rsid w:val="00CD7E95"/>
    <w:pPr>
      <w:numPr>
        <w:ilvl w:val="1"/>
        <w:numId w:val="23"/>
      </w:numPr>
      <w:tabs>
        <w:tab w:val="left" w:pos="794"/>
        <w:tab w:val="left" w:pos="1588"/>
        <w:tab w:val="left" w:pos="1985"/>
      </w:tabs>
      <w:overflowPunct w:val="0"/>
      <w:autoSpaceDE w:val="0"/>
      <w:autoSpaceDN w:val="0"/>
      <w:adjustRightInd w:val="0"/>
      <w:spacing w:before="120" w:after="120" w:line="240" w:lineRule="auto"/>
      <w:textAlignment w:val="baseline"/>
    </w:pPr>
    <w:rPr>
      <w:rFonts w:ascii="Times New Roman" w:eastAsia="Batang" w:hAnsi="Times New Roman" w:cs="Times New Roman"/>
      <w:sz w:val="24"/>
      <w:szCs w:val="24"/>
      <w:lang w:val="it-IT"/>
    </w:rPr>
  </w:style>
  <w:style w:type="character" w:customStyle="1" w:styleId="bullet1Car">
    <w:name w:val="bullet1 Car"/>
    <w:basedOn w:val="ListParagraphChar"/>
    <w:link w:val="bullet1"/>
    <w:rsid w:val="00CD7E95"/>
    <w:rPr>
      <w:rFonts w:ascii="Times New Roman" w:eastAsia="Batang" w:hAnsi="Times New Roman" w:cs="Arial"/>
      <w:sz w:val="24"/>
      <w:szCs w:val="24"/>
      <w:lang w:val="it-IT"/>
    </w:rPr>
  </w:style>
  <w:style w:type="character" w:customStyle="1" w:styleId="UnresolvedMention1">
    <w:name w:val="Unresolved Mention1"/>
    <w:basedOn w:val="DefaultParagraphFont"/>
    <w:uiPriority w:val="99"/>
    <w:semiHidden/>
    <w:unhideWhenUsed/>
    <w:rsid w:val="003E6C25"/>
    <w:rPr>
      <w:color w:val="605E5C"/>
      <w:shd w:val="clear" w:color="auto" w:fill="E1DFDD"/>
    </w:rPr>
  </w:style>
  <w:style w:type="character" w:customStyle="1" w:styleId="bullet2Car0">
    <w:name w:val="bullet2 Car"/>
    <w:basedOn w:val="ListParagraphChar"/>
    <w:link w:val="bullet2"/>
    <w:rsid w:val="00D72003"/>
    <w:rPr>
      <w:rFonts w:ascii="Times New Roman" w:eastAsia="Batang" w:hAnsi="Times New Roman" w:cs="Arial"/>
      <w:sz w:val="24"/>
      <w:szCs w:val="24"/>
      <w:lang w:val="it-IT"/>
    </w:rPr>
  </w:style>
  <w:style w:type="paragraph" w:customStyle="1" w:styleId="bullettable">
    <w:name w:val="bullet table"/>
    <w:basedOn w:val="bullet0"/>
    <w:link w:val="bullettableCar"/>
    <w:qFormat/>
    <w:rsid w:val="00D72003"/>
    <w:pPr>
      <w:numPr>
        <w:numId w:val="29"/>
      </w:numPr>
      <w:spacing w:before="0" w:after="0" w:line="240" w:lineRule="auto"/>
      <w:ind w:left="317" w:hanging="317"/>
      <w:jc w:val="left"/>
    </w:pPr>
  </w:style>
  <w:style w:type="character" w:customStyle="1" w:styleId="bullettableCar">
    <w:name w:val="bullet table Car"/>
    <w:basedOn w:val="bulletCar"/>
    <w:link w:val="bullettable"/>
    <w:rsid w:val="00D72003"/>
    <w:rPr>
      <w:rFonts w:ascii="Times New Roman" w:eastAsia="Batang" w:hAnsi="Times New Roman"/>
      <w:noProof/>
      <w:sz w:val="24"/>
      <w:szCs w:val="24"/>
      <w:lang w:val="it-IT" w:eastAsia="ko-KR"/>
    </w:rPr>
  </w:style>
  <w:style w:type="character" w:customStyle="1" w:styleId="ListParagraphChar1">
    <w:name w:val="List Paragraph Char1"/>
    <w:aliases w:val="Resume Title Char1,Ref Char1,Use Case List Paragraph Char1,Bullet List Paragraph Char1,List Paragraph11 Char1,List Paragraph111 Char1,List Paragraph Option Char1,EG Bullet 1 Char1,Bulleted List1 Char1,b1 Char1,Body Bullet Char"/>
    <w:basedOn w:val="DefaultParagraphFont"/>
    <w:uiPriority w:val="34"/>
    <w:qFormat/>
    <w:rsid w:val="00AE3B9A"/>
    <w:rPr>
      <w:sz w:val="24"/>
      <w:lang w:val="en-GB" w:eastAsia="en-US"/>
    </w:rPr>
  </w:style>
  <w:style w:type="paragraph" w:customStyle="1" w:styleId="Referencetext">
    <w:name w:val="Reference text"/>
    <w:basedOn w:val="Normal"/>
    <w:uiPriority w:val="1"/>
    <w:qFormat/>
    <w:rsid w:val="00AE3B9A"/>
    <w:pPr>
      <w:widowControl w:val="0"/>
      <w:tabs>
        <w:tab w:val="left" w:pos="567"/>
      </w:tabs>
      <w:autoSpaceDE w:val="0"/>
      <w:autoSpaceDN w:val="0"/>
      <w:spacing w:before="120"/>
      <w:jc w:val="both"/>
    </w:pPr>
    <w:rPr>
      <w:rFonts w:ascii="Cambria" w:eastAsia="Arial Unicode MS" w:hAnsi="Cambria"/>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65179">
      <w:bodyDiv w:val="1"/>
      <w:marLeft w:val="0"/>
      <w:marRight w:val="0"/>
      <w:marTop w:val="0"/>
      <w:marBottom w:val="0"/>
      <w:divBdr>
        <w:top w:val="none" w:sz="0" w:space="0" w:color="auto"/>
        <w:left w:val="none" w:sz="0" w:space="0" w:color="auto"/>
        <w:bottom w:val="none" w:sz="0" w:space="0" w:color="auto"/>
        <w:right w:val="none" w:sz="0" w:space="0" w:color="auto"/>
      </w:divBdr>
    </w:div>
    <w:div w:id="223950898">
      <w:bodyDiv w:val="1"/>
      <w:marLeft w:val="0"/>
      <w:marRight w:val="0"/>
      <w:marTop w:val="0"/>
      <w:marBottom w:val="0"/>
      <w:divBdr>
        <w:top w:val="none" w:sz="0" w:space="0" w:color="auto"/>
        <w:left w:val="none" w:sz="0" w:space="0" w:color="auto"/>
        <w:bottom w:val="none" w:sz="0" w:space="0" w:color="auto"/>
        <w:right w:val="none" w:sz="0" w:space="0" w:color="auto"/>
      </w:divBdr>
    </w:div>
    <w:div w:id="527332331">
      <w:bodyDiv w:val="1"/>
      <w:marLeft w:val="0"/>
      <w:marRight w:val="0"/>
      <w:marTop w:val="0"/>
      <w:marBottom w:val="0"/>
      <w:divBdr>
        <w:top w:val="none" w:sz="0" w:space="0" w:color="auto"/>
        <w:left w:val="none" w:sz="0" w:space="0" w:color="auto"/>
        <w:bottom w:val="none" w:sz="0" w:space="0" w:color="auto"/>
        <w:right w:val="none" w:sz="0" w:space="0" w:color="auto"/>
      </w:divBdr>
    </w:div>
    <w:div w:id="534463366">
      <w:bodyDiv w:val="1"/>
      <w:marLeft w:val="0"/>
      <w:marRight w:val="0"/>
      <w:marTop w:val="0"/>
      <w:marBottom w:val="0"/>
      <w:divBdr>
        <w:top w:val="none" w:sz="0" w:space="0" w:color="auto"/>
        <w:left w:val="none" w:sz="0" w:space="0" w:color="auto"/>
        <w:bottom w:val="none" w:sz="0" w:space="0" w:color="auto"/>
        <w:right w:val="none" w:sz="0" w:space="0" w:color="auto"/>
      </w:divBdr>
    </w:div>
    <w:div w:id="540436438">
      <w:bodyDiv w:val="1"/>
      <w:marLeft w:val="0"/>
      <w:marRight w:val="0"/>
      <w:marTop w:val="0"/>
      <w:marBottom w:val="0"/>
      <w:divBdr>
        <w:top w:val="none" w:sz="0" w:space="0" w:color="auto"/>
        <w:left w:val="none" w:sz="0" w:space="0" w:color="auto"/>
        <w:bottom w:val="none" w:sz="0" w:space="0" w:color="auto"/>
        <w:right w:val="none" w:sz="0" w:space="0" w:color="auto"/>
      </w:divBdr>
    </w:div>
    <w:div w:id="611866713">
      <w:bodyDiv w:val="1"/>
      <w:marLeft w:val="0"/>
      <w:marRight w:val="0"/>
      <w:marTop w:val="0"/>
      <w:marBottom w:val="0"/>
      <w:divBdr>
        <w:top w:val="none" w:sz="0" w:space="0" w:color="auto"/>
        <w:left w:val="none" w:sz="0" w:space="0" w:color="auto"/>
        <w:bottom w:val="none" w:sz="0" w:space="0" w:color="auto"/>
        <w:right w:val="none" w:sz="0" w:space="0" w:color="auto"/>
      </w:divBdr>
    </w:div>
    <w:div w:id="612596692">
      <w:bodyDiv w:val="1"/>
      <w:marLeft w:val="0"/>
      <w:marRight w:val="0"/>
      <w:marTop w:val="0"/>
      <w:marBottom w:val="0"/>
      <w:divBdr>
        <w:top w:val="none" w:sz="0" w:space="0" w:color="auto"/>
        <w:left w:val="none" w:sz="0" w:space="0" w:color="auto"/>
        <w:bottom w:val="none" w:sz="0" w:space="0" w:color="auto"/>
        <w:right w:val="none" w:sz="0" w:space="0" w:color="auto"/>
      </w:divBdr>
    </w:div>
    <w:div w:id="686904887">
      <w:bodyDiv w:val="1"/>
      <w:marLeft w:val="0"/>
      <w:marRight w:val="0"/>
      <w:marTop w:val="0"/>
      <w:marBottom w:val="0"/>
      <w:divBdr>
        <w:top w:val="none" w:sz="0" w:space="0" w:color="auto"/>
        <w:left w:val="none" w:sz="0" w:space="0" w:color="auto"/>
        <w:bottom w:val="none" w:sz="0" w:space="0" w:color="auto"/>
        <w:right w:val="none" w:sz="0" w:space="0" w:color="auto"/>
      </w:divBdr>
    </w:div>
    <w:div w:id="752899836">
      <w:bodyDiv w:val="1"/>
      <w:marLeft w:val="0"/>
      <w:marRight w:val="0"/>
      <w:marTop w:val="0"/>
      <w:marBottom w:val="0"/>
      <w:divBdr>
        <w:top w:val="none" w:sz="0" w:space="0" w:color="auto"/>
        <w:left w:val="none" w:sz="0" w:space="0" w:color="auto"/>
        <w:bottom w:val="none" w:sz="0" w:space="0" w:color="auto"/>
        <w:right w:val="none" w:sz="0" w:space="0" w:color="auto"/>
      </w:divBdr>
    </w:div>
    <w:div w:id="792139097">
      <w:bodyDiv w:val="1"/>
      <w:marLeft w:val="0"/>
      <w:marRight w:val="0"/>
      <w:marTop w:val="0"/>
      <w:marBottom w:val="0"/>
      <w:divBdr>
        <w:top w:val="none" w:sz="0" w:space="0" w:color="auto"/>
        <w:left w:val="none" w:sz="0" w:space="0" w:color="auto"/>
        <w:bottom w:val="none" w:sz="0" w:space="0" w:color="auto"/>
        <w:right w:val="none" w:sz="0" w:space="0" w:color="auto"/>
      </w:divBdr>
    </w:div>
    <w:div w:id="849561704">
      <w:bodyDiv w:val="1"/>
      <w:marLeft w:val="0"/>
      <w:marRight w:val="0"/>
      <w:marTop w:val="0"/>
      <w:marBottom w:val="0"/>
      <w:divBdr>
        <w:top w:val="none" w:sz="0" w:space="0" w:color="auto"/>
        <w:left w:val="none" w:sz="0" w:space="0" w:color="auto"/>
        <w:bottom w:val="none" w:sz="0" w:space="0" w:color="auto"/>
        <w:right w:val="none" w:sz="0" w:space="0" w:color="auto"/>
      </w:divBdr>
    </w:div>
    <w:div w:id="883369534">
      <w:bodyDiv w:val="1"/>
      <w:marLeft w:val="0"/>
      <w:marRight w:val="0"/>
      <w:marTop w:val="0"/>
      <w:marBottom w:val="0"/>
      <w:divBdr>
        <w:top w:val="none" w:sz="0" w:space="0" w:color="auto"/>
        <w:left w:val="none" w:sz="0" w:space="0" w:color="auto"/>
        <w:bottom w:val="none" w:sz="0" w:space="0" w:color="auto"/>
        <w:right w:val="none" w:sz="0" w:space="0" w:color="auto"/>
      </w:divBdr>
    </w:div>
    <w:div w:id="884414297">
      <w:bodyDiv w:val="1"/>
      <w:marLeft w:val="0"/>
      <w:marRight w:val="0"/>
      <w:marTop w:val="0"/>
      <w:marBottom w:val="0"/>
      <w:divBdr>
        <w:top w:val="none" w:sz="0" w:space="0" w:color="auto"/>
        <w:left w:val="none" w:sz="0" w:space="0" w:color="auto"/>
        <w:bottom w:val="none" w:sz="0" w:space="0" w:color="auto"/>
        <w:right w:val="none" w:sz="0" w:space="0" w:color="auto"/>
      </w:divBdr>
    </w:div>
    <w:div w:id="996224893">
      <w:bodyDiv w:val="1"/>
      <w:marLeft w:val="0"/>
      <w:marRight w:val="0"/>
      <w:marTop w:val="0"/>
      <w:marBottom w:val="0"/>
      <w:divBdr>
        <w:top w:val="none" w:sz="0" w:space="0" w:color="auto"/>
        <w:left w:val="none" w:sz="0" w:space="0" w:color="auto"/>
        <w:bottom w:val="none" w:sz="0" w:space="0" w:color="auto"/>
        <w:right w:val="none" w:sz="0" w:space="0" w:color="auto"/>
      </w:divBdr>
    </w:div>
    <w:div w:id="1084454248">
      <w:bodyDiv w:val="1"/>
      <w:marLeft w:val="0"/>
      <w:marRight w:val="0"/>
      <w:marTop w:val="0"/>
      <w:marBottom w:val="0"/>
      <w:divBdr>
        <w:top w:val="none" w:sz="0" w:space="0" w:color="auto"/>
        <w:left w:val="none" w:sz="0" w:space="0" w:color="auto"/>
        <w:bottom w:val="none" w:sz="0" w:space="0" w:color="auto"/>
        <w:right w:val="none" w:sz="0" w:space="0" w:color="auto"/>
      </w:divBdr>
    </w:div>
    <w:div w:id="1164858389">
      <w:bodyDiv w:val="1"/>
      <w:marLeft w:val="0"/>
      <w:marRight w:val="0"/>
      <w:marTop w:val="0"/>
      <w:marBottom w:val="0"/>
      <w:divBdr>
        <w:top w:val="none" w:sz="0" w:space="0" w:color="auto"/>
        <w:left w:val="none" w:sz="0" w:space="0" w:color="auto"/>
        <w:bottom w:val="none" w:sz="0" w:space="0" w:color="auto"/>
        <w:right w:val="none" w:sz="0" w:space="0" w:color="auto"/>
      </w:divBdr>
    </w:div>
    <w:div w:id="1165780894">
      <w:bodyDiv w:val="1"/>
      <w:marLeft w:val="0"/>
      <w:marRight w:val="0"/>
      <w:marTop w:val="0"/>
      <w:marBottom w:val="0"/>
      <w:divBdr>
        <w:top w:val="none" w:sz="0" w:space="0" w:color="auto"/>
        <w:left w:val="none" w:sz="0" w:space="0" w:color="auto"/>
        <w:bottom w:val="none" w:sz="0" w:space="0" w:color="auto"/>
        <w:right w:val="none" w:sz="0" w:space="0" w:color="auto"/>
      </w:divBdr>
    </w:div>
    <w:div w:id="1367103526">
      <w:bodyDiv w:val="1"/>
      <w:marLeft w:val="0"/>
      <w:marRight w:val="0"/>
      <w:marTop w:val="0"/>
      <w:marBottom w:val="0"/>
      <w:divBdr>
        <w:top w:val="none" w:sz="0" w:space="0" w:color="auto"/>
        <w:left w:val="none" w:sz="0" w:space="0" w:color="auto"/>
        <w:bottom w:val="none" w:sz="0" w:space="0" w:color="auto"/>
        <w:right w:val="none" w:sz="0" w:space="0" w:color="auto"/>
      </w:divBdr>
    </w:div>
    <w:div w:id="1374185381">
      <w:bodyDiv w:val="1"/>
      <w:marLeft w:val="0"/>
      <w:marRight w:val="0"/>
      <w:marTop w:val="0"/>
      <w:marBottom w:val="0"/>
      <w:divBdr>
        <w:top w:val="none" w:sz="0" w:space="0" w:color="auto"/>
        <w:left w:val="none" w:sz="0" w:space="0" w:color="auto"/>
        <w:bottom w:val="none" w:sz="0" w:space="0" w:color="auto"/>
        <w:right w:val="none" w:sz="0" w:space="0" w:color="auto"/>
      </w:divBdr>
    </w:div>
    <w:div w:id="1376199823">
      <w:bodyDiv w:val="1"/>
      <w:marLeft w:val="0"/>
      <w:marRight w:val="0"/>
      <w:marTop w:val="0"/>
      <w:marBottom w:val="0"/>
      <w:divBdr>
        <w:top w:val="none" w:sz="0" w:space="0" w:color="auto"/>
        <w:left w:val="none" w:sz="0" w:space="0" w:color="auto"/>
        <w:bottom w:val="none" w:sz="0" w:space="0" w:color="auto"/>
        <w:right w:val="none" w:sz="0" w:space="0" w:color="auto"/>
      </w:divBdr>
    </w:div>
    <w:div w:id="1399590992">
      <w:bodyDiv w:val="1"/>
      <w:marLeft w:val="0"/>
      <w:marRight w:val="0"/>
      <w:marTop w:val="0"/>
      <w:marBottom w:val="0"/>
      <w:divBdr>
        <w:top w:val="none" w:sz="0" w:space="0" w:color="auto"/>
        <w:left w:val="none" w:sz="0" w:space="0" w:color="auto"/>
        <w:bottom w:val="none" w:sz="0" w:space="0" w:color="auto"/>
        <w:right w:val="none" w:sz="0" w:space="0" w:color="auto"/>
      </w:divBdr>
    </w:div>
    <w:div w:id="1419400812">
      <w:bodyDiv w:val="1"/>
      <w:marLeft w:val="0"/>
      <w:marRight w:val="0"/>
      <w:marTop w:val="0"/>
      <w:marBottom w:val="0"/>
      <w:divBdr>
        <w:top w:val="none" w:sz="0" w:space="0" w:color="auto"/>
        <w:left w:val="none" w:sz="0" w:space="0" w:color="auto"/>
        <w:bottom w:val="none" w:sz="0" w:space="0" w:color="auto"/>
        <w:right w:val="none" w:sz="0" w:space="0" w:color="auto"/>
      </w:divBdr>
    </w:div>
    <w:div w:id="1487282453">
      <w:bodyDiv w:val="1"/>
      <w:marLeft w:val="0"/>
      <w:marRight w:val="0"/>
      <w:marTop w:val="0"/>
      <w:marBottom w:val="0"/>
      <w:divBdr>
        <w:top w:val="none" w:sz="0" w:space="0" w:color="auto"/>
        <w:left w:val="none" w:sz="0" w:space="0" w:color="auto"/>
        <w:bottom w:val="none" w:sz="0" w:space="0" w:color="auto"/>
        <w:right w:val="none" w:sz="0" w:space="0" w:color="auto"/>
      </w:divBdr>
    </w:div>
    <w:div w:id="1719551782">
      <w:bodyDiv w:val="1"/>
      <w:marLeft w:val="0"/>
      <w:marRight w:val="0"/>
      <w:marTop w:val="0"/>
      <w:marBottom w:val="0"/>
      <w:divBdr>
        <w:top w:val="none" w:sz="0" w:space="0" w:color="auto"/>
        <w:left w:val="none" w:sz="0" w:space="0" w:color="auto"/>
        <w:bottom w:val="none" w:sz="0" w:space="0" w:color="auto"/>
        <w:right w:val="none" w:sz="0" w:space="0" w:color="auto"/>
      </w:divBdr>
    </w:div>
    <w:div w:id="1754468314">
      <w:bodyDiv w:val="1"/>
      <w:marLeft w:val="0"/>
      <w:marRight w:val="0"/>
      <w:marTop w:val="0"/>
      <w:marBottom w:val="0"/>
      <w:divBdr>
        <w:top w:val="none" w:sz="0" w:space="0" w:color="auto"/>
        <w:left w:val="none" w:sz="0" w:space="0" w:color="auto"/>
        <w:bottom w:val="none" w:sz="0" w:space="0" w:color="auto"/>
        <w:right w:val="none" w:sz="0" w:space="0" w:color="auto"/>
      </w:divBdr>
    </w:div>
    <w:div w:id="1813330671">
      <w:bodyDiv w:val="1"/>
      <w:marLeft w:val="0"/>
      <w:marRight w:val="0"/>
      <w:marTop w:val="0"/>
      <w:marBottom w:val="0"/>
      <w:divBdr>
        <w:top w:val="none" w:sz="0" w:space="0" w:color="auto"/>
        <w:left w:val="none" w:sz="0" w:space="0" w:color="auto"/>
        <w:bottom w:val="none" w:sz="0" w:space="0" w:color="auto"/>
        <w:right w:val="none" w:sz="0" w:space="0" w:color="auto"/>
      </w:divBdr>
    </w:div>
    <w:div w:id="210082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diagramData" Target="diagrams/data1.xml"/><Relationship Id="rId39"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image" Target="media/image14.png"/><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ibe.unesco.org/en/geqaf/technical-notes/concept-governance" TargetMode="External"/><Relationship Id="rId25" Type="http://schemas.openxmlformats.org/officeDocument/2006/relationships/image" Target="media/image10.png"/><Relationship Id="rId33" Type="http://schemas.openxmlformats.org/officeDocument/2006/relationships/image" Target="media/image13.png"/><Relationship Id="rId38"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hyperlink" Target="http://www.ibe.unesco.org/en/geqaf/technical-notes/concept-governance" TargetMode="External"/><Relationship Id="rId20" Type="http://schemas.openxmlformats.org/officeDocument/2006/relationships/image" Target="media/image5.png"/><Relationship Id="rId29" Type="http://schemas.openxmlformats.org/officeDocument/2006/relationships/diagramColors" Target="diagrams/colors1.xml"/><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sbfgdpm@itu.int" TargetMode="External"/><Relationship Id="rId23" Type="http://schemas.openxmlformats.org/officeDocument/2006/relationships/image" Target="media/image8.png"/><Relationship Id="rId28" Type="http://schemas.openxmlformats.org/officeDocument/2006/relationships/diagramQuickStyle" Target="diagrams/quickStyle1.xml"/><Relationship Id="rId36"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image" Target="media/image11.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go/tfgdpm" TargetMode="External"/><Relationship Id="rId22" Type="http://schemas.openxmlformats.org/officeDocument/2006/relationships/image" Target="media/image7.png"/><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image" Target="media/image15.png"/><Relationship Id="rId43"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coso.org/Documents/2017-COSO-ERM-Integrating-with-Strategy-and-Performance-Executive-Summary.pdf" TargetMode="External"/><Relationship Id="rId13" Type="http://schemas.openxmlformats.org/officeDocument/2006/relationships/hyperlink" Target="http://www.baaa-acro.com/" TargetMode="External"/><Relationship Id="rId3" Type="http://schemas.openxmlformats.org/officeDocument/2006/relationships/hyperlink" Target="https://www.bis.org/publ/bcbs195.pdf" TargetMode="External"/><Relationship Id="rId7" Type="http://schemas.openxmlformats.org/officeDocument/2006/relationships/hyperlink" Target="https://linddun.org/solutions.php" TargetMode="External"/><Relationship Id="rId12" Type="http://schemas.openxmlformats.org/officeDocument/2006/relationships/hyperlink" Target="https://www.ffiec.gov/ldce/" TargetMode="External"/><Relationship Id="rId2" Type="http://schemas.openxmlformats.org/officeDocument/2006/relationships/hyperlink" Target="http://www.coso.org" TargetMode="External"/><Relationship Id="rId16" Type="http://schemas.openxmlformats.org/officeDocument/2006/relationships/hyperlink" Target="https://igf2017.sched.com/info" TargetMode="External"/><Relationship Id="rId1" Type="http://schemas.openxmlformats.org/officeDocument/2006/relationships/hyperlink" Target="https://iapp.org/news/a/the-hot-topics-warming-up-brazils-data-protection-debate/" TargetMode="External"/><Relationship Id="rId6" Type="http://schemas.openxmlformats.org/officeDocument/2006/relationships/hyperlink" Target="https://dig.watch/" TargetMode="External"/><Relationship Id="rId11" Type="http://schemas.openxmlformats.org/officeDocument/2006/relationships/hyperlink" Target="https://www.bis.org/bcbs/publ/d355.pdf" TargetMode="External"/><Relationship Id="rId5" Type="http://schemas.openxmlformats.org/officeDocument/2006/relationships/hyperlink" Target="https://igf2017.sched.com/info" TargetMode="External"/><Relationship Id="rId15" Type="http://schemas.openxmlformats.org/officeDocument/2006/relationships/hyperlink" Target="https://www.bis.org/publ/bcbs239.pdf" TargetMode="External"/><Relationship Id="rId10" Type="http://schemas.openxmlformats.org/officeDocument/2006/relationships/hyperlink" Target="https://www.bis.org/publ/bcbs195.pdf" TargetMode="External"/><Relationship Id="rId4" Type="http://schemas.openxmlformats.org/officeDocument/2006/relationships/hyperlink" Target="https://digitalswitzerland.com/2017/12/27/geneva-initiative-capacity-development-digital-policy/" TargetMode="External"/><Relationship Id="rId9" Type="http://schemas.openxmlformats.org/officeDocument/2006/relationships/hyperlink" Target="http://nvlpubs.nist.gov/nistpubs/SpecialPublications/NIST.SP.800-82r2.pdf" TargetMode="External"/><Relationship Id="rId14" Type="http://schemas.openxmlformats.org/officeDocument/2006/relationships/hyperlink" Target="http://info.veritas.com/databerg_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FGSSC_technical%20report%20saved%20for%20template_dotm.dotm"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C05047-287B-479F-9E88-994CE8E5BF3F}" type="doc">
      <dgm:prSet loTypeId="urn:microsoft.com/office/officeart/2005/8/layout/hChevron3" loCatId="process" qsTypeId="urn:microsoft.com/office/officeart/2005/8/quickstyle/simple1" qsCatId="simple" csTypeId="urn:microsoft.com/office/officeart/2005/8/colors/colorful1" csCatId="colorful" phldr="1"/>
      <dgm:spPr/>
    </dgm:pt>
    <dgm:pt modelId="{DF04B0F8-2BF4-4155-994B-394CE8B1C9CA}">
      <dgm:prSet phldrT="[Texte]" custT="1"/>
      <dgm:spPr/>
      <dgm:t>
        <a:bodyPr/>
        <a:lstStyle/>
        <a:p>
          <a:r>
            <a:rPr lang="fr-FR" sz="1100">
              <a:latin typeface="Times New Roman" panose="02020603050405020304" pitchFamily="18" charset="0"/>
              <a:cs typeface="Times New Roman" panose="02020603050405020304" pitchFamily="18" charset="0"/>
            </a:rPr>
            <a:t>1- Risk identification</a:t>
          </a:r>
        </a:p>
      </dgm:t>
    </dgm:pt>
    <dgm:pt modelId="{8D7C30D1-68AC-4BB8-9300-76E0D15E2FFA}" type="parTrans" cxnId="{13DD2D19-640C-4F7F-8A84-A501497005D8}">
      <dgm:prSet/>
      <dgm:spPr/>
      <dgm:t>
        <a:bodyPr/>
        <a:lstStyle/>
        <a:p>
          <a:endParaRPr lang="fr-FR" sz="1100">
            <a:latin typeface="Times New Roman" panose="02020603050405020304" pitchFamily="18" charset="0"/>
            <a:cs typeface="Times New Roman" panose="02020603050405020304" pitchFamily="18" charset="0"/>
          </a:endParaRPr>
        </a:p>
      </dgm:t>
    </dgm:pt>
    <dgm:pt modelId="{7EFF7828-FE70-478F-85BD-BF544FA2E2A9}" type="sibTrans" cxnId="{13DD2D19-640C-4F7F-8A84-A501497005D8}">
      <dgm:prSet/>
      <dgm:spPr/>
      <dgm:t>
        <a:bodyPr/>
        <a:lstStyle/>
        <a:p>
          <a:endParaRPr lang="fr-FR" sz="1100">
            <a:latin typeface="Times New Roman" panose="02020603050405020304" pitchFamily="18" charset="0"/>
            <a:cs typeface="Times New Roman" panose="02020603050405020304" pitchFamily="18" charset="0"/>
          </a:endParaRPr>
        </a:p>
      </dgm:t>
    </dgm:pt>
    <dgm:pt modelId="{3D7D2CF5-80C6-4257-92F9-A145FF1A144D}">
      <dgm:prSet phldrT="[Texte]" custT="1"/>
      <dgm:spPr/>
      <dgm:t>
        <a:bodyPr/>
        <a:lstStyle/>
        <a:p>
          <a:r>
            <a:rPr lang="fr-FR" sz="1100">
              <a:latin typeface="Times New Roman" panose="02020603050405020304" pitchFamily="18" charset="0"/>
              <a:cs typeface="Times New Roman" panose="02020603050405020304" pitchFamily="18" charset="0"/>
            </a:rPr>
            <a:t>3- Risk evaluation</a:t>
          </a:r>
        </a:p>
      </dgm:t>
    </dgm:pt>
    <dgm:pt modelId="{7335D2A7-4BD0-4B4F-A8EC-8751642AC9C4}" type="parTrans" cxnId="{0F216F18-BB80-434E-9FE6-31DB56A284D5}">
      <dgm:prSet/>
      <dgm:spPr/>
      <dgm:t>
        <a:bodyPr/>
        <a:lstStyle/>
        <a:p>
          <a:endParaRPr lang="fr-FR" sz="1100">
            <a:latin typeface="Times New Roman" panose="02020603050405020304" pitchFamily="18" charset="0"/>
            <a:cs typeface="Times New Roman" panose="02020603050405020304" pitchFamily="18" charset="0"/>
          </a:endParaRPr>
        </a:p>
      </dgm:t>
    </dgm:pt>
    <dgm:pt modelId="{C1EF3E55-3CF2-43F3-B458-24B9DAE06279}" type="sibTrans" cxnId="{0F216F18-BB80-434E-9FE6-31DB56A284D5}">
      <dgm:prSet/>
      <dgm:spPr/>
      <dgm:t>
        <a:bodyPr/>
        <a:lstStyle/>
        <a:p>
          <a:endParaRPr lang="fr-FR" sz="1100">
            <a:latin typeface="Times New Roman" panose="02020603050405020304" pitchFamily="18" charset="0"/>
            <a:cs typeface="Times New Roman" panose="02020603050405020304" pitchFamily="18" charset="0"/>
          </a:endParaRPr>
        </a:p>
      </dgm:t>
    </dgm:pt>
    <dgm:pt modelId="{007902CC-8D73-4B39-9024-CBEE98741F53}">
      <dgm:prSet phldrT="[Texte]" custT="1"/>
      <dgm:spPr/>
      <dgm:t>
        <a:bodyPr/>
        <a:lstStyle/>
        <a:p>
          <a:r>
            <a:rPr lang="fr-FR" sz="1100">
              <a:latin typeface="Times New Roman" panose="02020603050405020304" pitchFamily="18" charset="0"/>
              <a:cs typeface="Times New Roman" panose="02020603050405020304" pitchFamily="18" charset="0"/>
            </a:rPr>
            <a:t>2- Risk analysis</a:t>
          </a:r>
        </a:p>
      </dgm:t>
    </dgm:pt>
    <dgm:pt modelId="{2EBC5409-181C-4B90-AB1F-C98A3FCECEE6}" type="parTrans" cxnId="{1E29C01C-75C5-43D8-AEAD-A46F8FCB98D6}">
      <dgm:prSet/>
      <dgm:spPr/>
      <dgm:t>
        <a:bodyPr/>
        <a:lstStyle/>
        <a:p>
          <a:endParaRPr lang="fr-CH"/>
        </a:p>
      </dgm:t>
    </dgm:pt>
    <dgm:pt modelId="{09289FCE-4423-4C61-8C99-0F83B979E3D6}" type="sibTrans" cxnId="{1E29C01C-75C5-43D8-AEAD-A46F8FCB98D6}">
      <dgm:prSet/>
      <dgm:spPr/>
      <dgm:t>
        <a:bodyPr/>
        <a:lstStyle/>
        <a:p>
          <a:endParaRPr lang="fr-CH"/>
        </a:p>
      </dgm:t>
    </dgm:pt>
    <dgm:pt modelId="{66066E57-3C92-4E8E-8864-4612343736A0}">
      <dgm:prSet phldrT="[Texte]" custT="1"/>
      <dgm:spPr/>
      <dgm:t>
        <a:bodyPr/>
        <a:lstStyle/>
        <a:p>
          <a:r>
            <a:rPr lang="fr-FR" sz="1100">
              <a:latin typeface="Times New Roman" panose="02020603050405020304" pitchFamily="18" charset="0"/>
              <a:cs typeface="Times New Roman" panose="02020603050405020304" pitchFamily="18" charset="0"/>
            </a:rPr>
            <a:t>4- Risk treatment</a:t>
          </a:r>
        </a:p>
      </dgm:t>
    </dgm:pt>
    <dgm:pt modelId="{442DB34F-B63E-4CED-9DAA-FB77D64EFFF7}" type="parTrans" cxnId="{EC998B47-C1E9-4F88-B519-54277F812A35}">
      <dgm:prSet/>
      <dgm:spPr/>
      <dgm:t>
        <a:bodyPr/>
        <a:lstStyle/>
        <a:p>
          <a:endParaRPr lang="fr-CH"/>
        </a:p>
      </dgm:t>
    </dgm:pt>
    <dgm:pt modelId="{7EBC1EB3-14CD-4387-AB0A-ECEEE2C55D41}" type="sibTrans" cxnId="{EC998B47-C1E9-4F88-B519-54277F812A35}">
      <dgm:prSet/>
      <dgm:spPr/>
      <dgm:t>
        <a:bodyPr/>
        <a:lstStyle/>
        <a:p>
          <a:endParaRPr lang="fr-CH"/>
        </a:p>
      </dgm:t>
    </dgm:pt>
    <dgm:pt modelId="{434DD70B-0D47-4786-ACA7-1E92293E8597}" type="pres">
      <dgm:prSet presAssocID="{16C05047-287B-479F-9E88-994CE8E5BF3F}" presName="Name0" presStyleCnt="0">
        <dgm:presLayoutVars>
          <dgm:dir/>
          <dgm:resizeHandles val="exact"/>
        </dgm:presLayoutVars>
      </dgm:prSet>
      <dgm:spPr/>
    </dgm:pt>
    <dgm:pt modelId="{8933F3E0-3FBD-43E2-BB4D-54A7B83989AC}" type="pres">
      <dgm:prSet presAssocID="{DF04B0F8-2BF4-4155-994B-394CE8B1C9CA}" presName="parTxOnly" presStyleLbl="node1" presStyleIdx="0" presStyleCnt="4">
        <dgm:presLayoutVars>
          <dgm:bulletEnabled val="1"/>
        </dgm:presLayoutVars>
      </dgm:prSet>
      <dgm:spPr/>
      <dgm:t>
        <a:bodyPr/>
        <a:lstStyle/>
        <a:p>
          <a:endParaRPr lang="en-US"/>
        </a:p>
      </dgm:t>
    </dgm:pt>
    <dgm:pt modelId="{0FA0F063-39E8-4767-B332-3F1695861D99}" type="pres">
      <dgm:prSet presAssocID="{7EFF7828-FE70-478F-85BD-BF544FA2E2A9}" presName="parSpace" presStyleCnt="0"/>
      <dgm:spPr/>
    </dgm:pt>
    <dgm:pt modelId="{6C140413-A917-4286-831F-20B7F9418041}" type="pres">
      <dgm:prSet presAssocID="{007902CC-8D73-4B39-9024-CBEE98741F53}" presName="parTxOnly" presStyleLbl="node1" presStyleIdx="1" presStyleCnt="4">
        <dgm:presLayoutVars>
          <dgm:bulletEnabled val="1"/>
        </dgm:presLayoutVars>
      </dgm:prSet>
      <dgm:spPr/>
      <dgm:t>
        <a:bodyPr/>
        <a:lstStyle/>
        <a:p>
          <a:endParaRPr lang="en-US"/>
        </a:p>
      </dgm:t>
    </dgm:pt>
    <dgm:pt modelId="{A0288E1B-9358-4EF1-84D3-602657BA4CD7}" type="pres">
      <dgm:prSet presAssocID="{09289FCE-4423-4C61-8C99-0F83B979E3D6}" presName="parSpace" presStyleCnt="0"/>
      <dgm:spPr/>
    </dgm:pt>
    <dgm:pt modelId="{1AA9389E-B6DB-4A47-A298-950E820C65C9}" type="pres">
      <dgm:prSet presAssocID="{3D7D2CF5-80C6-4257-92F9-A145FF1A144D}" presName="parTxOnly" presStyleLbl="node1" presStyleIdx="2" presStyleCnt="4">
        <dgm:presLayoutVars>
          <dgm:bulletEnabled val="1"/>
        </dgm:presLayoutVars>
      </dgm:prSet>
      <dgm:spPr/>
      <dgm:t>
        <a:bodyPr/>
        <a:lstStyle/>
        <a:p>
          <a:endParaRPr lang="en-US"/>
        </a:p>
      </dgm:t>
    </dgm:pt>
    <dgm:pt modelId="{21AA545D-DAA0-499A-874B-4E20CFC69233}" type="pres">
      <dgm:prSet presAssocID="{C1EF3E55-3CF2-43F3-B458-24B9DAE06279}" presName="parSpace" presStyleCnt="0"/>
      <dgm:spPr/>
    </dgm:pt>
    <dgm:pt modelId="{2E0595CB-025A-4F47-B9BF-E0A8951AB90A}" type="pres">
      <dgm:prSet presAssocID="{66066E57-3C92-4E8E-8864-4612343736A0}" presName="parTxOnly" presStyleLbl="node1" presStyleIdx="3" presStyleCnt="4">
        <dgm:presLayoutVars>
          <dgm:bulletEnabled val="1"/>
        </dgm:presLayoutVars>
      </dgm:prSet>
      <dgm:spPr/>
      <dgm:t>
        <a:bodyPr/>
        <a:lstStyle/>
        <a:p>
          <a:endParaRPr lang="en-US"/>
        </a:p>
      </dgm:t>
    </dgm:pt>
  </dgm:ptLst>
  <dgm:cxnLst>
    <dgm:cxn modelId="{8D5945C0-2B3A-42D6-9807-390C161B4BB8}" type="presOf" srcId="{007902CC-8D73-4B39-9024-CBEE98741F53}" destId="{6C140413-A917-4286-831F-20B7F9418041}" srcOrd="0" destOrd="0" presId="urn:microsoft.com/office/officeart/2005/8/layout/hChevron3"/>
    <dgm:cxn modelId="{3481E2C4-9986-46AB-805D-615D2BD8C34A}" type="presOf" srcId="{66066E57-3C92-4E8E-8864-4612343736A0}" destId="{2E0595CB-025A-4F47-B9BF-E0A8951AB90A}" srcOrd="0" destOrd="0" presId="urn:microsoft.com/office/officeart/2005/8/layout/hChevron3"/>
    <dgm:cxn modelId="{D2D0E2F3-98FA-4EB3-A0DD-37FC7B14655A}" type="presOf" srcId="{16C05047-287B-479F-9E88-994CE8E5BF3F}" destId="{434DD70B-0D47-4786-ACA7-1E92293E8597}" srcOrd="0" destOrd="0" presId="urn:microsoft.com/office/officeart/2005/8/layout/hChevron3"/>
    <dgm:cxn modelId="{EC998B47-C1E9-4F88-B519-54277F812A35}" srcId="{16C05047-287B-479F-9E88-994CE8E5BF3F}" destId="{66066E57-3C92-4E8E-8864-4612343736A0}" srcOrd="3" destOrd="0" parTransId="{442DB34F-B63E-4CED-9DAA-FB77D64EFFF7}" sibTransId="{7EBC1EB3-14CD-4387-AB0A-ECEEE2C55D41}"/>
    <dgm:cxn modelId="{13DD2D19-640C-4F7F-8A84-A501497005D8}" srcId="{16C05047-287B-479F-9E88-994CE8E5BF3F}" destId="{DF04B0F8-2BF4-4155-994B-394CE8B1C9CA}" srcOrd="0" destOrd="0" parTransId="{8D7C30D1-68AC-4BB8-9300-76E0D15E2FFA}" sibTransId="{7EFF7828-FE70-478F-85BD-BF544FA2E2A9}"/>
    <dgm:cxn modelId="{D22BB505-3729-42FA-9D3F-840948D2705D}" type="presOf" srcId="{DF04B0F8-2BF4-4155-994B-394CE8B1C9CA}" destId="{8933F3E0-3FBD-43E2-BB4D-54A7B83989AC}" srcOrd="0" destOrd="0" presId="urn:microsoft.com/office/officeart/2005/8/layout/hChevron3"/>
    <dgm:cxn modelId="{0F216F18-BB80-434E-9FE6-31DB56A284D5}" srcId="{16C05047-287B-479F-9E88-994CE8E5BF3F}" destId="{3D7D2CF5-80C6-4257-92F9-A145FF1A144D}" srcOrd="2" destOrd="0" parTransId="{7335D2A7-4BD0-4B4F-A8EC-8751642AC9C4}" sibTransId="{C1EF3E55-3CF2-43F3-B458-24B9DAE06279}"/>
    <dgm:cxn modelId="{C2E7FC60-34C1-483F-A6F9-284A51155F06}" type="presOf" srcId="{3D7D2CF5-80C6-4257-92F9-A145FF1A144D}" destId="{1AA9389E-B6DB-4A47-A298-950E820C65C9}" srcOrd="0" destOrd="0" presId="urn:microsoft.com/office/officeart/2005/8/layout/hChevron3"/>
    <dgm:cxn modelId="{1E29C01C-75C5-43D8-AEAD-A46F8FCB98D6}" srcId="{16C05047-287B-479F-9E88-994CE8E5BF3F}" destId="{007902CC-8D73-4B39-9024-CBEE98741F53}" srcOrd="1" destOrd="0" parTransId="{2EBC5409-181C-4B90-AB1F-C98A3FCECEE6}" sibTransId="{09289FCE-4423-4C61-8C99-0F83B979E3D6}"/>
    <dgm:cxn modelId="{01BA9EE8-7663-4498-B782-9EA33833CF02}" type="presParOf" srcId="{434DD70B-0D47-4786-ACA7-1E92293E8597}" destId="{8933F3E0-3FBD-43E2-BB4D-54A7B83989AC}" srcOrd="0" destOrd="0" presId="urn:microsoft.com/office/officeart/2005/8/layout/hChevron3"/>
    <dgm:cxn modelId="{4694C9F9-46D0-461E-AD83-4D2834A4FB7C}" type="presParOf" srcId="{434DD70B-0D47-4786-ACA7-1E92293E8597}" destId="{0FA0F063-39E8-4767-B332-3F1695861D99}" srcOrd="1" destOrd="0" presId="urn:microsoft.com/office/officeart/2005/8/layout/hChevron3"/>
    <dgm:cxn modelId="{723D773A-B6AA-4C51-9897-EBB260919BDB}" type="presParOf" srcId="{434DD70B-0D47-4786-ACA7-1E92293E8597}" destId="{6C140413-A917-4286-831F-20B7F9418041}" srcOrd="2" destOrd="0" presId="urn:microsoft.com/office/officeart/2005/8/layout/hChevron3"/>
    <dgm:cxn modelId="{42B7D99A-91B6-499D-8BAC-B6EA63118FAE}" type="presParOf" srcId="{434DD70B-0D47-4786-ACA7-1E92293E8597}" destId="{A0288E1B-9358-4EF1-84D3-602657BA4CD7}" srcOrd="3" destOrd="0" presId="urn:microsoft.com/office/officeart/2005/8/layout/hChevron3"/>
    <dgm:cxn modelId="{6593E501-DF03-4DE5-94B4-74EB13BB60A6}" type="presParOf" srcId="{434DD70B-0D47-4786-ACA7-1E92293E8597}" destId="{1AA9389E-B6DB-4A47-A298-950E820C65C9}" srcOrd="4" destOrd="0" presId="urn:microsoft.com/office/officeart/2005/8/layout/hChevron3"/>
    <dgm:cxn modelId="{C61FC6B9-96D8-4187-86E9-71BDEC41B08B}" type="presParOf" srcId="{434DD70B-0D47-4786-ACA7-1E92293E8597}" destId="{21AA545D-DAA0-499A-874B-4E20CFC69233}" srcOrd="5" destOrd="0" presId="urn:microsoft.com/office/officeart/2005/8/layout/hChevron3"/>
    <dgm:cxn modelId="{C9AB101A-98DB-446D-B837-868A6A6755E0}" type="presParOf" srcId="{434DD70B-0D47-4786-ACA7-1E92293E8597}" destId="{2E0595CB-025A-4F47-B9BF-E0A8951AB90A}" srcOrd="6" destOrd="0" presId="urn:microsoft.com/office/officeart/2005/8/layout/hChevron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33F3E0-3FBD-43E2-BB4D-54A7B83989AC}">
      <dsp:nvSpPr>
        <dsp:cNvPr id="0" name=""/>
        <dsp:cNvSpPr/>
      </dsp:nvSpPr>
      <dsp:spPr>
        <a:xfrm>
          <a:off x="1804" y="79213"/>
          <a:ext cx="1810556" cy="724222"/>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88950">
            <a:lnSpc>
              <a:spcPct val="90000"/>
            </a:lnSpc>
            <a:spcBef>
              <a:spcPct val="0"/>
            </a:spcBef>
            <a:spcAft>
              <a:spcPct val="35000"/>
            </a:spcAft>
          </a:pPr>
          <a:r>
            <a:rPr lang="fr-FR" sz="1100" kern="1200">
              <a:latin typeface="Times New Roman" panose="02020603050405020304" pitchFamily="18" charset="0"/>
              <a:cs typeface="Times New Roman" panose="02020603050405020304" pitchFamily="18" charset="0"/>
            </a:rPr>
            <a:t>1- Risk identification</a:t>
          </a:r>
        </a:p>
      </dsp:txBody>
      <dsp:txXfrm>
        <a:off x="1804" y="79213"/>
        <a:ext cx="1629501" cy="724222"/>
      </dsp:txXfrm>
    </dsp:sp>
    <dsp:sp modelId="{6C140413-A917-4286-831F-20B7F9418041}">
      <dsp:nvSpPr>
        <dsp:cNvPr id="0" name=""/>
        <dsp:cNvSpPr/>
      </dsp:nvSpPr>
      <dsp:spPr>
        <a:xfrm>
          <a:off x="1450249" y="79213"/>
          <a:ext cx="1810556" cy="724222"/>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fr-FR" sz="1100" kern="1200">
              <a:latin typeface="Times New Roman" panose="02020603050405020304" pitchFamily="18" charset="0"/>
              <a:cs typeface="Times New Roman" panose="02020603050405020304" pitchFamily="18" charset="0"/>
            </a:rPr>
            <a:t>2- Risk analysis</a:t>
          </a:r>
        </a:p>
      </dsp:txBody>
      <dsp:txXfrm>
        <a:off x="1812360" y="79213"/>
        <a:ext cx="1086334" cy="724222"/>
      </dsp:txXfrm>
    </dsp:sp>
    <dsp:sp modelId="{1AA9389E-B6DB-4A47-A298-950E820C65C9}">
      <dsp:nvSpPr>
        <dsp:cNvPr id="0" name=""/>
        <dsp:cNvSpPr/>
      </dsp:nvSpPr>
      <dsp:spPr>
        <a:xfrm>
          <a:off x="2898694" y="79213"/>
          <a:ext cx="1810556" cy="724222"/>
        </a:xfrm>
        <a:prstGeom prst="chevron">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fr-FR" sz="1100" kern="1200">
              <a:latin typeface="Times New Roman" panose="02020603050405020304" pitchFamily="18" charset="0"/>
              <a:cs typeface="Times New Roman" panose="02020603050405020304" pitchFamily="18" charset="0"/>
            </a:rPr>
            <a:t>3- Risk evaluation</a:t>
          </a:r>
        </a:p>
      </dsp:txBody>
      <dsp:txXfrm>
        <a:off x="3260805" y="79213"/>
        <a:ext cx="1086334" cy="724222"/>
      </dsp:txXfrm>
    </dsp:sp>
    <dsp:sp modelId="{2E0595CB-025A-4F47-B9BF-E0A8951AB90A}">
      <dsp:nvSpPr>
        <dsp:cNvPr id="0" name=""/>
        <dsp:cNvSpPr/>
      </dsp:nvSpPr>
      <dsp:spPr>
        <a:xfrm>
          <a:off x="4347139" y="79213"/>
          <a:ext cx="1810556" cy="724222"/>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fr-FR" sz="1100" kern="1200">
              <a:latin typeface="Times New Roman" panose="02020603050405020304" pitchFamily="18" charset="0"/>
              <a:cs typeface="Times New Roman" panose="02020603050405020304" pitchFamily="18" charset="0"/>
            </a:rPr>
            <a:t>4- Risk treatment</a:t>
          </a:r>
        </a:p>
      </dsp:txBody>
      <dsp:txXfrm>
        <a:off x="4709250" y="79213"/>
        <a:ext cx="1086334" cy="724222"/>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B7DC7C0555334A8C82062EAC9C2890" ma:contentTypeVersion="2" ma:contentTypeDescription="Create a new document." ma:contentTypeScope="" ma:versionID="73aca752035b1f360377c87dbc1a51f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CC00-0CA4-4547-9E9F-396C66FD8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618FE-1751-43BE-B298-BA268439CEE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158A32F-0856-4CC0-BCE4-AB1196224533}">
  <ds:schemaRefs>
    <ds:schemaRef ds:uri="http://schemas.microsoft.com/sharepoint/v3/contenttype/forms"/>
  </ds:schemaRefs>
</ds:datastoreItem>
</file>

<file path=customXml/itemProps4.xml><?xml version="1.0" encoding="utf-8"?>
<ds:datastoreItem xmlns:ds="http://schemas.openxmlformats.org/officeDocument/2006/customXml" ds:itemID="{017F6CF1-2B96-4110-900C-987FBC95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FGSSC_technical report saved for template_dotm.dotm</Template>
  <TotalTime>3</TotalTime>
  <Pages>36</Pages>
  <Words>11840</Words>
  <Characters>67488</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79170</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Gachet, Christelle</dc:creator>
  <dc:description>Technical-Report-EMF_final version.docx  For: _x000d_Document date: _x000d_Saved by ITU51009145 at 11:51:15 on 03.10.2014</dc:description>
  <cp:lastModifiedBy>Clark, Robert</cp:lastModifiedBy>
  <cp:revision>4</cp:revision>
  <cp:lastPrinted>2019-09-06T15:47:00Z</cp:lastPrinted>
  <dcterms:created xsi:type="dcterms:W3CDTF">2019-09-06T15:42:00Z</dcterms:created>
  <dcterms:modified xsi:type="dcterms:W3CDTF">2019-09-06T15:48:00Z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Technical-Report-EMF_final version.docx</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Docorlang">
    <vt:lpwstr/>
  </property>
  <property fmtid="{D5CDD505-2E9C-101B-9397-08002B2CF9AE}" pid="7" name="Docbluepink">
    <vt:lpwstr/>
  </property>
  <property fmtid="{D5CDD505-2E9C-101B-9397-08002B2CF9AE}" pid="8" name="Docdest">
    <vt:lpwstr/>
  </property>
  <property fmtid="{D5CDD505-2E9C-101B-9397-08002B2CF9AE}" pid="9" name="Docauthor">
    <vt:lpwstr/>
  </property>
  <property fmtid="{D5CDD505-2E9C-101B-9397-08002B2CF9AE}" pid="10" name="ContentTypeId">
    <vt:lpwstr>0x0101000CB7DC7C0555334A8C82062EAC9C2890</vt:lpwstr>
  </property>
</Properties>
</file>