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RPr="00FA11C5" w14:paraId="62F1BA46" w14:textId="77777777" w:rsidTr="00E02690">
        <w:trPr>
          <w:trHeight w:hRule="exact" w:val="1418"/>
        </w:trPr>
        <w:tc>
          <w:tcPr>
            <w:tcW w:w="1428" w:type="dxa"/>
            <w:gridSpan w:val="2"/>
          </w:tcPr>
          <w:p w14:paraId="1C74F47E" w14:textId="77777777" w:rsidR="00E02690" w:rsidRPr="00FA11C5" w:rsidRDefault="00E02690" w:rsidP="00E02690"/>
          <w:p w14:paraId="4DD43F51" w14:textId="77777777" w:rsidR="00E02690" w:rsidRPr="00FA11C5" w:rsidRDefault="00E02690" w:rsidP="00E02690">
            <w:pPr>
              <w:spacing w:before="0"/>
              <w:rPr>
                <w:b/>
                <w:sz w:val="16"/>
              </w:rPr>
            </w:pPr>
          </w:p>
        </w:tc>
        <w:tc>
          <w:tcPr>
            <w:tcW w:w="8520" w:type="dxa"/>
            <w:gridSpan w:val="3"/>
          </w:tcPr>
          <w:p w14:paraId="628DF372" w14:textId="77777777" w:rsidR="00E02690" w:rsidRPr="00FA11C5" w:rsidRDefault="00E02690" w:rsidP="00E02690">
            <w:pPr>
              <w:spacing w:before="0"/>
              <w:rPr>
                <w:rFonts w:ascii="Arial" w:hAnsi="Arial" w:cs="Arial"/>
              </w:rPr>
            </w:pPr>
          </w:p>
          <w:p w14:paraId="7AC14144" w14:textId="77777777" w:rsidR="00E02690" w:rsidRPr="00FA11C5" w:rsidRDefault="00E02690" w:rsidP="00E02690">
            <w:pPr>
              <w:spacing w:before="284"/>
              <w:rPr>
                <w:rFonts w:ascii="Arial" w:hAnsi="Arial" w:cs="Arial"/>
                <w:b/>
                <w:bCs/>
                <w:sz w:val="18"/>
              </w:rPr>
            </w:pPr>
            <w:r w:rsidRPr="00FA11C5">
              <w:rPr>
                <w:rFonts w:ascii="Arial" w:hAnsi="Arial" w:cs="Arial"/>
                <w:b/>
                <w:bCs/>
                <w:color w:val="808080"/>
                <w:spacing w:val="100"/>
              </w:rPr>
              <w:t>International Telecommunication Union</w:t>
            </w:r>
          </w:p>
        </w:tc>
      </w:tr>
      <w:tr w:rsidR="00E02690" w:rsidRPr="00FA11C5" w14:paraId="5227D5E5" w14:textId="77777777" w:rsidTr="00E02690">
        <w:trPr>
          <w:trHeight w:hRule="exact" w:val="992"/>
        </w:trPr>
        <w:tc>
          <w:tcPr>
            <w:tcW w:w="1428" w:type="dxa"/>
            <w:gridSpan w:val="2"/>
          </w:tcPr>
          <w:p w14:paraId="6E83F0E9" w14:textId="77777777" w:rsidR="00E02690" w:rsidRPr="00FA11C5" w:rsidRDefault="00E02690" w:rsidP="00E02690">
            <w:pPr>
              <w:spacing w:before="0"/>
            </w:pPr>
          </w:p>
        </w:tc>
        <w:tc>
          <w:tcPr>
            <w:tcW w:w="8520" w:type="dxa"/>
            <w:gridSpan w:val="3"/>
          </w:tcPr>
          <w:p w14:paraId="56BE008C" w14:textId="77777777" w:rsidR="00E02690" w:rsidRPr="00FA11C5" w:rsidRDefault="00E02690" w:rsidP="00E02690"/>
        </w:tc>
      </w:tr>
      <w:tr w:rsidR="00E02690" w:rsidRPr="00FA11C5" w14:paraId="776E3E56" w14:textId="77777777" w:rsidTr="00E02690">
        <w:tblPrEx>
          <w:tblCellMar>
            <w:left w:w="85" w:type="dxa"/>
            <w:right w:w="85" w:type="dxa"/>
          </w:tblCellMar>
        </w:tblPrEx>
        <w:trPr>
          <w:gridBefore w:val="2"/>
          <w:wBefore w:w="1428" w:type="dxa"/>
        </w:trPr>
        <w:tc>
          <w:tcPr>
            <w:tcW w:w="2520" w:type="dxa"/>
          </w:tcPr>
          <w:p w14:paraId="5D45A6A1" w14:textId="77777777" w:rsidR="00E02690" w:rsidRPr="00FA11C5" w:rsidRDefault="00E02690" w:rsidP="00E02690">
            <w:pPr>
              <w:rPr>
                <w:b/>
                <w:sz w:val="18"/>
              </w:rPr>
            </w:pPr>
            <w:bookmarkStart w:id="0" w:name="dnume" w:colFirst="1" w:colLast="1"/>
            <w:r w:rsidRPr="00FA11C5">
              <w:rPr>
                <w:rFonts w:ascii="Arial" w:hAnsi="Arial"/>
                <w:b/>
                <w:spacing w:val="40"/>
                <w:sz w:val="72"/>
              </w:rPr>
              <w:t>ITU-T</w:t>
            </w:r>
          </w:p>
        </w:tc>
        <w:tc>
          <w:tcPr>
            <w:tcW w:w="6000" w:type="dxa"/>
            <w:gridSpan w:val="2"/>
          </w:tcPr>
          <w:p w14:paraId="541652AB" w14:textId="77777777" w:rsidR="00E02690" w:rsidRPr="00FA11C5" w:rsidRDefault="00E02690" w:rsidP="00C26533">
            <w:pPr>
              <w:spacing w:before="240"/>
              <w:jc w:val="right"/>
              <w:rPr>
                <w:rFonts w:ascii="Arial" w:hAnsi="Arial" w:cs="Arial"/>
                <w:b/>
                <w:sz w:val="60"/>
              </w:rPr>
            </w:pPr>
            <w:r w:rsidRPr="00FA11C5">
              <w:rPr>
                <w:rFonts w:ascii="Arial" w:hAnsi="Arial"/>
                <w:b/>
                <w:sz w:val="60"/>
              </w:rPr>
              <w:t xml:space="preserve">Technical </w:t>
            </w:r>
            <w:r w:rsidR="00C26533" w:rsidRPr="00FA11C5">
              <w:rPr>
                <w:rFonts w:ascii="Arial" w:hAnsi="Arial"/>
                <w:b/>
                <w:sz w:val="60"/>
              </w:rPr>
              <w:t>Report</w:t>
            </w:r>
          </w:p>
        </w:tc>
      </w:tr>
      <w:tr w:rsidR="00E02690" w:rsidRPr="00FA11C5" w14:paraId="059915C1" w14:textId="77777777" w:rsidTr="00E77DB9">
        <w:tblPrEx>
          <w:tblCellMar>
            <w:left w:w="85" w:type="dxa"/>
            <w:right w:w="85" w:type="dxa"/>
          </w:tblCellMar>
        </w:tblPrEx>
        <w:trPr>
          <w:gridBefore w:val="2"/>
          <w:wBefore w:w="1428" w:type="dxa"/>
          <w:trHeight w:val="974"/>
        </w:trPr>
        <w:tc>
          <w:tcPr>
            <w:tcW w:w="4549" w:type="dxa"/>
            <w:gridSpan w:val="2"/>
          </w:tcPr>
          <w:p w14:paraId="5B5A6FBD" w14:textId="19A1953A" w:rsidR="00E02690" w:rsidRPr="00FA11C5" w:rsidRDefault="00E02690" w:rsidP="00721C92">
            <w:pPr>
              <w:jc w:val="left"/>
              <w:rPr>
                <w:b/>
              </w:rPr>
            </w:pPr>
            <w:bookmarkStart w:id="1" w:name="ddatee" w:colFirst="1" w:colLast="1"/>
            <w:bookmarkEnd w:id="0"/>
            <w:r w:rsidRPr="00FA11C5">
              <w:rPr>
                <w:rFonts w:ascii="Arial" w:hAnsi="Arial"/>
              </w:rPr>
              <w:t>TELECOMMUNICATION</w:t>
            </w:r>
            <w:r w:rsidRPr="00FA11C5">
              <w:rPr>
                <w:rFonts w:ascii="Arial" w:hAnsi="Arial"/>
              </w:rPr>
              <w:br/>
              <w:t>STANDARDIZATION SECTOR</w:t>
            </w:r>
            <w:r w:rsidRPr="00FA11C5">
              <w:rPr>
                <w:rFonts w:ascii="Arial" w:hAnsi="Arial"/>
              </w:rPr>
              <w:br/>
              <w:t>OF ITU</w:t>
            </w:r>
          </w:p>
        </w:tc>
        <w:tc>
          <w:tcPr>
            <w:tcW w:w="3971" w:type="dxa"/>
            <w:vAlign w:val="center"/>
          </w:tcPr>
          <w:p w14:paraId="64D62011" w14:textId="2CAA4CED" w:rsidR="00E02690" w:rsidRPr="00FA11C5" w:rsidRDefault="00E02690" w:rsidP="00E77DB9">
            <w:pPr>
              <w:wordWrap w:val="0"/>
              <w:spacing w:before="0"/>
              <w:jc w:val="right"/>
              <w:rPr>
                <w:rFonts w:ascii="Arial" w:hAnsi="Arial"/>
                <w:sz w:val="28"/>
              </w:rPr>
            </w:pPr>
            <w:r w:rsidRPr="00FA11C5">
              <w:rPr>
                <w:rFonts w:ascii="Arial" w:hAnsi="Arial"/>
                <w:sz w:val="28"/>
              </w:rPr>
              <w:t>(</w:t>
            </w:r>
            <w:r w:rsidR="00E77DB9" w:rsidRPr="00FA11C5">
              <w:rPr>
                <w:rFonts w:ascii="Arial" w:hAnsi="Arial"/>
                <w:sz w:val="28"/>
              </w:rPr>
              <w:t>24</w:t>
            </w:r>
            <w:r w:rsidRPr="00FA11C5">
              <w:rPr>
                <w:rFonts w:ascii="Arial" w:hAnsi="Arial"/>
                <w:sz w:val="28"/>
              </w:rPr>
              <w:t xml:space="preserve"> </w:t>
            </w:r>
            <w:r w:rsidR="00C05DA3" w:rsidRPr="00FA11C5">
              <w:rPr>
                <w:rFonts w:ascii="Arial" w:hAnsi="Arial"/>
                <w:sz w:val="28"/>
              </w:rPr>
              <w:t>November 2021)</w:t>
            </w:r>
          </w:p>
        </w:tc>
      </w:tr>
      <w:tr w:rsidR="00C05DA3" w:rsidRPr="00FA11C5" w14:paraId="58C34442" w14:textId="77777777" w:rsidTr="00E02690">
        <w:trPr>
          <w:cantSplit/>
          <w:trHeight w:hRule="exact" w:val="3402"/>
        </w:trPr>
        <w:tc>
          <w:tcPr>
            <w:tcW w:w="1418" w:type="dxa"/>
          </w:tcPr>
          <w:p w14:paraId="5CE43DF7" w14:textId="77777777" w:rsidR="00C05DA3" w:rsidRPr="00FA11C5" w:rsidRDefault="00C05DA3" w:rsidP="00C05DA3">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64FCA99D" w14:textId="77777777" w:rsidR="00C05DA3" w:rsidRPr="00FA11C5" w:rsidRDefault="00C05DA3" w:rsidP="00C05DA3">
            <w:pPr>
              <w:tabs>
                <w:tab w:val="right" w:pos="9639"/>
              </w:tabs>
              <w:rPr>
                <w:rFonts w:ascii="Arial" w:hAnsi="Arial"/>
                <w:sz w:val="32"/>
              </w:rPr>
            </w:pPr>
            <w:r w:rsidRPr="00FA11C5">
              <w:rPr>
                <w:rFonts w:ascii="Arial" w:hAnsi="Arial"/>
                <w:sz w:val="32"/>
              </w:rPr>
              <w:t xml:space="preserve">ITU-T Focus Group on Quantum Information </w:t>
            </w:r>
          </w:p>
          <w:p w14:paraId="3B2A170E" w14:textId="4C03D948" w:rsidR="00C05DA3" w:rsidRPr="00FA11C5" w:rsidRDefault="00C05DA3" w:rsidP="00C05DA3">
            <w:pPr>
              <w:tabs>
                <w:tab w:val="right" w:pos="9639"/>
              </w:tabs>
              <w:spacing w:after="240"/>
              <w:rPr>
                <w:rFonts w:ascii="Arial" w:hAnsi="Arial"/>
                <w:sz w:val="32"/>
              </w:rPr>
            </w:pPr>
            <w:r w:rsidRPr="00FA11C5">
              <w:rPr>
                <w:rFonts w:ascii="Arial" w:hAnsi="Arial"/>
                <w:sz w:val="32"/>
              </w:rPr>
              <w:t>Technology for Networks (FG QIT4N)</w:t>
            </w:r>
          </w:p>
        </w:tc>
      </w:tr>
      <w:tr w:rsidR="00C05DA3" w:rsidRPr="00FA11C5" w14:paraId="53C17F12" w14:textId="77777777" w:rsidTr="00E02690">
        <w:trPr>
          <w:cantSplit/>
          <w:trHeight w:hRule="exact" w:val="4536"/>
        </w:trPr>
        <w:tc>
          <w:tcPr>
            <w:tcW w:w="1418" w:type="dxa"/>
          </w:tcPr>
          <w:p w14:paraId="561E7F74" w14:textId="77777777" w:rsidR="00C05DA3" w:rsidRPr="00FA11C5" w:rsidRDefault="00C05DA3" w:rsidP="00C05DA3">
            <w:pPr>
              <w:tabs>
                <w:tab w:val="right" w:pos="9639"/>
              </w:tabs>
              <w:rPr>
                <w:rFonts w:ascii="Arial" w:hAnsi="Arial"/>
                <w:sz w:val="18"/>
              </w:rPr>
            </w:pPr>
            <w:bookmarkStart w:id="3" w:name="c1tite" w:colFirst="1" w:colLast="1"/>
            <w:bookmarkEnd w:id="2"/>
          </w:p>
        </w:tc>
        <w:tc>
          <w:tcPr>
            <w:tcW w:w="8530" w:type="dxa"/>
            <w:gridSpan w:val="4"/>
          </w:tcPr>
          <w:p w14:paraId="613E6B6E" w14:textId="61EF0220" w:rsidR="00C05DA3" w:rsidRPr="00FA11C5" w:rsidRDefault="00C05DA3" w:rsidP="00C05DA3">
            <w:pPr>
              <w:tabs>
                <w:tab w:val="right" w:pos="9639"/>
              </w:tabs>
              <w:spacing w:before="240" w:after="120"/>
              <w:rPr>
                <w:rFonts w:ascii="Arial" w:hAnsi="Arial" w:cs="Arial"/>
                <w:b/>
                <w:bCs/>
                <w:sz w:val="36"/>
              </w:rPr>
            </w:pPr>
            <w:r w:rsidRPr="00FA11C5">
              <w:rPr>
                <w:rFonts w:ascii="Arial" w:hAnsi="Arial" w:cs="Arial"/>
                <w:b/>
                <w:bCs/>
                <w:sz w:val="36"/>
              </w:rPr>
              <w:t xml:space="preserve">FG QIT4N D1.4 </w:t>
            </w:r>
          </w:p>
          <w:p w14:paraId="6B0C590F" w14:textId="190BBE74" w:rsidR="00C05DA3" w:rsidRPr="00FA11C5" w:rsidRDefault="00C05DA3" w:rsidP="00721C92">
            <w:pPr>
              <w:tabs>
                <w:tab w:val="right" w:pos="9639"/>
              </w:tabs>
              <w:jc w:val="left"/>
              <w:rPr>
                <w:rFonts w:ascii="Arial" w:hAnsi="Arial" w:cs="Arial"/>
                <w:b/>
                <w:bCs/>
                <w:sz w:val="36"/>
              </w:rPr>
            </w:pPr>
            <w:bookmarkStart w:id="4" w:name="_Hlk89151399"/>
            <w:r w:rsidRPr="00FA11C5">
              <w:rPr>
                <w:rFonts w:ascii="Arial" w:hAnsi="Arial" w:cs="Arial"/>
                <w:b/>
                <w:bCs/>
                <w:sz w:val="36"/>
              </w:rPr>
              <w:t xml:space="preserve">Standardization outlook and technology maturity: Network aspects of </w:t>
            </w:r>
            <w:r w:rsidR="00E77DB9" w:rsidRPr="00FA11C5">
              <w:rPr>
                <w:rFonts w:ascii="Arial" w:hAnsi="Arial" w:cs="Arial"/>
                <w:b/>
                <w:bCs/>
                <w:sz w:val="36"/>
              </w:rPr>
              <w:t>quantum information technologies</w:t>
            </w:r>
            <w:bookmarkEnd w:id="4"/>
          </w:p>
        </w:tc>
      </w:tr>
      <w:bookmarkEnd w:id="3"/>
      <w:tr w:rsidR="00E02690" w:rsidRPr="00FA11C5" w14:paraId="4728CA5B" w14:textId="77777777" w:rsidTr="00F75067">
        <w:trPr>
          <w:cantSplit/>
          <w:trHeight w:hRule="exact" w:val="1418"/>
        </w:trPr>
        <w:tc>
          <w:tcPr>
            <w:tcW w:w="1418" w:type="dxa"/>
          </w:tcPr>
          <w:p w14:paraId="4134C1A9" w14:textId="77777777" w:rsidR="00E02690" w:rsidRPr="00FA11C5" w:rsidRDefault="00E02690" w:rsidP="00E02690">
            <w:pPr>
              <w:tabs>
                <w:tab w:val="right" w:pos="9639"/>
              </w:tabs>
              <w:rPr>
                <w:rFonts w:ascii="Arial" w:hAnsi="Arial"/>
                <w:sz w:val="18"/>
              </w:rPr>
            </w:pPr>
          </w:p>
        </w:tc>
        <w:tc>
          <w:tcPr>
            <w:tcW w:w="8530" w:type="dxa"/>
            <w:gridSpan w:val="4"/>
            <w:vAlign w:val="center"/>
          </w:tcPr>
          <w:p w14:paraId="1FF64E5B" w14:textId="5BE746C9" w:rsidR="00E02690" w:rsidRPr="00FA11C5" w:rsidRDefault="00E02690" w:rsidP="00F75067">
            <w:pPr>
              <w:tabs>
                <w:tab w:val="right" w:pos="9639"/>
              </w:tabs>
              <w:spacing w:before="60"/>
              <w:jc w:val="center"/>
              <w:rPr>
                <w:rFonts w:ascii="Arial" w:hAnsi="Arial" w:cs="Arial"/>
                <w:sz w:val="32"/>
              </w:rPr>
            </w:pPr>
            <w:bookmarkStart w:id="5" w:name="dnum2e"/>
            <w:bookmarkEnd w:id="5"/>
          </w:p>
        </w:tc>
      </w:tr>
    </w:tbl>
    <w:p w14:paraId="6E7D44CD" w14:textId="77777777" w:rsidR="00E77DB9" w:rsidRPr="00FA11C5" w:rsidRDefault="00E77DB9" w:rsidP="00737170">
      <w:pPr>
        <w:spacing w:after="120"/>
        <w:jc w:val="center"/>
      </w:pPr>
    </w:p>
    <w:p w14:paraId="79C53525" w14:textId="77777777" w:rsidR="00E77DB9" w:rsidRPr="00FA11C5" w:rsidRDefault="00E77DB9" w:rsidP="00E77DB9">
      <w:pPr>
        <w:pStyle w:val="Headingb"/>
        <w:jc w:val="center"/>
        <w:rPr>
          <w:b w:val="0"/>
          <w:bCs/>
          <w:sz w:val="22"/>
          <w:szCs w:val="18"/>
        </w:rPr>
      </w:pPr>
      <w:r w:rsidRPr="00FA11C5">
        <w:br w:type="page"/>
      </w:r>
      <w:r w:rsidRPr="00FA11C5">
        <w:rPr>
          <w:b w:val="0"/>
          <w:bCs/>
          <w:sz w:val="22"/>
          <w:szCs w:val="18"/>
        </w:rPr>
        <w:lastRenderedPageBreak/>
        <w:t>FOREWORD</w:t>
      </w:r>
    </w:p>
    <w:p w14:paraId="1D94CF1D" w14:textId="5569C0F9" w:rsidR="00E77DB9" w:rsidRPr="00FA11C5" w:rsidRDefault="00CA60B6" w:rsidP="00CA60B6">
      <w:pPr>
        <w:spacing w:line="276" w:lineRule="auto"/>
        <w:rPr>
          <w:sz w:val="22"/>
        </w:rPr>
      </w:pPr>
      <w:r w:rsidRPr="00FA11C5">
        <w:rPr>
          <w:sz w:val="22"/>
          <w:szCs w:val="22"/>
        </w:rPr>
        <w:t>The International Telecommunication Union (ITU) is the United Nations specialized agency in the field of telecommunications,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r w:rsidRPr="00FA11C5">
        <w:rPr>
          <w:sz w:val="22"/>
        </w:rPr>
        <w:t>.</w:t>
      </w:r>
    </w:p>
    <w:p w14:paraId="70DA49F3" w14:textId="77777777" w:rsidR="00E77DB9" w:rsidRPr="00FA11C5" w:rsidRDefault="00E77DB9" w:rsidP="00E77DB9">
      <w:pPr>
        <w:rPr>
          <w:sz w:val="22"/>
          <w:szCs w:val="18"/>
          <w:lang w:eastAsia="ja-JP"/>
        </w:rPr>
      </w:pPr>
      <w:r w:rsidRPr="00FA11C5">
        <w:rPr>
          <w:sz w:val="22"/>
          <w:szCs w:val="18"/>
          <w:lang w:eastAsia="ja-JP"/>
        </w:rPr>
        <w:t>Quantum information technology (QIT) is a class of emerging technology that improves information processing capability by harnessing principles of quantum mechanics which is expected to have a profound impact to ICT networks.</w:t>
      </w:r>
    </w:p>
    <w:p w14:paraId="0153D4E2" w14:textId="77777777" w:rsidR="00E77DB9" w:rsidRPr="00FA11C5" w:rsidRDefault="00E77DB9" w:rsidP="00E77DB9">
      <w:pPr>
        <w:rPr>
          <w:sz w:val="22"/>
          <w:szCs w:val="18"/>
          <w:lang w:eastAsia="ja-JP"/>
        </w:rPr>
      </w:pPr>
      <w:r w:rsidRPr="00FA11C5">
        <w:rPr>
          <w:sz w:val="22"/>
          <w:szCs w:val="18"/>
          <w:lang w:eastAsia="ja-JP"/>
        </w:rPr>
        <w:t>The ITU Telecommunication Standardization Advisory Group established the ITU-T Focus Group on Quantum Information Technology for Networks (FG QIT4N) in September 2019 to provide a collaborative platform to study the pre-standardization aspects of QITs for ICT networks.</w:t>
      </w:r>
    </w:p>
    <w:p w14:paraId="081AA145" w14:textId="77777777" w:rsidR="00E77DB9" w:rsidRPr="00FA11C5" w:rsidRDefault="00E77DB9" w:rsidP="00E77DB9">
      <w:pPr>
        <w:rPr>
          <w:sz w:val="22"/>
          <w:szCs w:val="18"/>
          <w:lang w:eastAsia="ja-JP"/>
        </w:rPr>
      </w:pPr>
      <w:r w:rsidRPr="00FA11C5">
        <w:rPr>
          <w:sz w:val="22"/>
          <w:szCs w:val="18"/>
          <w:lang w:eastAsia="ja-JP"/>
        </w:rPr>
        <w:t xml:space="preserve">The procedures for establishment of focus groups are defined in Recommendation ITU-T A.7. </w:t>
      </w:r>
    </w:p>
    <w:p w14:paraId="00A98C45" w14:textId="77777777" w:rsidR="00E77DB9" w:rsidRPr="00FA11C5" w:rsidRDefault="00E77DB9" w:rsidP="00E77DB9">
      <w:pPr>
        <w:rPr>
          <w:sz w:val="22"/>
          <w:szCs w:val="18"/>
          <w:lang w:eastAsia="ja-JP"/>
        </w:rPr>
      </w:pPr>
      <w:r w:rsidRPr="00FA11C5">
        <w:rPr>
          <w:sz w:val="22"/>
          <w:szCs w:val="18"/>
          <w:lang w:eastAsia="ja-JP"/>
        </w:rPr>
        <w:t>Deliverables of focus groups can take the form of technical reports, specifications, etc., and aim to provide material for consideration by the parent group in its standardization activities. Deliverables of focus groups are not ITU-T Recommendations.</w:t>
      </w:r>
    </w:p>
    <w:p w14:paraId="0376D487" w14:textId="77777777" w:rsidR="00E77DB9" w:rsidRPr="00FA11C5" w:rsidRDefault="00E77DB9" w:rsidP="00651EBA">
      <w:pPr>
        <w:spacing w:after="120"/>
        <w:rPr>
          <w:sz w:val="22"/>
          <w:szCs w:val="18"/>
          <w:lang w:eastAsia="ja-JP"/>
        </w:rPr>
      </w:pPr>
      <w:r w:rsidRPr="00FA11C5">
        <w:rPr>
          <w:sz w:val="22"/>
          <w:szCs w:val="18"/>
          <w:lang w:eastAsia="ja-JP"/>
        </w:rPr>
        <w:t>FG QIT4N concluded and adopted all its Deliverables as technical reports on 24 November 2021.</w:t>
      </w:r>
    </w:p>
    <w:tbl>
      <w:tblPr>
        <w:tblStyle w:val="TableGrid1"/>
        <w:tblW w:w="0" w:type="auto"/>
        <w:jc w:val="center"/>
        <w:tblLook w:val="04A0" w:firstRow="1" w:lastRow="0" w:firstColumn="1" w:lastColumn="0" w:noHBand="0" w:noVBand="1"/>
      </w:tblPr>
      <w:tblGrid>
        <w:gridCol w:w="1705"/>
        <w:gridCol w:w="7771"/>
      </w:tblGrid>
      <w:tr w:rsidR="00E77DB9" w:rsidRPr="00FA11C5" w14:paraId="22D25950" w14:textId="77777777" w:rsidTr="00323ACE">
        <w:trPr>
          <w:jc w:val="center"/>
        </w:trPr>
        <w:tc>
          <w:tcPr>
            <w:tcW w:w="1705" w:type="dxa"/>
          </w:tcPr>
          <w:p w14:paraId="6D3185A7" w14:textId="77777777" w:rsidR="00E77DB9" w:rsidRPr="00FA11C5" w:rsidRDefault="00E77DB9" w:rsidP="00323ACE">
            <w:pPr>
              <w:rPr>
                <w:b/>
                <w:sz w:val="22"/>
                <w:szCs w:val="22"/>
              </w:rPr>
            </w:pPr>
            <w:r w:rsidRPr="00FA11C5">
              <w:rPr>
                <w:b/>
                <w:sz w:val="22"/>
                <w:szCs w:val="22"/>
              </w:rPr>
              <w:t>Number</w:t>
            </w:r>
          </w:p>
        </w:tc>
        <w:tc>
          <w:tcPr>
            <w:tcW w:w="7771" w:type="dxa"/>
          </w:tcPr>
          <w:p w14:paraId="1FE156F9" w14:textId="77777777" w:rsidR="00E77DB9" w:rsidRPr="00FA11C5" w:rsidRDefault="00E77DB9" w:rsidP="00323ACE">
            <w:pPr>
              <w:rPr>
                <w:b/>
                <w:sz w:val="22"/>
                <w:szCs w:val="22"/>
              </w:rPr>
            </w:pPr>
            <w:r w:rsidRPr="00FA11C5">
              <w:rPr>
                <w:b/>
                <w:sz w:val="22"/>
                <w:szCs w:val="22"/>
              </w:rPr>
              <w:t>Title</w:t>
            </w:r>
          </w:p>
        </w:tc>
      </w:tr>
      <w:tr w:rsidR="00E77DB9" w:rsidRPr="00FA11C5" w14:paraId="58C9FC9B" w14:textId="77777777" w:rsidTr="00323ACE">
        <w:trPr>
          <w:jc w:val="center"/>
        </w:trPr>
        <w:tc>
          <w:tcPr>
            <w:tcW w:w="1705" w:type="dxa"/>
          </w:tcPr>
          <w:p w14:paraId="7AB91725" w14:textId="77777777" w:rsidR="00E77DB9" w:rsidRPr="00FA11C5" w:rsidRDefault="00E77DB9" w:rsidP="00323ACE">
            <w:pPr>
              <w:rPr>
                <w:sz w:val="22"/>
                <w:szCs w:val="22"/>
              </w:rPr>
            </w:pPr>
            <w:r w:rsidRPr="00FA11C5">
              <w:rPr>
                <w:sz w:val="22"/>
                <w:szCs w:val="22"/>
              </w:rPr>
              <w:t>FG QIT4N D1.1</w:t>
            </w:r>
          </w:p>
        </w:tc>
        <w:tc>
          <w:tcPr>
            <w:tcW w:w="7771" w:type="dxa"/>
          </w:tcPr>
          <w:p w14:paraId="29B9D26A" w14:textId="77777777" w:rsidR="00E77DB9" w:rsidRPr="00FA11C5" w:rsidRDefault="00E77DB9" w:rsidP="00323ACE">
            <w:pPr>
              <w:rPr>
                <w:sz w:val="22"/>
                <w:szCs w:val="22"/>
              </w:rPr>
            </w:pPr>
            <w:r w:rsidRPr="00FA11C5">
              <w:rPr>
                <w:sz w:val="22"/>
                <w:szCs w:val="22"/>
              </w:rPr>
              <w:t>QIT4N terminology: Network aspects of QITs</w:t>
            </w:r>
          </w:p>
        </w:tc>
      </w:tr>
      <w:tr w:rsidR="00E77DB9" w:rsidRPr="00FA11C5" w14:paraId="21AF28FB" w14:textId="77777777" w:rsidTr="00323ACE">
        <w:trPr>
          <w:jc w:val="center"/>
        </w:trPr>
        <w:tc>
          <w:tcPr>
            <w:tcW w:w="1705" w:type="dxa"/>
          </w:tcPr>
          <w:p w14:paraId="57ECA6D1" w14:textId="77777777" w:rsidR="00E77DB9" w:rsidRPr="00FA11C5" w:rsidRDefault="00E77DB9" w:rsidP="00323ACE">
            <w:pPr>
              <w:rPr>
                <w:sz w:val="22"/>
                <w:szCs w:val="22"/>
              </w:rPr>
            </w:pPr>
            <w:bookmarkStart w:id="6" w:name="_Hlk89071177"/>
            <w:r w:rsidRPr="00FA11C5">
              <w:rPr>
                <w:sz w:val="22"/>
                <w:szCs w:val="22"/>
              </w:rPr>
              <w:t>FG QIT4N D1.2</w:t>
            </w:r>
          </w:p>
        </w:tc>
        <w:tc>
          <w:tcPr>
            <w:tcW w:w="7771" w:type="dxa"/>
          </w:tcPr>
          <w:p w14:paraId="2CC877F8" w14:textId="77777777" w:rsidR="00E77DB9" w:rsidRPr="00FA11C5" w:rsidRDefault="00E77DB9" w:rsidP="00323ACE">
            <w:pPr>
              <w:rPr>
                <w:sz w:val="22"/>
                <w:szCs w:val="22"/>
              </w:rPr>
            </w:pPr>
            <w:r w:rsidRPr="00FA11C5">
              <w:rPr>
                <w:sz w:val="22"/>
                <w:szCs w:val="22"/>
              </w:rPr>
              <w:t>QIT4N use cases: Network aspects of QITs</w:t>
            </w:r>
          </w:p>
        </w:tc>
      </w:tr>
      <w:tr w:rsidR="00E77DB9" w:rsidRPr="00FA11C5" w14:paraId="346962DC" w14:textId="77777777" w:rsidTr="00323ACE">
        <w:trPr>
          <w:jc w:val="center"/>
        </w:trPr>
        <w:tc>
          <w:tcPr>
            <w:tcW w:w="1705" w:type="dxa"/>
          </w:tcPr>
          <w:p w14:paraId="57C3EE63" w14:textId="77777777" w:rsidR="00E77DB9" w:rsidRPr="00FA11C5" w:rsidRDefault="00E77DB9" w:rsidP="00323ACE">
            <w:pPr>
              <w:rPr>
                <w:sz w:val="22"/>
                <w:szCs w:val="22"/>
              </w:rPr>
            </w:pPr>
            <w:r w:rsidRPr="00FA11C5">
              <w:rPr>
                <w:sz w:val="22"/>
                <w:szCs w:val="22"/>
              </w:rPr>
              <w:t>FG QIT4N D1.4</w:t>
            </w:r>
          </w:p>
        </w:tc>
        <w:tc>
          <w:tcPr>
            <w:tcW w:w="7771" w:type="dxa"/>
          </w:tcPr>
          <w:p w14:paraId="129D3791" w14:textId="77777777" w:rsidR="00E77DB9" w:rsidRPr="00FA11C5" w:rsidRDefault="00E77DB9" w:rsidP="00323ACE">
            <w:pPr>
              <w:rPr>
                <w:sz w:val="22"/>
                <w:szCs w:val="22"/>
              </w:rPr>
            </w:pPr>
            <w:r w:rsidRPr="00FA11C5">
              <w:rPr>
                <w:sz w:val="22"/>
                <w:szCs w:val="22"/>
              </w:rPr>
              <w:t xml:space="preserve">Standardization outlook and technology maturity: Network aspects of QITs </w:t>
            </w:r>
          </w:p>
        </w:tc>
      </w:tr>
      <w:bookmarkEnd w:id="6"/>
      <w:tr w:rsidR="00E77DB9" w:rsidRPr="00FA11C5" w14:paraId="207D7055" w14:textId="77777777" w:rsidTr="00323ACE">
        <w:trPr>
          <w:jc w:val="center"/>
        </w:trPr>
        <w:tc>
          <w:tcPr>
            <w:tcW w:w="1705" w:type="dxa"/>
          </w:tcPr>
          <w:p w14:paraId="4A0259B4" w14:textId="77777777" w:rsidR="00E77DB9" w:rsidRPr="00FA11C5" w:rsidRDefault="00E77DB9" w:rsidP="00323ACE">
            <w:pPr>
              <w:rPr>
                <w:sz w:val="22"/>
                <w:szCs w:val="22"/>
              </w:rPr>
            </w:pPr>
            <w:r w:rsidRPr="00FA11C5">
              <w:rPr>
                <w:sz w:val="22"/>
                <w:szCs w:val="22"/>
              </w:rPr>
              <w:t>FG QIT4N D2.1</w:t>
            </w:r>
          </w:p>
        </w:tc>
        <w:tc>
          <w:tcPr>
            <w:tcW w:w="7771" w:type="dxa"/>
          </w:tcPr>
          <w:p w14:paraId="573828AE" w14:textId="77777777" w:rsidR="00E77DB9" w:rsidRPr="00FA11C5" w:rsidRDefault="00E77DB9" w:rsidP="00323ACE">
            <w:pPr>
              <w:rPr>
                <w:sz w:val="22"/>
                <w:szCs w:val="22"/>
              </w:rPr>
            </w:pPr>
            <w:r w:rsidRPr="00FA11C5">
              <w:rPr>
                <w:sz w:val="22"/>
                <w:szCs w:val="22"/>
              </w:rPr>
              <w:t xml:space="preserve">QIT4N terminology: QKDN </w:t>
            </w:r>
          </w:p>
        </w:tc>
      </w:tr>
      <w:tr w:rsidR="00E77DB9" w:rsidRPr="00FA11C5" w14:paraId="4201F014" w14:textId="77777777" w:rsidTr="00323ACE">
        <w:trPr>
          <w:jc w:val="center"/>
        </w:trPr>
        <w:tc>
          <w:tcPr>
            <w:tcW w:w="1705" w:type="dxa"/>
          </w:tcPr>
          <w:p w14:paraId="074B2D8C" w14:textId="77777777" w:rsidR="00E77DB9" w:rsidRPr="00FA11C5" w:rsidRDefault="00E77DB9" w:rsidP="00323ACE">
            <w:pPr>
              <w:rPr>
                <w:sz w:val="22"/>
                <w:szCs w:val="22"/>
              </w:rPr>
            </w:pPr>
            <w:r w:rsidRPr="00FA11C5">
              <w:rPr>
                <w:sz w:val="22"/>
                <w:szCs w:val="22"/>
              </w:rPr>
              <w:t>FG QIT4N D2.2</w:t>
            </w:r>
          </w:p>
        </w:tc>
        <w:tc>
          <w:tcPr>
            <w:tcW w:w="7771" w:type="dxa"/>
          </w:tcPr>
          <w:p w14:paraId="6A1EFDF8" w14:textId="77777777" w:rsidR="00E77DB9" w:rsidRPr="00FA11C5" w:rsidRDefault="00E77DB9" w:rsidP="00323ACE">
            <w:pPr>
              <w:rPr>
                <w:sz w:val="22"/>
                <w:szCs w:val="22"/>
              </w:rPr>
            </w:pPr>
            <w:r w:rsidRPr="00FA11C5">
              <w:rPr>
                <w:sz w:val="22"/>
                <w:szCs w:val="22"/>
              </w:rPr>
              <w:t xml:space="preserve">QIT4N use cases: QKDN </w:t>
            </w:r>
          </w:p>
        </w:tc>
      </w:tr>
      <w:tr w:rsidR="00E77DB9" w:rsidRPr="00FA11C5" w14:paraId="28D3BCC9" w14:textId="77777777" w:rsidTr="00323ACE">
        <w:trPr>
          <w:jc w:val="center"/>
        </w:trPr>
        <w:tc>
          <w:tcPr>
            <w:tcW w:w="1705" w:type="dxa"/>
          </w:tcPr>
          <w:p w14:paraId="5F641910" w14:textId="77777777" w:rsidR="00E77DB9" w:rsidRPr="00FA11C5" w:rsidRDefault="00E77DB9" w:rsidP="00323ACE">
            <w:pPr>
              <w:rPr>
                <w:sz w:val="22"/>
                <w:szCs w:val="22"/>
              </w:rPr>
            </w:pPr>
            <w:r w:rsidRPr="00FA11C5">
              <w:rPr>
                <w:sz w:val="22"/>
                <w:szCs w:val="22"/>
              </w:rPr>
              <w:t xml:space="preserve">FG QIT4N D2.3 </w:t>
            </w:r>
          </w:p>
        </w:tc>
        <w:tc>
          <w:tcPr>
            <w:tcW w:w="7771" w:type="dxa"/>
          </w:tcPr>
          <w:p w14:paraId="1E2266F0" w14:textId="77777777" w:rsidR="00E77DB9" w:rsidRPr="00FA11C5" w:rsidRDefault="00E77DB9" w:rsidP="00323ACE">
            <w:pPr>
              <w:rPr>
                <w:sz w:val="22"/>
                <w:szCs w:val="22"/>
              </w:rPr>
            </w:pPr>
            <w:r w:rsidRPr="00FA11C5">
              <w:rPr>
                <w:sz w:val="22"/>
                <w:szCs w:val="22"/>
              </w:rPr>
              <w:t>QKDN protocols: Quantum layer</w:t>
            </w:r>
          </w:p>
        </w:tc>
      </w:tr>
      <w:tr w:rsidR="00E77DB9" w:rsidRPr="00FA11C5" w14:paraId="6C17E212" w14:textId="77777777" w:rsidTr="00323ACE">
        <w:trPr>
          <w:jc w:val="center"/>
        </w:trPr>
        <w:tc>
          <w:tcPr>
            <w:tcW w:w="1705" w:type="dxa"/>
          </w:tcPr>
          <w:p w14:paraId="5DFE3C51" w14:textId="77777777" w:rsidR="00E77DB9" w:rsidRPr="00FA11C5" w:rsidRDefault="00E77DB9" w:rsidP="00323ACE">
            <w:pPr>
              <w:rPr>
                <w:sz w:val="22"/>
                <w:szCs w:val="22"/>
              </w:rPr>
            </w:pPr>
            <w:r w:rsidRPr="00FA11C5">
              <w:rPr>
                <w:sz w:val="22"/>
                <w:szCs w:val="22"/>
              </w:rPr>
              <w:t>FG QIT4N D2.3</w:t>
            </w:r>
          </w:p>
        </w:tc>
        <w:tc>
          <w:tcPr>
            <w:tcW w:w="7771" w:type="dxa"/>
          </w:tcPr>
          <w:p w14:paraId="7D5CCC55" w14:textId="77777777" w:rsidR="00E77DB9" w:rsidRPr="00FA11C5" w:rsidRDefault="00E77DB9" w:rsidP="00323ACE">
            <w:pPr>
              <w:rPr>
                <w:sz w:val="22"/>
                <w:szCs w:val="22"/>
              </w:rPr>
            </w:pPr>
            <w:r w:rsidRPr="00FA11C5">
              <w:rPr>
                <w:sz w:val="22"/>
                <w:szCs w:val="22"/>
              </w:rPr>
              <w:t xml:space="preserve">QKDN protocols: Key management layer, QKDN control layer and QKDN management layer </w:t>
            </w:r>
          </w:p>
        </w:tc>
      </w:tr>
      <w:tr w:rsidR="00E77DB9" w:rsidRPr="00FA11C5" w14:paraId="769AC32D" w14:textId="77777777" w:rsidTr="00323ACE">
        <w:trPr>
          <w:jc w:val="center"/>
        </w:trPr>
        <w:tc>
          <w:tcPr>
            <w:tcW w:w="1705" w:type="dxa"/>
          </w:tcPr>
          <w:p w14:paraId="6B48BCDB" w14:textId="77777777" w:rsidR="00E77DB9" w:rsidRPr="00FA11C5" w:rsidRDefault="00E77DB9" w:rsidP="00323ACE">
            <w:pPr>
              <w:rPr>
                <w:sz w:val="22"/>
                <w:szCs w:val="22"/>
              </w:rPr>
            </w:pPr>
            <w:r w:rsidRPr="00FA11C5">
              <w:rPr>
                <w:sz w:val="22"/>
                <w:szCs w:val="22"/>
              </w:rPr>
              <w:t>FG QIT4N D2.4</w:t>
            </w:r>
          </w:p>
        </w:tc>
        <w:tc>
          <w:tcPr>
            <w:tcW w:w="7771" w:type="dxa"/>
          </w:tcPr>
          <w:p w14:paraId="60820230" w14:textId="77777777" w:rsidR="00E77DB9" w:rsidRPr="00FA11C5" w:rsidRDefault="00E77DB9" w:rsidP="00323ACE">
            <w:pPr>
              <w:rPr>
                <w:sz w:val="22"/>
                <w:szCs w:val="22"/>
              </w:rPr>
            </w:pPr>
            <w:r w:rsidRPr="00FA11C5">
              <w:rPr>
                <w:sz w:val="22"/>
                <w:szCs w:val="22"/>
              </w:rPr>
              <w:t>QKDN transport technologies</w:t>
            </w:r>
          </w:p>
        </w:tc>
      </w:tr>
      <w:tr w:rsidR="00E77DB9" w:rsidRPr="00FA11C5" w14:paraId="2284880E" w14:textId="77777777" w:rsidTr="00323ACE">
        <w:trPr>
          <w:jc w:val="center"/>
        </w:trPr>
        <w:tc>
          <w:tcPr>
            <w:tcW w:w="1705" w:type="dxa"/>
          </w:tcPr>
          <w:p w14:paraId="2A3E8A16" w14:textId="77777777" w:rsidR="00E77DB9" w:rsidRPr="00FA11C5" w:rsidRDefault="00E77DB9" w:rsidP="00323ACE">
            <w:pPr>
              <w:rPr>
                <w:sz w:val="22"/>
                <w:szCs w:val="22"/>
              </w:rPr>
            </w:pPr>
            <w:r w:rsidRPr="00FA11C5">
              <w:rPr>
                <w:sz w:val="22"/>
                <w:szCs w:val="22"/>
              </w:rPr>
              <w:t>FG QIT4N D2.5</w:t>
            </w:r>
          </w:p>
        </w:tc>
        <w:tc>
          <w:tcPr>
            <w:tcW w:w="7771" w:type="dxa"/>
          </w:tcPr>
          <w:p w14:paraId="3C4447D5" w14:textId="77777777" w:rsidR="00E77DB9" w:rsidRPr="00FA11C5" w:rsidRDefault="00E77DB9" w:rsidP="00323ACE">
            <w:pPr>
              <w:rPr>
                <w:sz w:val="22"/>
                <w:szCs w:val="22"/>
              </w:rPr>
            </w:pPr>
            <w:r w:rsidRPr="00FA11C5">
              <w:rPr>
                <w:sz w:val="22"/>
                <w:szCs w:val="22"/>
              </w:rPr>
              <w:t xml:space="preserve">QKDN standardization outlook and technology maturity </w:t>
            </w:r>
          </w:p>
        </w:tc>
      </w:tr>
    </w:tbl>
    <w:p w14:paraId="5164341D" w14:textId="77777777" w:rsidR="00E77DB9" w:rsidRPr="00FA11C5" w:rsidRDefault="00E77DB9" w:rsidP="00E77DB9">
      <w:pPr>
        <w:rPr>
          <w:sz w:val="22"/>
          <w:szCs w:val="22"/>
          <w:lang w:eastAsia="ja-JP"/>
        </w:rPr>
      </w:pPr>
      <w:r w:rsidRPr="00FA11C5">
        <w:rPr>
          <w:sz w:val="22"/>
          <w:szCs w:val="22"/>
          <w:lang w:eastAsia="ja-JP"/>
        </w:rPr>
        <w:t xml:space="preserve">The FG QIT4N Deliverables are available on the ITU webpage, at </w:t>
      </w:r>
      <w:hyperlink r:id="rId11" w:history="1">
        <w:r w:rsidRPr="00FA11C5">
          <w:rPr>
            <w:rStyle w:val="Hyperlink"/>
            <w:sz w:val="22"/>
            <w:szCs w:val="22"/>
            <w:lang w:eastAsia="ja-JP"/>
          </w:rPr>
          <w:t>https://www.itu.int/en/ITU-T/focusgroups/qit4n/Pages/default.aspx</w:t>
        </w:r>
      </w:hyperlink>
      <w:r w:rsidRPr="00FA11C5">
        <w:rPr>
          <w:sz w:val="22"/>
          <w:szCs w:val="22"/>
          <w:lang w:eastAsia="ja-JP"/>
        </w:rPr>
        <w:t>.</w:t>
      </w:r>
    </w:p>
    <w:p w14:paraId="0C300AC4" w14:textId="77777777" w:rsidR="00E77DB9" w:rsidRPr="00FA11C5" w:rsidRDefault="00E77DB9" w:rsidP="00E77DB9">
      <w:pPr>
        <w:rPr>
          <w:sz w:val="22"/>
          <w:szCs w:val="22"/>
          <w:lang w:eastAsia="ja-JP"/>
        </w:rPr>
      </w:pPr>
      <w:r w:rsidRPr="00FA11C5">
        <w:rPr>
          <w:sz w:val="22"/>
          <w:szCs w:val="22"/>
          <w:lang w:eastAsia="ja-JP"/>
        </w:rPr>
        <w:t xml:space="preserve">For more information about FG QIT4N and its deliverables, please contact </w:t>
      </w:r>
      <w:hyperlink r:id="rId12" w:history="1">
        <w:r w:rsidRPr="00FA11C5">
          <w:rPr>
            <w:rStyle w:val="Hyperlink"/>
            <w:sz w:val="22"/>
            <w:szCs w:val="22"/>
            <w:lang w:eastAsia="ja-JP"/>
          </w:rPr>
          <w:t>tsbfgqit4n@itu.int</w:t>
        </w:r>
      </w:hyperlink>
      <w:r w:rsidRPr="00FA11C5">
        <w:rPr>
          <w:sz w:val="22"/>
          <w:szCs w:val="22"/>
          <w:lang w:eastAsia="ja-JP"/>
        </w:rPr>
        <w:t xml:space="preserve">. </w:t>
      </w:r>
    </w:p>
    <w:p w14:paraId="0D3289D4" w14:textId="77777777" w:rsidR="00E77DB9" w:rsidRPr="00FA11C5" w:rsidRDefault="00E77DB9" w:rsidP="00E77DB9">
      <w:pPr>
        <w:jc w:val="center"/>
        <w:rPr>
          <w:rFonts w:eastAsia="Batang"/>
          <w:sz w:val="22"/>
          <w:szCs w:val="22"/>
        </w:rPr>
      </w:pPr>
    </w:p>
    <w:p w14:paraId="76968031" w14:textId="77777777" w:rsidR="00E77DB9" w:rsidRPr="00FA11C5" w:rsidRDefault="00E77DB9" w:rsidP="00E77DB9">
      <w:pPr>
        <w:jc w:val="center"/>
        <w:rPr>
          <w:rFonts w:eastAsia="Batang"/>
          <w:sz w:val="22"/>
          <w:szCs w:val="22"/>
        </w:rPr>
      </w:pPr>
    </w:p>
    <w:p w14:paraId="2FC3C92F" w14:textId="77777777" w:rsidR="00E77DB9" w:rsidRPr="00FA11C5" w:rsidRDefault="00E77DB9" w:rsidP="00E77DB9">
      <w:pPr>
        <w:jc w:val="center"/>
        <w:rPr>
          <w:rFonts w:eastAsia="Batang"/>
          <w:sz w:val="22"/>
          <w:szCs w:val="22"/>
        </w:rPr>
      </w:pPr>
    </w:p>
    <w:p w14:paraId="1E29016A" w14:textId="77777777" w:rsidR="00E77DB9" w:rsidRPr="00FA11C5" w:rsidRDefault="00E77DB9" w:rsidP="00CA60B6">
      <w:pPr>
        <w:rPr>
          <w:rFonts w:eastAsia="Batang"/>
          <w:sz w:val="22"/>
          <w:szCs w:val="22"/>
        </w:rPr>
      </w:pPr>
    </w:p>
    <w:p w14:paraId="68D4BA5C" w14:textId="77777777" w:rsidR="00E77DB9" w:rsidRPr="00FA11C5" w:rsidRDefault="00E77DB9" w:rsidP="00E77DB9">
      <w:pPr>
        <w:jc w:val="center"/>
        <w:rPr>
          <w:rFonts w:eastAsia="Batang"/>
          <w:sz w:val="22"/>
          <w:szCs w:val="22"/>
        </w:rPr>
      </w:pPr>
    </w:p>
    <w:p w14:paraId="0C732450" w14:textId="77777777" w:rsidR="00E77DB9" w:rsidRPr="00FA11C5" w:rsidRDefault="00E77DB9" w:rsidP="00E77DB9">
      <w:pPr>
        <w:jc w:val="center"/>
        <w:rPr>
          <w:rFonts w:eastAsia="Batang"/>
          <w:sz w:val="22"/>
          <w:szCs w:val="22"/>
        </w:rPr>
      </w:pPr>
    </w:p>
    <w:p w14:paraId="39A6632A" w14:textId="77777777" w:rsidR="00E77DB9" w:rsidRPr="00FA11C5" w:rsidRDefault="00E77DB9" w:rsidP="00E77DB9">
      <w:pPr>
        <w:rPr>
          <w:rFonts w:eastAsia="Batang"/>
          <w:sz w:val="22"/>
          <w:szCs w:val="22"/>
        </w:rPr>
      </w:pPr>
    </w:p>
    <w:p w14:paraId="0902DFAF" w14:textId="57E4E2B5" w:rsidR="00E77DB9" w:rsidRPr="00FA11C5" w:rsidRDefault="00E77DB9" w:rsidP="00E77DB9">
      <w:pPr>
        <w:jc w:val="center"/>
        <w:rPr>
          <w:sz w:val="22"/>
          <w:szCs w:val="22"/>
          <w:lang w:eastAsia="ja-JP"/>
        </w:rPr>
      </w:pPr>
      <w:r w:rsidRPr="00FA11C5">
        <w:rPr>
          <w:rFonts w:eastAsia="Batang"/>
          <w:sz w:val="22"/>
          <w:szCs w:val="22"/>
        </w:rPr>
        <w:sym w:font="Symbol" w:char="F0E3"/>
      </w:r>
      <w:r w:rsidRPr="00FA11C5">
        <w:rPr>
          <w:rFonts w:eastAsia="Batang"/>
          <w:sz w:val="22"/>
          <w:szCs w:val="22"/>
        </w:rPr>
        <w:t xml:space="preserve"> </w:t>
      </w:r>
      <w:r w:rsidRPr="00FA11C5">
        <w:rPr>
          <w:sz w:val="22"/>
          <w:szCs w:val="22"/>
          <w:lang w:eastAsia="ja-JP"/>
        </w:rPr>
        <w:t>ITU 202</w:t>
      </w:r>
      <w:r w:rsidR="0058659A" w:rsidRPr="00FA11C5">
        <w:rPr>
          <w:sz w:val="22"/>
          <w:szCs w:val="22"/>
          <w:lang w:eastAsia="ja-JP"/>
        </w:rPr>
        <w:t>2</w:t>
      </w:r>
    </w:p>
    <w:p w14:paraId="02E7E1F9" w14:textId="674A330C" w:rsidR="00E02690" w:rsidRPr="00FA11C5" w:rsidRDefault="00E77DB9" w:rsidP="00E77DB9">
      <w:pPr>
        <w:spacing w:before="0"/>
        <w:sectPr w:rsidR="00E02690" w:rsidRPr="00FA11C5" w:rsidSect="002526CF">
          <w:headerReference w:type="first" r:id="rId13"/>
          <w:footerReference w:type="first" r:id="rId14"/>
          <w:pgSz w:w="11907" w:h="16840" w:code="9"/>
          <w:pgMar w:top="1225" w:right="1281" w:bottom="1440" w:left="1140" w:header="720" w:footer="720" w:gutter="0"/>
          <w:cols w:space="720"/>
          <w:titlePg/>
          <w:docGrid w:linePitch="326"/>
        </w:sectPr>
      </w:pPr>
      <w:r w:rsidRPr="00FA11C5">
        <w:rPr>
          <w:sz w:val="22"/>
          <w:szCs w:val="22"/>
          <w:lang w:eastAsia="ja-JP"/>
        </w:rPr>
        <w:t>All rights reserved. No part of this publication may be reproduced, by any means whatsoever, without the prior written permission of ITU.</w:t>
      </w:r>
    </w:p>
    <w:p w14:paraId="3DA5D002" w14:textId="77777777" w:rsidR="0058659A" w:rsidRPr="00FA11C5" w:rsidRDefault="0058659A" w:rsidP="0058659A">
      <w:pPr>
        <w:pStyle w:val="RecNo"/>
      </w:pPr>
      <w:bookmarkStart w:id="7" w:name="_Toc44995568"/>
      <w:r w:rsidRPr="00FA11C5">
        <w:lastRenderedPageBreak/>
        <w:t>Technical Report ITU-T FG QIT4N D1.4</w:t>
      </w:r>
    </w:p>
    <w:p w14:paraId="1D29B72B" w14:textId="77777777" w:rsidR="0058659A" w:rsidRPr="00FA11C5" w:rsidRDefault="0058659A" w:rsidP="0058659A">
      <w:pPr>
        <w:pStyle w:val="Rectitle"/>
      </w:pPr>
      <w:r w:rsidRPr="00FA11C5">
        <w:t>Standardization outlook and technology maturity:</w:t>
      </w:r>
    </w:p>
    <w:p w14:paraId="6464A950" w14:textId="77777777" w:rsidR="0058659A" w:rsidRPr="00FA11C5" w:rsidRDefault="0058659A" w:rsidP="0058659A">
      <w:pPr>
        <w:pStyle w:val="Rectitle"/>
        <w:spacing w:before="0"/>
      </w:pPr>
      <w:r w:rsidRPr="00FA11C5">
        <w:t>Network aspects of quantum information technologies</w:t>
      </w:r>
    </w:p>
    <w:p w14:paraId="14D4C9ED" w14:textId="03408091" w:rsidR="004B39E2" w:rsidRPr="00FA11C5" w:rsidRDefault="004B39E2" w:rsidP="00737170">
      <w:pPr>
        <w:pStyle w:val="Headingb"/>
      </w:pPr>
      <w:r w:rsidRPr="00FA11C5">
        <w:t>Summary</w:t>
      </w:r>
    </w:p>
    <w:bookmarkEnd w:id="7"/>
    <w:p w14:paraId="3E762CF7" w14:textId="0B868CBE" w:rsidR="00C05DA3" w:rsidRPr="00FA11C5" w:rsidRDefault="004B39E2" w:rsidP="0058659A">
      <w:r w:rsidRPr="00FA11C5">
        <w:rPr>
          <w:lang w:bidi="ar-DZ"/>
        </w:rPr>
        <w:t xml:space="preserve">This technical </w:t>
      </w:r>
      <w:r w:rsidR="00C26533" w:rsidRPr="00FA11C5">
        <w:rPr>
          <w:lang w:bidi="ar-DZ"/>
        </w:rPr>
        <w:t>report</w:t>
      </w:r>
      <w:r w:rsidRPr="00FA11C5">
        <w:rPr>
          <w:lang w:bidi="ar-DZ"/>
        </w:rPr>
        <w:t xml:space="preserve"> </w:t>
      </w:r>
      <w:r w:rsidR="00C05DA3" w:rsidRPr="00FA11C5">
        <w:t xml:space="preserve">is a deliverable of the ITU-T Focus Group on </w:t>
      </w:r>
      <w:bookmarkStart w:id="8" w:name="_Hlk89151469"/>
      <w:r w:rsidR="00C05DA3" w:rsidRPr="00FA11C5">
        <w:t xml:space="preserve">Quantum Information Technology </w:t>
      </w:r>
      <w:bookmarkEnd w:id="8"/>
      <w:r w:rsidR="00C05DA3" w:rsidRPr="00FA11C5">
        <w:t xml:space="preserve">for Networks (FG QIT4N). It </w:t>
      </w:r>
      <w:r w:rsidR="00C05DA3" w:rsidRPr="00FA11C5">
        <w:rPr>
          <w:rFonts w:eastAsia="SimSun"/>
          <w:szCs w:val="24"/>
          <w:lang w:eastAsia="ko-KR"/>
        </w:rPr>
        <w:t>provides:</w:t>
      </w:r>
    </w:p>
    <w:p w14:paraId="56A7E781" w14:textId="5E84960E" w:rsidR="00C05DA3" w:rsidRPr="00FA11C5" w:rsidRDefault="0058659A" w:rsidP="0058659A">
      <w:pPr>
        <w:pStyle w:val="enumlev1"/>
        <w:rPr>
          <w:rFonts w:eastAsia="SimSun"/>
          <w:lang w:eastAsia="ko-KR"/>
        </w:rPr>
      </w:pPr>
      <w:r w:rsidRPr="00FA11C5">
        <w:rPr>
          <w:rFonts w:eastAsia="SimSun"/>
          <w:lang w:eastAsia="ko-KR"/>
        </w:rPr>
        <w:t>•</w:t>
      </w:r>
      <w:r w:rsidRPr="00FA11C5">
        <w:rPr>
          <w:rFonts w:eastAsia="SimSun"/>
          <w:lang w:eastAsia="ko-KR"/>
        </w:rPr>
        <w:tab/>
      </w:r>
      <w:r w:rsidR="00B713E6" w:rsidRPr="00FA11C5">
        <w:rPr>
          <w:rFonts w:eastAsia="SimSun"/>
          <w:lang w:eastAsia="ko-KR"/>
        </w:rPr>
        <w:t xml:space="preserve">a </w:t>
      </w:r>
      <w:r w:rsidR="00C05DA3" w:rsidRPr="00FA11C5">
        <w:rPr>
          <w:rFonts w:eastAsia="SimSun"/>
          <w:lang w:eastAsia="ko-KR"/>
        </w:rPr>
        <w:t xml:space="preserve">snapshot of the standardization landscape of </w:t>
      </w:r>
      <w:r w:rsidR="00081075" w:rsidRPr="00FA11C5">
        <w:rPr>
          <w:rFonts w:eastAsia="SimSun"/>
          <w:lang w:eastAsia="ko-KR"/>
        </w:rPr>
        <w:t xml:space="preserve">quantum information technology (QIT) </w:t>
      </w:r>
      <w:r w:rsidR="00C05DA3" w:rsidRPr="00FA11C5">
        <w:rPr>
          <w:rFonts w:eastAsia="SimSun"/>
          <w:lang w:eastAsia="ko-KR"/>
        </w:rPr>
        <w:t>for networks</w:t>
      </w:r>
      <w:r w:rsidR="008703D5" w:rsidRPr="00FA11C5">
        <w:rPr>
          <w:rFonts w:eastAsia="SimSun"/>
          <w:lang w:eastAsia="ko-KR"/>
        </w:rPr>
        <w:t>;</w:t>
      </w:r>
    </w:p>
    <w:p w14:paraId="02692FA9" w14:textId="29CC8C7F" w:rsidR="00C05DA3" w:rsidRPr="00FA11C5" w:rsidRDefault="0058659A" w:rsidP="0058659A">
      <w:pPr>
        <w:pStyle w:val="enumlev1"/>
        <w:rPr>
          <w:rFonts w:eastAsia="SimSun"/>
          <w:lang w:eastAsia="ko-KR"/>
        </w:rPr>
      </w:pPr>
      <w:r w:rsidRPr="00FA11C5">
        <w:rPr>
          <w:rFonts w:eastAsia="SimSun"/>
          <w:lang w:eastAsia="ko-KR"/>
        </w:rPr>
        <w:t>•</w:t>
      </w:r>
      <w:r w:rsidRPr="00FA11C5">
        <w:rPr>
          <w:rFonts w:eastAsia="SimSun"/>
          <w:lang w:eastAsia="ko-KR"/>
        </w:rPr>
        <w:tab/>
      </w:r>
      <w:r w:rsidR="00B713E6" w:rsidRPr="00FA11C5">
        <w:rPr>
          <w:rFonts w:eastAsia="SimSun"/>
          <w:lang w:eastAsia="ko-KR"/>
        </w:rPr>
        <w:t xml:space="preserve">prospects </w:t>
      </w:r>
      <w:r w:rsidR="00C05DA3" w:rsidRPr="00FA11C5">
        <w:rPr>
          <w:rFonts w:eastAsia="SimSun"/>
          <w:lang w:eastAsia="zh-CN"/>
        </w:rPr>
        <w:t>and</w:t>
      </w:r>
      <w:r w:rsidR="00C05DA3" w:rsidRPr="00FA11C5">
        <w:rPr>
          <w:rFonts w:eastAsia="SimSun"/>
          <w:lang w:eastAsia="ko-KR"/>
        </w:rPr>
        <w:t xml:space="preserve"> </w:t>
      </w:r>
      <w:r w:rsidR="00C05DA3" w:rsidRPr="00FA11C5">
        <w:rPr>
          <w:rFonts w:eastAsia="SimSun"/>
          <w:lang w:eastAsia="zh-CN"/>
        </w:rPr>
        <w:t>b</w:t>
      </w:r>
      <w:r w:rsidR="00C05DA3" w:rsidRPr="00FA11C5">
        <w:rPr>
          <w:rFonts w:eastAsia="SimSun"/>
          <w:lang w:eastAsia="ko-KR"/>
        </w:rPr>
        <w:t>arriers to the development and adoption of standards for QIT for networks</w:t>
      </w:r>
      <w:r w:rsidR="008703D5" w:rsidRPr="00FA11C5">
        <w:rPr>
          <w:rFonts w:eastAsia="SimSun"/>
          <w:lang w:eastAsia="ko-KR"/>
        </w:rPr>
        <w:t>;</w:t>
      </w:r>
      <w:r w:rsidR="00081075" w:rsidRPr="00FA11C5">
        <w:rPr>
          <w:rFonts w:eastAsia="SimSun"/>
          <w:lang w:eastAsia="ko-KR"/>
        </w:rPr>
        <w:t xml:space="preserve"> </w:t>
      </w:r>
    </w:p>
    <w:p w14:paraId="18561A2C" w14:textId="2736ADA5" w:rsidR="00C05DA3" w:rsidRPr="00FA11C5" w:rsidRDefault="0058659A" w:rsidP="0058659A">
      <w:pPr>
        <w:pStyle w:val="enumlev1"/>
        <w:rPr>
          <w:rFonts w:eastAsia="SimSun"/>
          <w:lang w:eastAsia="ko-KR"/>
        </w:rPr>
      </w:pPr>
      <w:r w:rsidRPr="00FA11C5">
        <w:rPr>
          <w:rFonts w:eastAsia="SimSun"/>
          <w:lang w:eastAsia="ko-KR"/>
        </w:rPr>
        <w:t>•</w:t>
      </w:r>
      <w:r w:rsidRPr="00FA11C5">
        <w:rPr>
          <w:rFonts w:eastAsia="SimSun"/>
          <w:lang w:eastAsia="ko-KR"/>
        </w:rPr>
        <w:tab/>
      </w:r>
      <w:r w:rsidR="00B713E6" w:rsidRPr="00FA11C5">
        <w:rPr>
          <w:rFonts w:eastAsia="SimSun"/>
          <w:lang w:eastAsia="ko-KR"/>
        </w:rPr>
        <w:t xml:space="preserve">a </w:t>
      </w:r>
      <w:r w:rsidR="00C05DA3" w:rsidRPr="00FA11C5">
        <w:rPr>
          <w:rFonts w:eastAsia="SimSun"/>
          <w:lang w:eastAsia="ko-KR"/>
        </w:rPr>
        <w:t>review of methodologies for assessing technology maturity and standardization readiness of QIT for networks.</w:t>
      </w:r>
    </w:p>
    <w:p w14:paraId="64033E87" w14:textId="3F0FB993" w:rsidR="00C05DA3" w:rsidRPr="00FA11C5" w:rsidRDefault="00C05DA3" w:rsidP="00081075">
      <w:pPr>
        <w:rPr>
          <w:rFonts w:eastAsia="Arial Unicode MS"/>
          <w:szCs w:val="24"/>
          <w:lang w:eastAsia="ja-JP"/>
        </w:rPr>
      </w:pPr>
      <w:r w:rsidRPr="00FA11C5">
        <w:rPr>
          <w:rFonts w:eastAsia="Arial Unicode MS"/>
          <w:szCs w:val="24"/>
          <w:lang w:eastAsia="ja-JP"/>
        </w:rPr>
        <w:t xml:space="preserve">This document studies </w:t>
      </w:r>
      <w:r w:rsidRPr="00FA11C5">
        <w:rPr>
          <w:rFonts w:eastAsia="SimSun"/>
          <w:szCs w:val="24"/>
          <w:lang w:eastAsia="ko-KR"/>
        </w:rPr>
        <w:t xml:space="preserve">the </w:t>
      </w:r>
      <w:r w:rsidRPr="00FA11C5">
        <w:rPr>
          <w:rFonts w:eastAsia="SimSun"/>
          <w:szCs w:val="24"/>
        </w:rPr>
        <w:t xml:space="preserve">standardization outlook and technology maturity of quantum information technologies which either comprise or impact the requirements for a </w:t>
      </w:r>
      <w:r w:rsidR="00081075" w:rsidRPr="00FA11C5">
        <w:rPr>
          <w:rFonts w:eastAsia="SimSun"/>
          <w:szCs w:val="24"/>
        </w:rPr>
        <w:t>quantum information network (</w:t>
      </w:r>
      <w:r w:rsidRPr="00FA11C5">
        <w:rPr>
          <w:rFonts w:eastAsia="SimSun"/>
          <w:szCs w:val="24"/>
        </w:rPr>
        <w:t>QIN</w:t>
      </w:r>
      <w:r w:rsidR="00081075" w:rsidRPr="00FA11C5">
        <w:rPr>
          <w:rFonts w:eastAsia="SimSun"/>
          <w:szCs w:val="24"/>
        </w:rPr>
        <w:t>)</w:t>
      </w:r>
      <w:r w:rsidRPr="00FA11C5">
        <w:rPr>
          <w:rFonts w:eastAsia="SimSun"/>
          <w:szCs w:val="24"/>
        </w:rPr>
        <w:t xml:space="preserve">, at the period of performance of the </w:t>
      </w:r>
      <w:r w:rsidRPr="00FA11C5">
        <w:rPr>
          <w:rFonts w:eastAsia="Arial Unicode MS"/>
          <w:szCs w:val="24"/>
          <w:lang w:eastAsia="ja-JP"/>
        </w:rPr>
        <w:t xml:space="preserve">ITU-T Focus Group on Quantum Information Technology for Networks (FG QIT4N). </w:t>
      </w:r>
    </w:p>
    <w:p w14:paraId="5E39CEF9" w14:textId="77777777" w:rsidR="009C14D3" w:rsidRPr="00FA11C5" w:rsidRDefault="009C14D3" w:rsidP="0058659A">
      <w:pPr>
        <w:pStyle w:val="Headingb"/>
        <w:rPr>
          <w:rFonts w:eastAsiaTheme="minorEastAsia"/>
        </w:rPr>
      </w:pPr>
      <w:r w:rsidRPr="00FA11C5">
        <w:rPr>
          <w:rFonts w:eastAsiaTheme="minorEastAsia"/>
        </w:rPr>
        <w:t xml:space="preserve">Note </w:t>
      </w:r>
    </w:p>
    <w:p w14:paraId="6AC617F9" w14:textId="77777777" w:rsidR="009C14D3" w:rsidRPr="00FA11C5" w:rsidRDefault="009C14D3" w:rsidP="0058659A">
      <w:pPr>
        <w:rPr>
          <w:rFonts w:eastAsiaTheme="minorEastAsia"/>
        </w:rPr>
      </w:pPr>
      <w:r w:rsidRPr="00FA11C5">
        <w:rPr>
          <w:rFonts w:eastAsiaTheme="minorEastAsia"/>
        </w:rPr>
        <w:t>This is an informative ITU-T publication. Mandatory provisions, such as those found in ITU-T Recommendations, are outside the scope of this publication. This publication should only be referenced bibliographically in ITU-T Recommendations.</w:t>
      </w:r>
    </w:p>
    <w:p w14:paraId="3D44C8E6" w14:textId="77777777" w:rsidR="00B847E7" w:rsidRPr="00FA11C5" w:rsidRDefault="00B847E7" w:rsidP="0058659A">
      <w:pPr>
        <w:pStyle w:val="Headingb"/>
        <w:rPr>
          <w:rFonts w:eastAsiaTheme="minorEastAsia"/>
        </w:rPr>
      </w:pPr>
      <w:r w:rsidRPr="00FA11C5">
        <w:rPr>
          <w:rFonts w:eastAsiaTheme="minorEastAsia"/>
        </w:rPr>
        <w:t>Keywords</w:t>
      </w:r>
    </w:p>
    <w:p w14:paraId="12DBEB89" w14:textId="13B7547B" w:rsidR="00B847E7" w:rsidRPr="00FA11C5" w:rsidRDefault="00C05DA3" w:rsidP="004B39E2">
      <w:pPr>
        <w:rPr>
          <w:lang w:bidi="ar-DZ"/>
        </w:rPr>
      </w:pPr>
      <w:r w:rsidRPr="00FA11C5">
        <w:rPr>
          <w:lang w:bidi="ar-DZ"/>
        </w:rPr>
        <w:t>Technology maturity; standardization outlook; standardization readiness assessment</w:t>
      </w:r>
      <w:r w:rsidR="00E37350">
        <w:rPr>
          <w:lang w:bidi="ar-DZ"/>
        </w:rPr>
        <w:t>.</w:t>
      </w:r>
    </w:p>
    <w:p w14:paraId="19E7A14B" w14:textId="77777777" w:rsidR="00B847E7" w:rsidRPr="00FA11C5" w:rsidRDefault="00B847E7" w:rsidP="004B39E2">
      <w:pPr>
        <w:rPr>
          <w:lang w:bidi="ar-DZ"/>
        </w:rPr>
      </w:pPr>
    </w:p>
    <w:tbl>
      <w:tblPr>
        <w:tblW w:w="5000" w:type="pct"/>
        <w:jc w:val="center"/>
        <w:tblCellMar>
          <w:left w:w="57" w:type="dxa"/>
          <w:right w:w="57" w:type="dxa"/>
        </w:tblCellMar>
        <w:tblLook w:val="0000" w:firstRow="0" w:lastRow="0" w:firstColumn="0" w:lastColumn="0" w:noHBand="0" w:noVBand="0"/>
      </w:tblPr>
      <w:tblGrid>
        <w:gridCol w:w="1571"/>
        <w:gridCol w:w="4268"/>
        <w:gridCol w:w="3800"/>
      </w:tblGrid>
      <w:tr w:rsidR="00737170" w:rsidRPr="00FA11C5" w14:paraId="631CFDC7" w14:textId="77777777" w:rsidTr="000D5811">
        <w:trPr>
          <w:cantSplit/>
          <w:trHeight w:val="204"/>
          <w:jc w:val="center"/>
        </w:trPr>
        <w:tc>
          <w:tcPr>
            <w:tcW w:w="815" w:type="pct"/>
          </w:tcPr>
          <w:p w14:paraId="59705646" w14:textId="4A8072FE" w:rsidR="00737170" w:rsidRPr="00FA11C5" w:rsidRDefault="00C05DA3" w:rsidP="00737170">
            <w:pPr>
              <w:rPr>
                <w:b/>
                <w:bCs/>
              </w:rPr>
            </w:pPr>
            <w:r w:rsidRPr="00FA11C5">
              <w:rPr>
                <w:b/>
                <w:bCs/>
              </w:rPr>
              <w:t>Chief e</w:t>
            </w:r>
            <w:r w:rsidR="00737170" w:rsidRPr="00FA11C5">
              <w:rPr>
                <w:b/>
                <w:bCs/>
              </w:rPr>
              <w:t>ditor:</w:t>
            </w:r>
          </w:p>
        </w:tc>
        <w:tc>
          <w:tcPr>
            <w:tcW w:w="2214" w:type="pct"/>
          </w:tcPr>
          <w:p w14:paraId="25A89FA5" w14:textId="3C94271A" w:rsidR="00C05DA3" w:rsidRPr="00FA11C5" w:rsidRDefault="00C05DA3" w:rsidP="00C05DA3">
            <w:r w:rsidRPr="00FA11C5">
              <w:t xml:space="preserve">Barbara </w:t>
            </w:r>
            <w:r w:rsidR="00DE26FE" w:rsidRPr="00FA11C5">
              <w:t>Goldstein</w:t>
            </w:r>
          </w:p>
          <w:p w14:paraId="5101543B" w14:textId="34309DEC" w:rsidR="00C05DA3" w:rsidRPr="00FA11C5" w:rsidRDefault="00C05DA3" w:rsidP="0058659A">
            <w:pPr>
              <w:spacing w:before="0"/>
              <w:jc w:val="left"/>
            </w:pPr>
            <w:r w:rsidRPr="00FA11C5">
              <w:t>National Institute of Standards and Technology (NIST)</w:t>
            </w:r>
          </w:p>
          <w:p w14:paraId="45AAAAB3" w14:textId="3B094CBA" w:rsidR="00737170" w:rsidRPr="00FA11C5" w:rsidRDefault="00C05DA3" w:rsidP="00C05DA3">
            <w:pPr>
              <w:spacing w:before="0"/>
            </w:pPr>
            <w:r w:rsidRPr="00FA11C5">
              <w:t>United States</w:t>
            </w:r>
          </w:p>
        </w:tc>
        <w:tc>
          <w:tcPr>
            <w:tcW w:w="1971" w:type="pct"/>
          </w:tcPr>
          <w:p w14:paraId="3F6364C0" w14:textId="5E2F2910" w:rsidR="00737170" w:rsidRPr="00FA11C5" w:rsidRDefault="00737170" w:rsidP="00737170">
            <w:r w:rsidRPr="00FA11C5">
              <w:t xml:space="preserve">Email: </w:t>
            </w:r>
            <w:hyperlink r:id="rId15" w:history="1">
              <w:r w:rsidR="00C05DA3" w:rsidRPr="00FA11C5">
                <w:rPr>
                  <w:rStyle w:val="Hyperlink"/>
                  <w:rFonts w:asciiTheme="majorBidi" w:hAnsiTheme="majorBidi" w:cstheme="majorBidi"/>
                  <w:szCs w:val="24"/>
                </w:rPr>
                <w:t>barbara.goldstein@nist.gov</w:t>
              </w:r>
            </w:hyperlink>
          </w:p>
        </w:tc>
      </w:tr>
      <w:tr w:rsidR="004A02A2" w:rsidRPr="00FA11C5" w14:paraId="3E9421A2" w14:textId="77777777" w:rsidTr="000D5811">
        <w:trPr>
          <w:cantSplit/>
          <w:trHeight w:val="204"/>
          <w:jc w:val="center"/>
        </w:trPr>
        <w:tc>
          <w:tcPr>
            <w:tcW w:w="815" w:type="pct"/>
          </w:tcPr>
          <w:p w14:paraId="74BBAB65" w14:textId="05D8A022" w:rsidR="004A02A2" w:rsidRPr="00FA11C5" w:rsidRDefault="004A02A2" w:rsidP="00737170">
            <w:pPr>
              <w:rPr>
                <w:b/>
                <w:bCs/>
              </w:rPr>
            </w:pPr>
            <w:r w:rsidRPr="00FA11C5">
              <w:rPr>
                <w:b/>
                <w:bCs/>
              </w:rPr>
              <w:t>Co-editor:</w:t>
            </w:r>
          </w:p>
        </w:tc>
        <w:tc>
          <w:tcPr>
            <w:tcW w:w="2214" w:type="pct"/>
          </w:tcPr>
          <w:p w14:paraId="752E2360" w14:textId="4CCC80FA" w:rsidR="004A02A2" w:rsidRPr="00FA11C5" w:rsidRDefault="004A02A2" w:rsidP="004A02A2">
            <w:r w:rsidRPr="00FA11C5">
              <w:t xml:space="preserve">Bo </w:t>
            </w:r>
            <w:r w:rsidR="00DE26FE" w:rsidRPr="00FA11C5">
              <w:t>Lv</w:t>
            </w:r>
          </w:p>
          <w:p w14:paraId="06100028" w14:textId="77777777" w:rsidR="004A02A2" w:rsidRPr="00FA11C5" w:rsidRDefault="004A02A2" w:rsidP="0058659A">
            <w:pPr>
              <w:spacing w:before="0"/>
              <w:jc w:val="left"/>
            </w:pPr>
            <w:r w:rsidRPr="00FA11C5">
              <w:t>China Academy of Information and Communication Technology (CAICT)</w:t>
            </w:r>
          </w:p>
          <w:p w14:paraId="5EAB4976" w14:textId="1C966715" w:rsidR="004A02A2" w:rsidRPr="00FA11C5" w:rsidRDefault="004A02A2" w:rsidP="004A02A2">
            <w:pPr>
              <w:spacing w:before="0"/>
            </w:pPr>
            <w:r w:rsidRPr="00FA11C5">
              <w:t>China</w:t>
            </w:r>
          </w:p>
        </w:tc>
        <w:tc>
          <w:tcPr>
            <w:tcW w:w="1971" w:type="pct"/>
          </w:tcPr>
          <w:p w14:paraId="6C2E12CD" w14:textId="50FD4C92" w:rsidR="004A02A2" w:rsidRPr="00FA11C5" w:rsidRDefault="004A02A2" w:rsidP="00737170">
            <w:pPr>
              <w:rPr>
                <w:szCs w:val="24"/>
              </w:rPr>
            </w:pPr>
            <w:r w:rsidRPr="00FA11C5">
              <w:rPr>
                <w:szCs w:val="24"/>
              </w:rPr>
              <w:t xml:space="preserve">Email: </w:t>
            </w:r>
            <w:hyperlink r:id="rId16" w:history="1">
              <w:r w:rsidRPr="00FA11C5">
                <w:rPr>
                  <w:rStyle w:val="Hyperlink"/>
                  <w:szCs w:val="24"/>
                </w:rPr>
                <w:t>lvbo@caict.ac.cn</w:t>
              </w:r>
            </w:hyperlink>
          </w:p>
        </w:tc>
      </w:tr>
    </w:tbl>
    <w:p w14:paraId="7CF554ED" w14:textId="62642494" w:rsidR="00081075" w:rsidRPr="00FA11C5" w:rsidRDefault="00081075" w:rsidP="0058659A">
      <w:pPr>
        <w:pStyle w:val="Headingb"/>
        <w:rPr>
          <w:rFonts w:eastAsiaTheme="minorEastAsia"/>
        </w:rPr>
      </w:pPr>
      <w:r w:rsidRPr="00FA11C5">
        <w:rPr>
          <w:rFonts w:eastAsiaTheme="minorEastAsia"/>
        </w:rPr>
        <w:t>Acknowledgments</w:t>
      </w:r>
    </w:p>
    <w:p w14:paraId="6AC7F5B7" w14:textId="3FA8830D" w:rsidR="00081075" w:rsidRPr="00FA11C5" w:rsidRDefault="00081075" w:rsidP="00081075">
      <w:r w:rsidRPr="00FA11C5">
        <w:t xml:space="preserve">The editors express their appreciation to all the contributors of this report and all participants of Working Group 1 of the Focus Group on </w:t>
      </w:r>
      <w:r w:rsidR="00110578" w:rsidRPr="00FA11C5">
        <w:t xml:space="preserve">Quantum </w:t>
      </w:r>
      <w:r w:rsidRPr="00FA11C5">
        <w:t xml:space="preserve">Information Technology </w:t>
      </w:r>
      <w:r w:rsidR="00CF2AA2" w:rsidRPr="00FA11C5">
        <w:t>for</w:t>
      </w:r>
      <w:r w:rsidRPr="00FA11C5">
        <w:t xml:space="preserve"> Networks (FG QIT4N) for their invaluable inputs, thorough review and all comments provided during the development of this report. </w:t>
      </w:r>
    </w:p>
    <w:p w14:paraId="6A40A7F0" w14:textId="77777777" w:rsidR="004B39E2" w:rsidRPr="00FA11C5" w:rsidRDefault="004B39E2" w:rsidP="00F05ED5"/>
    <w:p w14:paraId="4D778A90" w14:textId="77777777" w:rsidR="004B39E2" w:rsidRPr="00FA11C5" w:rsidRDefault="004B39E2" w:rsidP="009635CB">
      <w:pPr>
        <w:jc w:val="center"/>
      </w:pPr>
      <w:r w:rsidRPr="00FA11C5">
        <w:br w:type="page"/>
      </w:r>
    </w:p>
    <w:p w14:paraId="31C0773B" w14:textId="77777777" w:rsidR="0058659A" w:rsidRPr="00FA11C5" w:rsidRDefault="0058659A" w:rsidP="0058659A">
      <w:pPr>
        <w:tabs>
          <w:tab w:val="left" w:pos="714"/>
        </w:tabs>
        <w:jc w:val="center"/>
        <w:rPr>
          <w:b/>
          <w:bCs/>
        </w:rPr>
      </w:pPr>
      <w:r w:rsidRPr="00FA11C5">
        <w:rPr>
          <w:b/>
          <w:bCs/>
        </w:rPr>
        <w:lastRenderedPageBreak/>
        <w:t>Table of Contents</w:t>
      </w:r>
    </w:p>
    <w:p w14:paraId="31C6E9DD" w14:textId="737E622A" w:rsidR="001C219B" w:rsidRPr="00FA11C5" w:rsidRDefault="001C219B" w:rsidP="001C219B">
      <w:pPr>
        <w:pStyle w:val="toc0"/>
        <w:ind w:right="992"/>
      </w:pPr>
      <w:r w:rsidRPr="00FA11C5">
        <w:tab/>
        <w:t>Page</w:t>
      </w:r>
    </w:p>
    <w:p w14:paraId="37068107" w14:textId="531CBBD5" w:rsidR="001C219B" w:rsidRPr="00FA11C5" w:rsidRDefault="001C219B" w:rsidP="001C219B">
      <w:pPr>
        <w:pStyle w:val="TOC1"/>
        <w:ind w:right="992"/>
        <w:rPr>
          <w:rFonts w:asciiTheme="minorHAnsi" w:eastAsiaTheme="minorEastAsia" w:hAnsiTheme="minorHAnsi" w:cstheme="minorBidi"/>
          <w:sz w:val="22"/>
          <w:szCs w:val="22"/>
          <w:lang w:eastAsia="en-GB"/>
        </w:rPr>
      </w:pPr>
      <w:r w:rsidRPr="00FA11C5">
        <w:t>1</w:t>
      </w:r>
      <w:r w:rsidRPr="00FA11C5">
        <w:rPr>
          <w:rFonts w:asciiTheme="minorHAnsi" w:eastAsiaTheme="minorEastAsia" w:hAnsiTheme="minorHAnsi" w:cstheme="minorBidi"/>
          <w:sz w:val="22"/>
          <w:szCs w:val="22"/>
          <w:lang w:eastAsia="en-GB"/>
        </w:rPr>
        <w:tab/>
      </w:r>
      <w:r w:rsidRPr="00FA11C5">
        <w:t>Scope</w:t>
      </w:r>
      <w:r w:rsidRPr="00FA11C5">
        <w:tab/>
      </w:r>
      <w:r w:rsidRPr="00FA11C5">
        <w:tab/>
        <w:t>1</w:t>
      </w:r>
    </w:p>
    <w:p w14:paraId="0F90B6CC" w14:textId="26F3B6DA" w:rsidR="001C219B" w:rsidRPr="00FA11C5" w:rsidRDefault="001C219B" w:rsidP="001C219B">
      <w:pPr>
        <w:pStyle w:val="TOC1"/>
        <w:ind w:right="992"/>
        <w:rPr>
          <w:rFonts w:asciiTheme="minorHAnsi" w:eastAsiaTheme="minorEastAsia" w:hAnsiTheme="minorHAnsi" w:cstheme="minorBidi"/>
          <w:sz w:val="22"/>
          <w:szCs w:val="22"/>
          <w:lang w:eastAsia="en-GB"/>
        </w:rPr>
      </w:pPr>
      <w:r w:rsidRPr="00FA11C5">
        <w:rPr>
          <w:lang w:bidi="ar-DZ"/>
        </w:rPr>
        <w:t>2</w:t>
      </w:r>
      <w:r w:rsidRPr="00FA11C5">
        <w:rPr>
          <w:rFonts w:asciiTheme="minorHAnsi" w:eastAsiaTheme="minorEastAsia" w:hAnsiTheme="minorHAnsi" w:cstheme="minorBidi"/>
          <w:sz w:val="22"/>
          <w:szCs w:val="22"/>
          <w:lang w:eastAsia="en-GB"/>
        </w:rPr>
        <w:tab/>
      </w:r>
      <w:r w:rsidRPr="00FA11C5">
        <w:rPr>
          <w:lang w:bidi="ar-DZ"/>
        </w:rPr>
        <w:t>References</w:t>
      </w:r>
      <w:r w:rsidRPr="00FA11C5">
        <w:rPr>
          <w:lang w:bidi="ar-DZ"/>
        </w:rPr>
        <w:tab/>
      </w:r>
      <w:r w:rsidRPr="00FA11C5">
        <w:rPr>
          <w:lang w:bidi="ar-DZ"/>
        </w:rPr>
        <w:tab/>
      </w:r>
      <w:r w:rsidRPr="00FA11C5">
        <w:t>1</w:t>
      </w:r>
    </w:p>
    <w:p w14:paraId="3DC16E00" w14:textId="1DB0EB63" w:rsidR="001C219B" w:rsidRPr="00FA11C5" w:rsidRDefault="001C219B" w:rsidP="001C219B">
      <w:pPr>
        <w:pStyle w:val="TOC1"/>
        <w:ind w:right="992"/>
        <w:rPr>
          <w:rFonts w:asciiTheme="minorHAnsi" w:eastAsiaTheme="minorEastAsia" w:hAnsiTheme="minorHAnsi" w:cstheme="minorBidi"/>
          <w:sz w:val="22"/>
          <w:szCs w:val="22"/>
          <w:lang w:eastAsia="en-GB"/>
        </w:rPr>
      </w:pPr>
      <w:r w:rsidRPr="00FA11C5">
        <w:rPr>
          <w:lang w:bidi="ar-DZ"/>
        </w:rPr>
        <w:t>3</w:t>
      </w:r>
      <w:r w:rsidRPr="00FA11C5">
        <w:rPr>
          <w:rFonts w:asciiTheme="minorHAnsi" w:eastAsiaTheme="minorEastAsia" w:hAnsiTheme="minorHAnsi" w:cstheme="minorBidi"/>
          <w:sz w:val="22"/>
          <w:szCs w:val="22"/>
          <w:lang w:eastAsia="en-GB"/>
        </w:rPr>
        <w:tab/>
      </w:r>
      <w:r w:rsidRPr="00FA11C5">
        <w:rPr>
          <w:lang w:bidi="ar-DZ"/>
        </w:rPr>
        <w:t>Terms and definitions</w:t>
      </w:r>
      <w:r w:rsidRPr="00FA11C5">
        <w:rPr>
          <w:lang w:bidi="ar-DZ"/>
        </w:rPr>
        <w:tab/>
      </w:r>
      <w:r w:rsidRPr="00FA11C5">
        <w:rPr>
          <w:lang w:bidi="ar-DZ"/>
        </w:rPr>
        <w:tab/>
      </w:r>
      <w:r w:rsidRPr="00FA11C5">
        <w:t>1</w:t>
      </w:r>
    </w:p>
    <w:p w14:paraId="40A5D130" w14:textId="2E7E3191" w:rsidR="001C219B" w:rsidRPr="00FA11C5" w:rsidRDefault="001C219B" w:rsidP="001C219B">
      <w:pPr>
        <w:pStyle w:val="TOC1"/>
        <w:ind w:right="992"/>
        <w:rPr>
          <w:rFonts w:asciiTheme="minorHAnsi" w:eastAsiaTheme="minorEastAsia" w:hAnsiTheme="minorHAnsi" w:cstheme="minorBidi"/>
          <w:sz w:val="22"/>
          <w:szCs w:val="22"/>
          <w:lang w:eastAsia="en-GB"/>
        </w:rPr>
      </w:pPr>
      <w:r w:rsidRPr="00FA11C5">
        <w:rPr>
          <w:lang w:bidi="ar-DZ"/>
        </w:rPr>
        <w:t>4</w:t>
      </w:r>
      <w:r w:rsidRPr="00FA11C5">
        <w:rPr>
          <w:rFonts w:asciiTheme="minorHAnsi" w:eastAsiaTheme="minorEastAsia" w:hAnsiTheme="minorHAnsi" w:cstheme="minorBidi"/>
          <w:sz w:val="22"/>
          <w:szCs w:val="22"/>
          <w:lang w:eastAsia="en-GB"/>
        </w:rPr>
        <w:tab/>
      </w:r>
      <w:r w:rsidRPr="00FA11C5">
        <w:rPr>
          <w:lang w:bidi="ar-DZ"/>
        </w:rPr>
        <w:t>Abbreviations and acronyms</w:t>
      </w:r>
      <w:r w:rsidRPr="00FA11C5">
        <w:rPr>
          <w:lang w:bidi="ar-DZ"/>
        </w:rPr>
        <w:tab/>
      </w:r>
      <w:r w:rsidRPr="00FA11C5">
        <w:rPr>
          <w:lang w:bidi="ar-DZ"/>
        </w:rPr>
        <w:tab/>
      </w:r>
      <w:r w:rsidRPr="00FA11C5">
        <w:t>1</w:t>
      </w:r>
    </w:p>
    <w:p w14:paraId="3456FA73" w14:textId="6C8D1C90" w:rsidR="001C219B" w:rsidRPr="00FA11C5" w:rsidRDefault="001C219B" w:rsidP="001C219B">
      <w:pPr>
        <w:pStyle w:val="TOC1"/>
        <w:ind w:right="992"/>
        <w:rPr>
          <w:rFonts w:asciiTheme="minorHAnsi" w:eastAsiaTheme="minorEastAsia" w:hAnsiTheme="minorHAnsi" w:cstheme="minorBidi"/>
          <w:sz w:val="22"/>
          <w:szCs w:val="22"/>
          <w:lang w:eastAsia="en-GB"/>
        </w:rPr>
      </w:pPr>
      <w:r w:rsidRPr="00FA11C5">
        <w:rPr>
          <w:lang w:bidi="ar-DZ"/>
        </w:rPr>
        <w:t>5</w:t>
      </w:r>
      <w:r w:rsidRPr="00FA11C5">
        <w:rPr>
          <w:rFonts w:asciiTheme="minorHAnsi" w:eastAsiaTheme="minorEastAsia" w:hAnsiTheme="minorHAnsi" w:cstheme="minorBidi"/>
          <w:sz w:val="22"/>
          <w:szCs w:val="22"/>
          <w:lang w:eastAsia="en-GB"/>
        </w:rPr>
        <w:tab/>
      </w:r>
      <w:r w:rsidRPr="00FA11C5">
        <w:rPr>
          <w:lang w:bidi="ar-DZ"/>
        </w:rPr>
        <w:t>Introduction</w:t>
      </w:r>
      <w:r w:rsidRPr="00FA11C5">
        <w:rPr>
          <w:lang w:bidi="ar-DZ"/>
        </w:rPr>
        <w:tab/>
      </w:r>
      <w:r w:rsidRPr="00FA11C5">
        <w:rPr>
          <w:lang w:bidi="ar-DZ"/>
        </w:rPr>
        <w:tab/>
      </w:r>
      <w:r w:rsidRPr="00FA11C5">
        <w:t>2</w:t>
      </w:r>
    </w:p>
    <w:p w14:paraId="07D2E9B8" w14:textId="5488ACFD" w:rsidR="001C219B" w:rsidRPr="00FA11C5" w:rsidRDefault="001C219B" w:rsidP="001C219B">
      <w:pPr>
        <w:pStyle w:val="TOC1"/>
        <w:ind w:right="992"/>
        <w:rPr>
          <w:rFonts w:asciiTheme="minorHAnsi" w:eastAsiaTheme="minorEastAsia" w:hAnsiTheme="minorHAnsi" w:cstheme="minorBidi"/>
          <w:sz w:val="22"/>
          <w:szCs w:val="22"/>
          <w:lang w:eastAsia="en-GB"/>
        </w:rPr>
      </w:pPr>
      <w:r w:rsidRPr="00FA11C5">
        <w:rPr>
          <w:lang w:bidi="ar-DZ"/>
        </w:rPr>
        <w:t>6</w:t>
      </w:r>
      <w:r w:rsidRPr="00FA11C5">
        <w:rPr>
          <w:rFonts w:asciiTheme="minorHAnsi" w:eastAsiaTheme="minorEastAsia" w:hAnsiTheme="minorHAnsi" w:cstheme="minorBidi"/>
          <w:sz w:val="22"/>
          <w:szCs w:val="22"/>
          <w:lang w:eastAsia="en-GB"/>
        </w:rPr>
        <w:tab/>
      </w:r>
      <w:r w:rsidRPr="00FA11C5">
        <w:rPr>
          <w:lang w:bidi="ar-DZ"/>
        </w:rPr>
        <w:t>Standardization landscape and outlook</w:t>
      </w:r>
      <w:r w:rsidRPr="00FA11C5">
        <w:rPr>
          <w:lang w:bidi="ar-DZ"/>
        </w:rPr>
        <w:tab/>
      </w:r>
      <w:r w:rsidRPr="00FA11C5">
        <w:rPr>
          <w:lang w:bidi="ar-DZ"/>
        </w:rPr>
        <w:tab/>
      </w:r>
      <w:r w:rsidRPr="00FA11C5">
        <w:t>3</w:t>
      </w:r>
    </w:p>
    <w:p w14:paraId="415CE673" w14:textId="56C1340F" w:rsidR="001C219B" w:rsidRPr="00FA11C5" w:rsidRDefault="001C219B" w:rsidP="001C219B">
      <w:pPr>
        <w:pStyle w:val="TOC2"/>
        <w:ind w:right="992"/>
        <w:rPr>
          <w:rFonts w:asciiTheme="minorHAnsi" w:eastAsiaTheme="minorEastAsia" w:hAnsiTheme="minorHAnsi" w:cstheme="minorBidi"/>
          <w:sz w:val="22"/>
          <w:szCs w:val="22"/>
          <w:lang w:eastAsia="en-GB"/>
        </w:rPr>
      </w:pPr>
      <w:r w:rsidRPr="00FA11C5">
        <w:t>6.1</w:t>
      </w:r>
      <w:r w:rsidRPr="00FA11C5">
        <w:rPr>
          <w:rFonts w:asciiTheme="minorHAnsi" w:eastAsiaTheme="minorEastAsia" w:hAnsiTheme="minorHAnsi" w:cstheme="minorBidi"/>
          <w:sz w:val="22"/>
          <w:szCs w:val="22"/>
          <w:lang w:eastAsia="en-GB"/>
        </w:rPr>
        <w:tab/>
      </w:r>
      <w:r w:rsidRPr="00FA11C5">
        <w:t>Prospects for and barriers to the development and adoption of standards for QIT for networks</w:t>
      </w:r>
      <w:r w:rsidRPr="00FA11C5">
        <w:tab/>
      </w:r>
      <w:r w:rsidRPr="00FA11C5">
        <w:tab/>
        <w:t>5</w:t>
      </w:r>
    </w:p>
    <w:p w14:paraId="2401A2DE" w14:textId="001CF225" w:rsidR="001C219B" w:rsidRPr="00FA11C5" w:rsidRDefault="001C219B" w:rsidP="001C219B">
      <w:pPr>
        <w:pStyle w:val="TOC1"/>
        <w:ind w:right="992"/>
        <w:rPr>
          <w:rFonts w:asciiTheme="minorHAnsi" w:eastAsiaTheme="minorEastAsia" w:hAnsiTheme="minorHAnsi" w:cstheme="minorBidi"/>
          <w:sz w:val="22"/>
          <w:szCs w:val="22"/>
          <w:lang w:eastAsia="en-GB"/>
        </w:rPr>
      </w:pPr>
      <w:r w:rsidRPr="00FA11C5">
        <w:t>7</w:t>
      </w:r>
      <w:r w:rsidRPr="00FA11C5">
        <w:rPr>
          <w:rFonts w:asciiTheme="minorHAnsi" w:eastAsiaTheme="minorEastAsia" w:hAnsiTheme="minorHAnsi" w:cstheme="minorBidi"/>
          <w:sz w:val="22"/>
          <w:szCs w:val="22"/>
          <w:lang w:eastAsia="en-GB"/>
        </w:rPr>
        <w:tab/>
      </w:r>
      <w:r w:rsidRPr="00FA11C5">
        <w:t>Technology maturity and standardization readiness</w:t>
      </w:r>
      <w:r w:rsidRPr="00FA11C5">
        <w:tab/>
      </w:r>
      <w:r w:rsidRPr="00FA11C5">
        <w:tab/>
        <w:t>5</w:t>
      </w:r>
    </w:p>
    <w:p w14:paraId="6DD1F75C" w14:textId="62F05CBF" w:rsidR="001C219B" w:rsidRPr="00FA11C5" w:rsidRDefault="001C219B" w:rsidP="001C219B">
      <w:pPr>
        <w:pStyle w:val="TOC2"/>
        <w:ind w:right="992"/>
        <w:rPr>
          <w:rFonts w:asciiTheme="minorHAnsi" w:eastAsiaTheme="minorEastAsia" w:hAnsiTheme="minorHAnsi" w:cstheme="minorBidi"/>
          <w:sz w:val="22"/>
          <w:szCs w:val="22"/>
          <w:lang w:eastAsia="en-GB"/>
        </w:rPr>
      </w:pPr>
      <w:r w:rsidRPr="00FA11C5">
        <w:t>7.1</w:t>
      </w:r>
      <w:r w:rsidRPr="00FA11C5">
        <w:rPr>
          <w:rFonts w:asciiTheme="minorHAnsi" w:eastAsiaTheme="minorEastAsia" w:hAnsiTheme="minorHAnsi" w:cstheme="minorBidi"/>
          <w:sz w:val="22"/>
          <w:szCs w:val="22"/>
          <w:lang w:eastAsia="en-GB"/>
        </w:rPr>
        <w:tab/>
      </w:r>
      <w:r w:rsidRPr="00FA11C5">
        <w:t>Technology readiness levels</w:t>
      </w:r>
      <w:r w:rsidRPr="00FA11C5">
        <w:tab/>
      </w:r>
      <w:r w:rsidRPr="00FA11C5">
        <w:tab/>
        <w:t>5</w:t>
      </w:r>
    </w:p>
    <w:p w14:paraId="2B0B8706" w14:textId="61DEA607" w:rsidR="001C219B" w:rsidRPr="00FA11C5" w:rsidRDefault="001C219B" w:rsidP="001C219B">
      <w:pPr>
        <w:pStyle w:val="TOC2"/>
        <w:ind w:right="992"/>
        <w:rPr>
          <w:rFonts w:asciiTheme="minorHAnsi" w:eastAsiaTheme="minorEastAsia" w:hAnsiTheme="minorHAnsi" w:cstheme="minorBidi"/>
          <w:sz w:val="22"/>
          <w:szCs w:val="22"/>
          <w:lang w:eastAsia="en-GB"/>
        </w:rPr>
      </w:pPr>
      <w:r w:rsidRPr="00FA11C5">
        <w:t>7.2</w:t>
      </w:r>
      <w:r w:rsidRPr="00FA11C5">
        <w:rPr>
          <w:rFonts w:asciiTheme="minorHAnsi" w:eastAsiaTheme="minorEastAsia" w:hAnsiTheme="minorHAnsi" w:cstheme="minorBidi"/>
          <w:sz w:val="22"/>
          <w:szCs w:val="22"/>
          <w:lang w:eastAsia="en-GB"/>
        </w:rPr>
        <w:tab/>
      </w:r>
      <w:r w:rsidRPr="00FA11C5">
        <w:t>Methodology for assessing standardization readiness of technologies</w:t>
      </w:r>
      <w:r w:rsidRPr="00FA11C5">
        <w:tab/>
      </w:r>
      <w:r w:rsidRPr="00FA11C5">
        <w:tab/>
        <w:t>6</w:t>
      </w:r>
    </w:p>
    <w:p w14:paraId="7447BBBB" w14:textId="0D02BE75" w:rsidR="001C219B" w:rsidRPr="00FA11C5" w:rsidRDefault="001C219B" w:rsidP="001C219B">
      <w:pPr>
        <w:pStyle w:val="TOC2"/>
        <w:ind w:right="992"/>
        <w:rPr>
          <w:rFonts w:asciiTheme="minorHAnsi" w:eastAsiaTheme="minorEastAsia" w:hAnsiTheme="minorHAnsi" w:cstheme="minorBidi"/>
          <w:sz w:val="22"/>
          <w:szCs w:val="22"/>
          <w:lang w:eastAsia="en-GB"/>
        </w:rPr>
      </w:pPr>
      <w:r w:rsidRPr="00FA11C5">
        <w:t>7.3</w:t>
      </w:r>
      <w:r w:rsidRPr="00FA11C5">
        <w:rPr>
          <w:rFonts w:asciiTheme="minorHAnsi" w:eastAsiaTheme="minorEastAsia" w:hAnsiTheme="minorHAnsi" w:cstheme="minorBidi"/>
          <w:sz w:val="22"/>
          <w:szCs w:val="22"/>
          <w:lang w:eastAsia="en-GB"/>
        </w:rPr>
        <w:tab/>
      </w:r>
      <w:r w:rsidRPr="00FA11C5">
        <w:t>Applicability of standardization readiness criteria to the assessment of QIT for networks</w:t>
      </w:r>
      <w:r w:rsidRPr="00FA11C5">
        <w:tab/>
      </w:r>
      <w:r w:rsidRPr="00FA11C5">
        <w:tab/>
        <w:t>7</w:t>
      </w:r>
    </w:p>
    <w:p w14:paraId="7EF9EADE" w14:textId="3992060B" w:rsidR="001C219B" w:rsidRPr="00FA11C5" w:rsidRDefault="001C219B" w:rsidP="001C219B">
      <w:pPr>
        <w:pStyle w:val="TOC1"/>
        <w:ind w:right="992"/>
        <w:rPr>
          <w:rFonts w:asciiTheme="minorHAnsi" w:eastAsiaTheme="minorEastAsia" w:hAnsiTheme="minorHAnsi" w:cstheme="minorBidi"/>
          <w:sz w:val="22"/>
          <w:szCs w:val="22"/>
          <w:lang w:eastAsia="en-GB"/>
        </w:rPr>
      </w:pPr>
      <w:r w:rsidRPr="00FA11C5">
        <w:t>8</w:t>
      </w:r>
      <w:r w:rsidRPr="00FA11C5">
        <w:rPr>
          <w:rFonts w:asciiTheme="minorHAnsi" w:eastAsiaTheme="minorEastAsia" w:hAnsiTheme="minorHAnsi" w:cstheme="minorBidi"/>
          <w:sz w:val="22"/>
          <w:szCs w:val="22"/>
          <w:lang w:eastAsia="en-GB"/>
        </w:rPr>
        <w:tab/>
      </w:r>
      <w:r w:rsidRPr="00FA11C5">
        <w:t>Summary</w:t>
      </w:r>
      <w:r w:rsidRPr="00FA11C5">
        <w:tab/>
      </w:r>
      <w:r w:rsidRPr="00FA11C5">
        <w:tab/>
        <w:t>8</w:t>
      </w:r>
    </w:p>
    <w:p w14:paraId="54B44341" w14:textId="7CBE0D0D" w:rsidR="001C219B" w:rsidRPr="00FA11C5" w:rsidRDefault="001C219B" w:rsidP="001C219B">
      <w:pPr>
        <w:pStyle w:val="TOC2"/>
        <w:ind w:right="992"/>
        <w:rPr>
          <w:rFonts w:asciiTheme="minorHAnsi" w:eastAsiaTheme="minorEastAsia" w:hAnsiTheme="minorHAnsi" w:cstheme="minorBidi"/>
          <w:sz w:val="22"/>
          <w:szCs w:val="22"/>
          <w:lang w:eastAsia="en-GB"/>
        </w:rPr>
      </w:pPr>
      <w:r w:rsidRPr="00FA11C5">
        <w:t>8.1</w:t>
      </w:r>
      <w:r w:rsidRPr="00FA11C5">
        <w:rPr>
          <w:rFonts w:asciiTheme="minorHAnsi" w:eastAsiaTheme="minorEastAsia" w:hAnsiTheme="minorHAnsi" w:cstheme="minorBidi"/>
          <w:sz w:val="22"/>
          <w:szCs w:val="22"/>
          <w:lang w:eastAsia="en-GB"/>
        </w:rPr>
        <w:tab/>
      </w:r>
      <w:r w:rsidRPr="00FA11C5">
        <w:t>Findings related to the standardization ecosystem for QIT for networks</w:t>
      </w:r>
      <w:r w:rsidRPr="00FA11C5">
        <w:tab/>
      </w:r>
      <w:r w:rsidRPr="00FA11C5">
        <w:tab/>
        <w:t>8</w:t>
      </w:r>
    </w:p>
    <w:p w14:paraId="2284F127" w14:textId="4CE94CD8" w:rsidR="001C219B" w:rsidRPr="00FA11C5" w:rsidRDefault="001C219B" w:rsidP="001C219B">
      <w:pPr>
        <w:pStyle w:val="TOC2"/>
        <w:ind w:right="992"/>
        <w:rPr>
          <w:rFonts w:asciiTheme="minorHAnsi" w:eastAsiaTheme="minorEastAsia" w:hAnsiTheme="minorHAnsi" w:cstheme="minorBidi"/>
          <w:sz w:val="22"/>
          <w:szCs w:val="22"/>
          <w:lang w:eastAsia="en-GB"/>
        </w:rPr>
      </w:pPr>
      <w:r w:rsidRPr="00FA11C5">
        <w:t>8.2</w:t>
      </w:r>
      <w:r w:rsidRPr="00FA11C5">
        <w:rPr>
          <w:rFonts w:asciiTheme="minorHAnsi" w:eastAsiaTheme="minorEastAsia" w:hAnsiTheme="minorHAnsi" w:cstheme="minorBidi"/>
          <w:sz w:val="22"/>
          <w:szCs w:val="22"/>
          <w:lang w:eastAsia="en-GB"/>
        </w:rPr>
        <w:tab/>
      </w:r>
      <w:r w:rsidRPr="00FA11C5">
        <w:t>Findings related to the standardization readiness of QIT for networks</w:t>
      </w:r>
      <w:r w:rsidRPr="00FA11C5">
        <w:tab/>
      </w:r>
      <w:r w:rsidRPr="00FA11C5">
        <w:tab/>
        <w:t>8</w:t>
      </w:r>
    </w:p>
    <w:p w14:paraId="61242528" w14:textId="5AA98617" w:rsidR="001C219B" w:rsidRPr="00FA11C5" w:rsidRDefault="001C219B" w:rsidP="001C219B">
      <w:pPr>
        <w:pStyle w:val="TOC1"/>
        <w:ind w:right="992"/>
        <w:rPr>
          <w:rFonts w:asciiTheme="minorHAnsi" w:eastAsiaTheme="minorEastAsia" w:hAnsiTheme="minorHAnsi" w:cstheme="minorBidi"/>
          <w:sz w:val="22"/>
          <w:szCs w:val="22"/>
          <w:lang w:eastAsia="en-GB"/>
        </w:rPr>
      </w:pPr>
      <w:r w:rsidRPr="00FA11C5">
        <w:rPr>
          <w:lang w:bidi="ar-DZ"/>
        </w:rPr>
        <w:t>Bibliography</w:t>
      </w:r>
      <w:r w:rsidRPr="00FA11C5">
        <w:rPr>
          <w:lang w:bidi="ar-DZ"/>
        </w:rPr>
        <w:tab/>
      </w:r>
      <w:r w:rsidRPr="00FA11C5">
        <w:rPr>
          <w:lang w:bidi="ar-DZ"/>
        </w:rPr>
        <w:tab/>
      </w:r>
      <w:r w:rsidRPr="00FA11C5">
        <w:t>9</w:t>
      </w:r>
    </w:p>
    <w:p w14:paraId="7D13217C" w14:textId="3EE7C30B" w:rsidR="009635CB" w:rsidRPr="00FA11C5" w:rsidRDefault="009635CB" w:rsidP="001C219B"/>
    <w:p w14:paraId="6FB972F2" w14:textId="77777777" w:rsidR="001C219B" w:rsidRPr="00FA11C5" w:rsidRDefault="001C219B" w:rsidP="0066077C"/>
    <w:p w14:paraId="61F89BD7" w14:textId="77777777" w:rsidR="004B39E2" w:rsidRPr="00FA11C5" w:rsidRDefault="004B39E2" w:rsidP="00F14A92"/>
    <w:p w14:paraId="197F6272" w14:textId="77777777" w:rsidR="00F14A92" w:rsidRPr="00FA11C5" w:rsidRDefault="00F14A92" w:rsidP="00F14A92">
      <w:pPr>
        <w:sectPr w:rsidR="00F14A92" w:rsidRPr="00FA11C5" w:rsidSect="0058659A">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567" w:footer="567" w:gutter="0"/>
          <w:pgNumType w:fmt="lowerRoman" w:start="1"/>
          <w:cols w:space="720"/>
          <w:titlePg/>
          <w:docGrid w:linePitch="326"/>
        </w:sectPr>
      </w:pPr>
    </w:p>
    <w:p w14:paraId="1B38BB85" w14:textId="6CE86EB4" w:rsidR="00081075" w:rsidRPr="00FA11C5" w:rsidRDefault="00081075" w:rsidP="00081075">
      <w:pPr>
        <w:pStyle w:val="RecNo"/>
      </w:pPr>
      <w:r w:rsidRPr="00FA11C5">
        <w:lastRenderedPageBreak/>
        <w:t xml:space="preserve">Technical Report </w:t>
      </w:r>
      <w:r w:rsidR="00A92588" w:rsidRPr="00FA11C5">
        <w:t xml:space="preserve">ITU-T </w:t>
      </w:r>
      <w:r w:rsidRPr="00FA11C5">
        <w:t>FG QIT4N D1.4</w:t>
      </w:r>
    </w:p>
    <w:p w14:paraId="12402FA4" w14:textId="49247248" w:rsidR="00081075" w:rsidRPr="00FA11C5" w:rsidRDefault="00081075" w:rsidP="00081075">
      <w:pPr>
        <w:pStyle w:val="Rectitle"/>
      </w:pPr>
      <w:r w:rsidRPr="00FA11C5">
        <w:t>Standardization outlook and technology maturity:</w:t>
      </w:r>
    </w:p>
    <w:p w14:paraId="448DAB07" w14:textId="3FE8A806" w:rsidR="006A778F" w:rsidRPr="00FA11C5" w:rsidRDefault="00081075" w:rsidP="00081075">
      <w:pPr>
        <w:pStyle w:val="Rectitle"/>
        <w:spacing w:before="0"/>
      </w:pPr>
      <w:r w:rsidRPr="00FA11C5">
        <w:t>Network aspects of quantum information technologies</w:t>
      </w:r>
    </w:p>
    <w:p w14:paraId="7B61231D" w14:textId="56AB325B" w:rsidR="00467172" w:rsidRPr="00FA11C5" w:rsidRDefault="00300621" w:rsidP="00BB2C22">
      <w:pPr>
        <w:pStyle w:val="Heading1"/>
      </w:pPr>
      <w:bookmarkStart w:id="9" w:name="_Toc401158818"/>
      <w:bookmarkStart w:id="10" w:name="_Toc89415314"/>
      <w:bookmarkStart w:id="11" w:name="_Toc93383463"/>
      <w:r w:rsidRPr="00FA11C5">
        <w:t>1</w:t>
      </w:r>
      <w:r w:rsidRPr="00FA11C5">
        <w:tab/>
      </w:r>
      <w:r w:rsidR="00467172" w:rsidRPr="00FA11C5">
        <w:t>Scope</w:t>
      </w:r>
      <w:bookmarkEnd w:id="9"/>
      <w:bookmarkEnd w:id="10"/>
      <w:bookmarkEnd w:id="11"/>
    </w:p>
    <w:p w14:paraId="0698D465" w14:textId="2AF26EA8" w:rsidR="006A778F" w:rsidRPr="00FA11C5" w:rsidRDefault="006A778F" w:rsidP="00300621">
      <w:pPr>
        <w:rPr>
          <w:rFonts w:eastAsia="SimSun"/>
          <w:lang w:eastAsia="ko-KR"/>
        </w:rPr>
      </w:pPr>
      <w:bookmarkStart w:id="12" w:name="_Toc401158819"/>
      <w:r w:rsidRPr="00FA11C5">
        <w:rPr>
          <w:rFonts w:eastAsia="SimSun"/>
          <w:lang w:eastAsia="ko-KR"/>
        </w:rPr>
        <w:t>This Technical Report provides:</w:t>
      </w:r>
    </w:p>
    <w:p w14:paraId="3018CBEF" w14:textId="74F03FFE" w:rsidR="006A778F" w:rsidRPr="00FA11C5" w:rsidRDefault="00300621" w:rsidP="00300621">
      <w:pPr>
        <w:pStyle w:val="enumlev1"/>
        <w:rPr>
          <w:rFonts w:eastAsia="SimSun"/>
          <w:lang w:eastAsia="ko-KR"/>
        </w:rPr>
      </w:pPr>
      <w:r w:rsidRPr="00FA11C5">
        <w:rPr>
          <w:rFonts w:eastAsia="SimSun"/>
          <w:lang w:eastAsia="ko-KR"/>
        </w:rPr>
        <w:t>•</w:t>
      </w:r>
      <w:r w:rsidRPr="00FA11C5">
        <w:rPr>
          <w:rFonts w:eastAsia="SimSun"/>
          <w:lang w:eastAsia="ko-KR"/>
        </w:rPr>
        <w:tab/>
      </w:r>
      <w:r w:rsidR="008703D5" w:rsidRPr="00FA11C5">
        <w:rPr>
          <w:rFonts w:eastAsia="SimSun"/>
          <w:lang w:eastAsia="ko-KR"/>
        </w:rPr>
        <w:t xml:space="preserve">a </w:t>
      </w:r>
      <w:r w:rsidR="006A778F" w:rsidRPr="00FA11C5">
        <w:rPr>
          <w:rFonts w:eastAsia="SimSun"/>
          <w:lang w:eastAsia="ko-KR"/>
        </w:rPr>
        <w:t>snapshot of the standardization landscape of QIT for networks</w:t>
      </w:r>
      <w:r w:rsidR="008703D5" w:rsidRPr="00FA11C5">
        <w:rPr>
          <w:rFonts w:eastAsia="SimSun"/>
          <w:lang w:eastAsia="ko-KR"/>
        </w:rPr>
        <w:t>;</w:t>
      </w:r>
    </w:p>
    <w:p w14:paraId="42544DDD" w14:textId="401F645B" w:rsidR="006A778F" w:rsidRPr="00FA11C5" w:rsidRDefault="00300621" w:rsidP="00300621">
      <w:pPr>
        <w:pStyle w:val="enumlev1"/>
        <w:rPr>
          <w:rFonts w:eastAsia="SimSun"/>
          <w:lang w:eastAsia="ko-KR"/>
        </w:rPr>
      </w:pPr>
      <w:r w:rsidRPr="00FA11C5">
        <w:rPr>
          <w:rFonts w:eastAsia="SimSun"/>
          <w:lang w:eastAsia="ko-KR"/>
        </w:rPr>
        <w:t>•</w:t>
      </w:r>
      <w:r w:rsidRPr="00FA11C5">
        <w:rPr>
          <w:rFonts w:eastAsia="SimSun"/>
          <w:lang w:eastAsia="ko-KR"/>
        </w:rPr>
        <w:tab/>
      </w:r>
      <w:r w:rsidR="008703D5" w:rsidRPr="00FA11C5">
        <w:rPr>
          <w:rFonts w:eastAsia="SimSun"/>
          <w:lang w:eastAsia="ko-KR"/>
        </w:rPr>
        <w:t xml:space="preserve">prospects </w:t>
      </w:r>
      <w:r w:rsidR="006A778F" w:rsidRPr="00FA11C5">
        <w:rPr>
          <w:rFonts w:eastAsia="SimSun"/>
          <w:lang w:eastAsia="zh-CN"/>
        </w:rPr>
        <w:t>and</w:t>
      </w:r>
      <w:r w:rsidR="006A778F" w:rsidRPr="00FA11C5">
        <w:rPr>
          <w:rFonts w:eastAsia="SimSun"/>
          <w:lang w:eastAsia="ko-KR"/>
        </w:rPr>
        <w:t xml:space="preserve"> </w:t>
      </w:r>
      <w:r w:rsidR="006A778F" w:rsidRPr="00FA11C5">
        <w:rPr>
          <w:rFonts w:eastAsia="SimSun"/>
          <w:lang w:eastAsia="zh-CN"/>
        </w:rPr>
        <w:t>b</w:t>
      </w:r>
      <w:r w:rsidR="006A778F" w:rsidRPr="00FA11C5">
        <w:rPr>
          <w:rFonts w:eastAsia="SimSun"/>
          <w:lang w:eastAsia="ko-KR"/>
        </w:rPr>
        <w:t>arriers to the development and adoption of standards for QIT for networks</w:t>
      </w:r>
      <w:r w:rsidR="008703D5" w:rsidRPr="00FA11C5">
        <w:rPr>
          <w:rFonts w:eastAsia="SimSun"/>
          <w:lang w:eastAsia="ko-KR"/>
        </w:rPr>
        <w:t>;</w:t>
      </w:r>
    </w:p>
    <w:p w14:paraId="373C0069" w14:textId="0F59D639" w:rsidR="006A778F" w:rsidRPr="00FA11C5" w:rsidRDefault="00300621" w:rsidP="00300621">
      <w:pPr>
        <w:pStyle w:val="enumlev1"/>
        <w:rPr>
          <w:rFonts w:eastAsia="SimSun"/>
          <w:lang w:eastAsia="ko-KR"/>
        </w:rPr>
      </w:pPr>
      <w:r w:rsidRPr="00FA11C5">
        <w:rPr>
          <w:rFonts w:eastAsia="SimSun"/>
          <w:lang w:eastAsia="ko-KR"/>
        </w:rPr>
        <w:t>•</w:t>
      </w:r>
      <w:r w:rsidRPr="00FA11C5">
        <w:rPr>
          <w:rFonts w:eastAsia="SimSun"/>
          <w:lang w:eastAsia="ko-KR"/>
        </w:rPr>
        <w:tab/>
      </w:r>
      <w:r w:rsidR="008703D5" w:rsidRPr="00FA11C5">
        <w:rPr>
          <w:rFonts w:eastAsia="SimSun"/>
          <w:lang w:eastAsia="ko-KR"/>
        </w:rPr>
        <w:t xml:space="preserve">a </w:t>
      </w:r>
      <w:r w:rsidR="006A778F" w:rsidRPr="00FA11C5">
        <w:rPr>
          <w:rFonts w:eastAsia="SimSun"/>
          <w:lang w:eastAsia="ko-KR"/>
        </w:rPr>
        <w:t>review of methodologies for assessing technology maturity and standardization readiness of QIT for networks.</w:t>
      </w:r>
    </w:p>
    <w:p w14:paraId="5BE5E0B1" w14:textId="68CE7280" w:rsidR="006A778F" w:rsidRPr="00FA11C5" w:rsidRDefault="006A778F" w:rsidP="00300621">
      <w:pPr>
        <w:rPr>
          <w:rFonts w:eastAsia="Arial Unicode MS"/>
          <w:lang w:eastAsia="ja-JP"/>
        </w:rPr>
      </w:pPr>
      <w:r w:rsidRPr="00FA11C5">
        <w:rPr>
          <w:rFonts w:eastAsia="Arial Unicode MS"/>
          <w:lang w:eastAsia="ja-JP"/>
        </w:rPr>
        <w:t xml:space="preserve">It studies </w:t>
      </w:r>
      <w:r w:rsidRPr="00FA11C5">
        <w:rPr>
          <w:rFonts w:eastAsia="SimSun"/>
          <w:lang w:eastAsia="ko-KR"/>
        </w:rPr>
        <w:t xml:space="preserve">the </w:t>
      </w:r>
      <w:r w:rsidRPr="00FA11C5">
        <w:rPr>
          <w:rFonts w:eastAsia="SimSun"/>
        </w:rPr>
        <w:t xml:space="preserve">standardization outlook and technology maturity of quantum information technologies which either comprise or impact the requirements for a </w:t>
      </w:r>
      <w:r w:rsidR="00600915" w:rsidRPr="00FA11C5">
        <w:rPr>
          <w:rFonts w:eastAsia="SimSun"/>
        </w:rPr>
        <w:t>quantum information network (</w:t>
      </w:r>
      <w:r w:rsidRPr="00FA11C5">
        <w:rPr>
          <w:rFonts w:eastAsia="SimSun"/>
        </w:rPr>
        <w:t>QIN</w:t>
      </w:r>
      <w:r w:rsidR="00600915" w:rsidRPr="00FA11C5">
        <w:rPr>
          <w:rFonts w:eastAsia="SimSun"/>
        </w:rPr>
        <w:t>)</w:t>
      </w:r>
      <w:r w:rsidRPr="00FA11C5">
        <w:rPr>
          <w:rFonts w:eastAsia="SimSun"/>
        </w:rPr>
        <w:t xml:space="preserve">, at the period of performance of the </w:t>
      </w:r>
      <w:r w:rsidRPr="00FA11C5">
        <w:rPr>
          <w:rFonts w:eastAsia="Arial Unicode MS"/>
          <w:lang w:eastAsia="ja-JP"/>
        </w:rPr>
        <w:t xml:space="preserve">ITU-T Focus Group on Quantum Information Technology for Networks (FG QIT4N). </w:t>
      </w:r>
    </w:p>
    <w:p w14:paraId="5273A919" w14:textId="5FCC8661" w:rsidR="006A778F" w:rsidRPr="00FA11C5" w:rsidRDefault="006A778F" w:rsidP="00300621">
      <w:pPr>
        <w:rPr>
          <w:rFonts w:eastAsia="SimSun"/>
          <w:lang w:eastAsia="ko-KR"/>
        </w:rPr>
      </w:pPr>
      <w:r w:rsidRPr="00FA11C5">
        <w:rPr>
          <w:rFonts w:eastAsia="SimSun"/>
          <w:lang w:eastAsia="ko-KR"/>
        </w:rPr>
        <w:t xml:space="preserve">This document considers standards relevant to: </w:t>
      </w:r>
    </w:p>
    <w:p w14:paraId="3A2B008B" w14:textId="047BF00C" w:rsidR="006A778F" w:rsidRPr="00FA11C5" w:rsidRDefault="00300621" w:rsidP="00300621">
      <w:pPr>
        <w:pStyle w:val="enumlev1"/>
      </w:pPr>
      <w:r w:rsidRPr="00FA11C5">
        <w:rPr>
          <w:rFonts w:eastAsia="SimSun"/>
          <w:lang w:eastAsia="ko-KR"/>
        </w:rPr>
        <w:t>•</w:t>
      </w:r>
      <w:r w:rsidRPr="00FA11C5">
        <w:rPr>
          <w:rFonts w:eastAsia="SimSun"/>
          <w:lang w:eastAsia="ko-KR"/>
        </w:rPr>
        <w:tab/>
      </w:r>
      <w:r w:rsidR="00600915" w:rsidRPr="00FA11C5">
        <w:rPr>
          <w:b/>
          <w:bCs/>
          <w:lang w:eastAsia="zh-CN"/>
        </w:rPr>
        <w:t>QITs</w:t>
      </w:r>
      <w:r w:rsidR="006A778F" w:rsidRPr="00FA11C5">
        <w:rPr>
          <w:b/>
          <w:bCs/>
          <w:lang w:eastAsia="zh-CN"/>
        </w:rPr>
        <w:t xml:space="preserve"> that are building blocks for QINs: </w:t>
      </w:r>
      <w:r w:rsidR="006A778F" w:rsidRPr="00FA11C5">
        <w:rPr>
          <w:lang w:eastAsia="zh-CN"/>
        </w:rPr>
        <w:t xml:space="preserve">These are necessary technologies for QIN, which provide fundamentally enabling aspects of a quantum information network, from lower-level essential components up through higher level systems. For example, these technologies may include quantum </w:t>
      </w:r>
      <w:r w:rsidR="006A778F" w:rsidRPr="00FA11C5">
        <w:t xml:space="preserve">memories, quantum repeaters, quantum network end-nodes, and respective technologies that extend traditional network control technology to allow QIN functionality. </w:t>
      </w:r>
    </w:p>
    <w:p w14:paraId="1EC0B3E2" w14:textId="21B4BDB3" w:rsidR="006A778F" w:rsidRPr="00FA11C5" w:rsidRDefault="00300621" w:rsidP="00300621">
      <w:pPr>
        <w:pStyle w:val="enumlev1"/>
      </w:pPr>
      <w:r w:rsidRPr="00FA11C5">
        <w:rPr>
          <w:rFonts w:eastAsia="SimSun"/>
          <w:lang w:eastAsia="ko-KR"/>
        </w:rPr>
        <w:t>•</w:t>
      </w:r>
      <w:r w:rsidRPr="00FA11C5">
        <w:rPr>
          <w:rFonts w:eastAsia="SimSun"/>
          <w:lang w:eastAsia="ko-KR"/>
        </w:rPr>
        <w:tab/>
      </w:r>
      <w:r w:rsidR="00600915" w:rsidRPr="00FA11C5">
        <w:rPr>
          <w:b/>
          <w:bCs/>
          <w:lang w:eastAsia="zh-CN"/>
        </w:rPr>
        <w:t>QITs</w:t>
      </w:r>
      <w:r w:rsidR="006A778F" w:rsidRPr="00FA11C5">
        <w:rPr>
          <w:b/>
          <w:bCs/>
          <w:lang w:eastAsia="zh-CN"/>
        </w:rPr>
        <w:t xml:space="preserve"> for which the network plays an intrinsic role</w:t>
      </w:r>
      <w:r w:rsidR="0037771B" w:rsidRPr="00FA11C5">
        <w:rPr>
          <w:b/>
          <w:bCs/>
          <w:lang w:eastAsia="zh-CN"/>
        </w:rPr>
        <w:t>:</w:t>
      </w:r>
      <w:r w:rsidR="006A778F" w:rsidRPr="00FA11C5">
        <w:rPr>
          <w:lang w:eastAsia="zh-CN"/>
        </w:rPr>
        <w:t xml:space="preserve"> </w:t>
      </w:r>
      <w:r w:rsidR="006A778F" w:rsidRPr="00FA11C5">
        <w:t>T</w:t>
      </w:r>
      <w:bookmarkStart w:id="13" w:name="_Hlk44669291"/>
      <w:r w:rsidR="006A778F" w:rsidRPr="00FA11C5">
        <w:t>his would include QIT that is significantly</w:t>
      </w:r>
      <w:bookmarkEnd w:id="13"/>
      <w:r w:rsidR="006A778F" w:rsidRPr="00FA11C5">
        <w:t xml:space="preserve"> defined or enhanced by the functionality provided by a QIN and/or a classical network, beyond simple remote access of a QIT application via a classical network. Examples include QIT that requires distributed entanglement, or sensor networks where sensing performance is enhanced through networking (but would not consider standards for individual sensors)</w:t>
      </w:r>
      <w:r w:rsidR="008703D5" w:rsidRPr="00FA11C5">
        <w:t>.</w:t>
      </w:r>
    </w:p>
    <w:p w14:paraId="61C1A158" w14:textId="2DDE3E7D" w:rsidR="006A778F" w:rsidRPr="00FA11C5" w:rsidRDefault="00300621" w:rsidP="00300621">
      <w:pPr>
        <w:pStyle w:val="enumlev1"/>
      </w:pPr>
      <w:r w:rsidRPr="00FA11C5">
        <w:rPr>
          <w:rFonts w:eastAsia="SimSun"/>
          <w:lang w:eastAsia="ko-KR"/>
        </w:rPr>
        <w:t>•</w:t>
      </w:r>
      <w:r w:rsidRPr="00FA11C5">
        <w:rPr>
          <w:rFonts w:eastAsia="SimSun"/>
          <w:lang w:eastAsia="ko-KR"/>
        </w:rPr>
        <w:tab/>
      </w:r>
      <w:r w:rsidR="0037771B" w:rsidRPr="00FA11C5">
        <w:rPr>
          <w:b/>
          <w:bCs/>
          <w:lang w:eastAsia="zh-CN"/>
        </w:rPr>
        <w:t>QITs</w:t>
      </w:r>
      <w:r w:rsidR="006A778F" w:rsidRPr="00FA11C5">
        <w:rPr>
          <w:b/>
          <w:bCs/>
          <w:lang w:eastAsia="zh-CN"/>
        </w:rPr>
        <w:t xml:space="preserve"> that provide ICT network function and/or performance improvement</w:t>
      </w:r>
      <w:r w:rsidR="0037771B" w:rsidRPr="00FA11C5">
        <w:rPr>
          <w:b/>
          <w:bCs/>
          <w:lang w:eastAsia="zh-CN"/>
        </w:rPr>
        <w:t>:</w:t>
      </w:r>
      <w:r w:rsidR="006A778F" w:rsidRPr="00FA11C5">
        <w:rPr>
          <w:lang w:eastAsia="zh-CN"/>
        </w:rPr>
        <w:t xml:space="preserve"> T</w:t>
      </w:r>
      <w:r w:rsidR="006A778F" w:rsidRPr="00FA11C5">
        <w:t>his would include QIT that improves the function or performance of a network. Examples include QIT that provides higher timing accuracy or improved security, such as through improved time synchronisation and randomness generation. The relevance of the QIT application to the network should be justified and highly indicated.</w:t>
      </w:r>
    </w:p>
    <w:p w14:paraId="5C57884E" w14:textId="77777777" w:rsidR="006A778F" w:rsidRPr="00FA11C5" w:rsidRDefault="006A778F" w:rsidP="00300621">
      <w:r w:rsidRPr="00FA11C5">
        <w:t>For the purposes of this report, a QIN is defined as any network that incorporates quantum communication technologies for the purpose of transporting quantum states.</w:t>
      </w:r>
    </w:p>
    <w:p w14:paraId="25150249" w14:textId="77777777" w:rsidR="006A778F" w:rsidRPr="00FA11C5" w:rsidRDefault="006A778F" w:rsidP="00300621">
      <w:bookmarkStart w:id="14" w:name="_Toc44063276"/>
      <w:r w:rsidRPr="00FA11C5">
        <w:t>QIT not considered within this report are those that do not satisfy the above requirements.</w:t>
      </w:r>
      <w:bookmarkEnd w:id="14"/>
    </w:p>
    <w:p w14:paraId="36E3CB70" w14:textId="7F9BD04A" w:rsidR="00467172" w:rsidRPr="00FA11C5" w:rsidRDefault="00300621" w:rsidP="00BB2C22">
      <w:pPr>
        <w:pStyle w:val="Heading1"/>
        <w:rPr>
          <w:lang w:bidi="ar-DZ"/>
        </w:rPr>
      </w:pPr>
      <w:bookmarkStart w:id="15" w:name="_Toc89415315"/>
      <w:bookmarkStart w:id="16" w:name="_Toc93383464"/>
      <w:r w:rsidRPr="00FA11C5">
        <w:rPr>
          <w:lang w:bidi="ar-DZ"/>
        </w:rPr>
        <w:t>2</w:t>
      </w:r>
      <w:r w:rsidRPr="00FA11C5">
        <w:rPr>
          <w:lang w:bidi="ar-DZ"/>
        </w:rPr>
        <w:tab/>
      </w:r>
      <w:r w:rsidR="00467172" w:rsidRPr="00FA11C5">
        <w:rPr>
          <w:lang w:bidi="ar-DZ"/>
        </w:rPr>
        <w:t>References</w:t>
      </w:r>
      <w:bookmarkEnd w:id="12"/>
      <w:bookmarkEnd w:id="15"/>
      <w:bookmarkEnd w:id="16"/>
    </w:p>
    <w:p w14:paraId="5C004CEB" w14:textId="3413C146" w:rsidR="004B39E2" w:rsidRPr="00FA11C5" w:rsidRDefault="006A778F" w:rsidP="00300621">
      <w:r w:rsidRPr="00FA11C5">
        <w:t xml:space="preserve">None. </w:t>
      </w:r>
    </w:p>
    <w:p w14:paraId="1293CD48" w14:textId="6E1E3FD0" w:rsidR="009635CB" w:rsidRPr="00FA11C5" w:rsidRDefault="00300621" w:rsidP="00BB2C22">
      <w:pPr>
        <w:pStyle w:val="Heading1"/>
        <w:rPr>
          <w:lang w:bidi="ar-DZ"/>
        </w:rPr>
      </w:pPr>
      <w:bookmarkStart w:id="17" w:name="_Toc401158820"/>
      <w:bookmarkStart w:id="18" w:name="_Toc89415316"/>
      <w:bookmarkStart w:id="19" w:name="_Toc93383465"/>
      <w:r w:rsidRPr="00FA11C5">
        <w:rPr>
          <w:lang w:bidi="ar-DZ"/>
        </w:rPr>
        <w:t>3</w:t>
      </w:r>
      <w:r w:rsidRPr="00FA11C5">
        <w:rPr>
          <w:lang w:bidi="ar-DZ"/>
        </w:rPr>
        <w:tab/>
      </w:r>
      <w:r w:rsidR="009635CB" w:rsidRPr="00FA11C5">
        <w:rPr>
          <w:lang w:bidi="ar-DZ"/>
        </w:rPr>
        <w:t>Terms and definitions</w:t>
      </w:r>
      <w:bookmarkEnd w:id="17"/>
      <w:bookmarkEnd w:id="18"/>
      <w:bookmarkEnd w:id="19"/>
    </w:p>
    <w:p w14:paraId="0A15C723" w14:textId="2FAF47F9" w:rsidR="006A778F" w:rsidRPr="00FA11C5" w:rsidRDefault="006A778F" w:rsidP="00300621">
      <w:pPr>
        <w:rPr>
          <w:rFonts w:eastAsia="Malgun Gothic"/>
        </w:rPr>
      </w:pPr>
      <w:bookmarkStart w:id="20" w:name="_Toc401158823"/>
      <w:r w:rsidRPr="00FA11C5">
        <w:rPr>
          <w:rFonts w:eastAsia="Malgun Gothic"/>
        </w:rPr>
        <w:t>Q</w:t>
      </w:r>
      <w:r w:rsidRPr="00FA11C5">
        <w:t>IT and QIN</w:t>
      </w:r>
      <w:r w:rsidRPr="00FA11C5">
        <w:rPr>
          <w:rFonts w:eastAsia="Malgun Gothic"/>
        </w:rPr>
        <w:t xml:space="preserve"> related terms may be drawn from </w:t>
      </w:r>
      <w:r w:rsidR="00D339C5" w:rsidRPr="00FA11C5">
        <w:rPr>
          <w:rFonts w:eastAsia="Malgun Gothic"/>
        </w:rPr>
        <w:t>[b-</w:t>
      </w:r>
      <w:r w:rsidRPr="00FA11C5">
        <w:rPr>
          <w:rFonts w:eastAsia="Malgun Gothic"/>
        </w:rPr>
        <w:t>QIT4N D</w:t>
      </w:r>
      <w:r w:rsidRPr="00FA11C5">
        <w:t>1</w:t>
      </w:r>
      <w:r w:rsidRPr="00FA11C5">
        <w:rPr>
          <w:rFonts w:eastAsia="Malgun Gothic"/>
        </w:rPr>
        <w:t>.1</w:t>
      </w:r>
      <w:r w:rsidR="00D339C5" w:rsidRPr="00FA11C5">
        <w:rPr>
          <w:rFonts w:eastAsia="Malgun Gothic"/>
        </w:rPr>
        <w:t>]</w:t>
      </w:r>
      <w:r w:rsidRPr="00FA11C5">
        <w:rPr>
          <w:rFonts w:eastAsia="Malgun Gothic"/>
        </w:rPr>
        <w:t>.</w:t>
      </w:r>
    </w:p>
    <w:p w14:paraId="30A43D69" w14:textId="4F599AE2" w:rsidR="00467172" w:rsidRPr="00FA11C5" w:rsidRDefault="00300621" w:rsidP="00BB2C22">
      <w:pPr>
        <w:pStyle w:val="Heading1"/>
        <w:rPr>
          <w:lang w:bidi="ar-DZ"/>
        </w:rPr>
      </w:pPr>
      <w:bookmarkStart w:id="21" w:name="_Toc89415317"/>
      <w:bookmarkStart w:id="22" w:name="_Toc93383466"/>
      <w:r w:rsidRPr="00FA11C5">
        <w:rPr>
          <w:lang w:bidi="ar-DZ"/>
        </w:rPr>
        <w:t>4</w:t>
      </w:r>
      <w:r w:rsidRPr="00FA11C5">
        <w:rPr>
          <w:lang w:bidi="ar-DZ"/>
        </w:rPr>
        <w:tab/>
      </w:r>
      <w:r w:rsidR="00467172" w:rsidRPr="00FA11C5">
        <w:rPr>
          <w:lang w:bidi="ar-DZ"/>
        </w:rPr>
        <w:t>Abbreviations</w:t>
      </w:r>
      <w:bookmarkEnd w:id="20"/>
      <w:r w:rsidR="00531D8B" w:rsidRPr="00FA11C5">
        <w:rPr>
          <w:lang w:bidi="ar-DZ"/>
        </w:rPr>
        <w:t xml:space="preserve"> and acronyms</w:t>
      </w:r>
      <w:bookmarkEnd w:id="21"/>
      <w:bookmarkEnd w:id="22"/>
    </w:p>
    <w:p w14:paraId="4180475F" w14:textId="470783D7" w:rsidR="00531D8B" w:rsidRPr="00FA11C5" w:rsidRDefault="00531D8B" w:rsidP="00BB2C22">
      <w:pPr>
        <w:spacing w:after="120"/>
        <w:rPr>
          <w:lang w:eastAsia="ja-JP" w:bidi="ar-DZ"/>
        </w:rPr>
      </w:pPr>
      <w:r w:rsidRPr="00FA11C5">
        <w:rPr>
          <w:lang w:eastAsia="ja-JP" w:bidi="ar-DZ"/>
        </w:rPr>
        <w:t>This Technical Report uses the following abbreviations and acronyms:</w:t>
      </w:r>
    </w:p>
    <w:p w14:paraId="7382AB62" w14:textId="77777777" w:rsidR="00300621" w:rsidRPr="00FA11C5" w:rsidRDefault="00300621" w:rsidP="00300621">
      <w:pPr>
        <w:rPr>
          <w:lang w:bidi="ar-DZ"/>
        </w:rPr>
      </w:pPr>
      <w:r w:rsidRPr="00FA11C5">
        <w:rPr>
          <w:rFonts w:eastAsia="Malgun Gothic"/>
          <w:lang w:eastAsia="ko-KR"/>
        </w:rPr>
        <w:t>Q</w:t>
      </w:r>
      <w:r w:rsidRPr="00FA11C5">
        <w:t>IN</w:t>
      </w:r>
      <w:r w:rsidRPr="00FA11C5">
        <w:rPr>
          <w:lang w:bidi="ar-DZ"/>
        </w:rPr>
        <w:tab/>
      </w:r>
      <w:r w:rsidRPr="00FA11C5">
        <w:rPr>
          <w:rFonts w:eastAsia="Malgun Gothic"/>
          <w:lang w:eastAsia="ko-KR"/>
        </w:rPr>
        <w:t>Q</w:t>
      </w:r>
      <w:r w:rsidRPr="00FA11C5">
        <w:t>uantum Information Network</w:t>
      </w:r>
    </w:p>
    <w:p w14:paraId="76F5D4A5" w14:textId="79E53BFD" w:rsidR="00300621" w:rsidRPr="00FA11C5" w:rsidRDefault="00300621" w:rsidP="00300621">
      <w:r w:rsidRPr="00FA11C5">
        <w:rPr>
          <w:rFonts w:eastAsia="Malgun Gothic"/>
          <w:lang w:eastAsia="ko-KR"/>
        </w:rPr>
        <w:lastRenderedPageBreak/>
        <w:t>Q</w:t>
      </w:r>
      <w:r w:rsidRPr="00FA11C5">
        <w:t>IT</w:t>
      </w:r>
      <w:r w:rsidRPr="00FA11C5">
        <w:tab/>
      </w:r>
      <w:r w:rsidRPr="00FA11C5">
        <w:rPr>
          <w:rFonts w:eastAsia="Malgun Gothic"/>
          <w:lang w:eastAsia="ko-KR"/>
        </w:rPr>
        <w:t>Q</w:t>
      </w:r>
      <w:r w:rsidRPr="00FA11C5">
        <w:t>uantum Information Technology</w:t>
      </w:r>
    </w:p>
    <w:p w14:paraId="4FEBBC7F" w14:textId="77777777" w:rsidR="00300621" w:rsidRPr="00FA11C5" w:rsidRDefault="00300621" w:rsidP="00300621">
      <w:pPr>
        <w:rPr>
          <w:lang w:bidi="ar-DZ"/>
        </w:rPr>
      </w:pPr>
      <w:r w:rsidRPr="00FA11C5">
        <w:t>SDO</w:t>
      </w:r>
      <w:r w:rsidRPr="00FA11C5">
        <w:rPr>
          <w:lang w:bidi="ar-DZ"/>
        </w:rPr>
        <w:tab/>
      </w:r>
      <w:r w:rsidRPr="00FA11C5">
        <w:t>Standards Development Organization</w:t>
      </w:r>
    </w:p>
    <w:p w14:paraId="21AB2609" w14:textId="77777777" w:rsidR="00300621" w:rsidRPr="00FA11C5" w:rsidRDefault="00300621" w:rsidP="00300621">
      <w:r w:rsidRPr="00FA11C5">
        <w:t>SRL</w:t>
      </w:r>
      <w:r w:rsidRPr="00FA11C5">
        <w:tab/>
        <w:t>Standardization Readiness Level</w:t>
      </w:r>
    </w:p>
    <w:p w14:paraId="3DDEEF33" w14:textId="77777777" w:rsidR="00300621" w:rsidRPr="00FA11C5" w:rsidRDefault="00300621" w:rsidP="00300621">
      <w:r w:rsidRPr="00FA11C5">
        <w:t>TRL</w:t>
      </w:r>
      <w:r w:rsidRPr="00FA11C5">
        <w:tab/>
        <w:t>Technology Readiness Level</w:t>
      </w:r>
    </w:p>
    <w:p w14:paraId="39FD6736" w14:textId="7E2D6970" w:rsidR="00467172" w:rsidRPr="00FA11C5" w:rsidRDefault="00300621" w:rsidP="00BB2C22">
      <w:pPr>
        <w:pStyle w:val="Heading1"/>
        <w:rPr>
          <w:lang w:bidi="ar-DZ"/>
        </w:rPr>
      </w:pPr>
      <w:bookmarkStart w:id="23" w:name="_Toc89415318"/>
      <w:bookmarkStart w:id="24" w:name="_Toc93383467"/>
      <w:r w:rsidRPr="00FA11C5">
        <w:rPr>
          <w:lang w:bidi="ar-DZ"/>
        </w:rPr>
        <w:t>5</w:t>
      </w:r>
      <w:r w:rsidRPr="00FA11C5">
        <w:rPr>
          <w:lang w:bidi="ar-DZ"/>
        </w:rPr>
        <w:tab/>
      </w:r>
      <w:r w:rsidR="006A778F" w:rsidRPr="00FA11C5">
        <w:rPr>
          <w:lang w:bidi="ar-DZ"/>
        </w:rPr>
        <w:t>Introduction</w:t>
      </w:r>
      <w:bookmarkEnd w:id="23"/>
      <w:bookmarkEnd w:id="24"/>
    </w:p>
    <w:p w14:paraId="7D9796F1" w14:textId="3FE0A9D9" w:rsidR="00B713E6" w:rsidRPr="00FA11C5" w:rsidRDefault="006A778F" w:rsidP="00300621">
      <w:pPr>
        <w:rPr>
          <w:rFonts w:eastAsia="Calibri"/>
        </w:rPr>
      </w:pPr>
      <w:bookmarkStart w:id="25" w:name="_Toc286237445"/>
      <w:bookmarkStart w:id="26" w:name="_Toc286246107"/>
      <w:bookmarkStart w:id="27" w:name="_Toc401159832"/>
      <w:r w:rsidRPr="00FA11C5">
        <w:t xml:space="preserve">There is nothing </w:t>
      </w:r>
      <w:r w:rsidR="00875463" w:rsidRPr="00FA11C5">
        <w:t>"</w:t>
      </w:r>
      <w:r w:rsidRPr="00FA11C5">
        <w:t>standard</w:t>
      </w:r>
      <w:r w:rsidR="00875463" w:rsidRPr="00FA11C5">
        <w:t>"</w:t>
      </w:r>
      <w:r w:rsidRPr="00FA11C5">
        <w:t xml:space="preserve"> about standards.</w:t>
      </w:r>
      <w:r w:rsidRPr="00FA11C5">
        <w:rPr>
          <w:szCs w:val="24"/>
        </w:rPr>
        <w:t xml:space="preserve"> </w:t>
      </w:r>
      <w:r w:rsidRPr="00FA11C5">
        <w:rPr>
          <w:rFonts w:eastAsia="Calibri"/>
        </w:rPr>
        <w:t xml:space="preserve">A standard may be a physical artifact or system that can repeatably and reliably provide a measurement value, such as a </w:t>
      </w:r>
      <w:r w:rsidR="00FA11C5" w:rsidRPr="00FA11C5">
        <w:rPr>
          <w:rFonts w:eastAsia="Calibri"/>
        </w:rPr>
        <w:t>caesium</w:t>
      </w:r>
      <w:r w:rsidRPr="00FA11C5">
        <w:rPr>
          <w:rFonts w:eastAsia="Calibri"/>
        </w:rPr>
        <w:t xml:space="preserve"> atom, the value of whose transition frequencies can be depended upon to remain the same – otherwise it would</w:t>
      </w:r>
      <w:r w:rsidR="006B0ED5" w:rsidRPr="00FA11C5">
        <w:rPr>
          <w:rFonts w:eastAsia="Calibri"/>
        </w:rPr>
        <w:t xml:space="preserve"> </w:t>
      </w:r>
      <w:r w:rsidRPr="00FA11C5">
        <w:rPr>
          <w:rFonts w:eastAsia="Calibri"/>
        </w:rPr>
        <w:t>n</w:t>
      </w:r>
      <w:r w:rsidR="006B0ED5" w:rsidRPr="00FA11C5">
        <w:rPr>
          <w:rFonts w:eastAsia="Calibri"/>
        </w:rPr>
        <w:t>o</w:t>
      </w:r>
      <w:r w:rsidRPr="00FA11C5">
        <w:rPr>
          <w:rFonts w:eastAsia="Calibri"/>
        </w:rPr>
        <w:t xml:space="preserve">t be </w:t>
      </w:r>
      <w:r w:rsidR="00FA11C5" w:rsidRPr="00FA11C5">
        <w:rPr>
          <w:rFonts w:eastAsia="Calibri"/>
        </w:rPr>
        <w:t>caesium</w:t>
      </w:r>
      <w:r w:rsidRPr="00FA11C5">
        <w:rPr>
          <w:rFonts w:eastAsia="Calibri"/>
        </w:rPr>
        <w:t>. Standards may also be procedures that provide a reproducible result if followed exactly, or systems guaranteed to give the same result if operated according to precise instructions. A Josephson voltage chip that always produces the same voltage under the same conditions or a well-characterized single photon detector that can be used as a reference to assess the performance of single photon sources could be considered standards.</w:t>
      </w:r>
    </w:p>
    <w:p w14:paraId="3A32C0CB" w14:textId="2A99AFBA" w:rsidR="006A778F" w:rsidRPr="00FA11C5" w:rsidRDefault="00B713E6" w:rsidP="00300621">
      <w:pPr>
        <w:rPr>
          <w:rFonts w:eastAsia="Calibri"/>
        </w:rPr>
      </w:pPr>
      <w:r w:rsidRPr="00FA11C5">
        <w:rPr>
          <w:rFonts w:eastAsia="Calibri"/>
        </w:rPr>
        <w:t>However,</w:t>
      </w:r>
      <w:r w:rsidR="006A778F" w:rsidRPr="00FA11C5">
        <w:rPr>
          <w:rFonts w:eastAsia="Calibri"/>
        </w:rPr>
        <w:t xml:space="preserve"> more commonly </w:t>
      </w:r>
      <w:r w:rsidR="00875463" w:rsidRPr="00FA11C5">
        <w:rPr>
          <w:rFonts w:eastAsia="Calibri"/>
        </w:rPr>
        <w:t>"</w:t>
      </w:r>
      <w:r w:rsidR="006A778F" w:rsidRPr="00FA11C5">
        <w:rPr>
          <w:rFonts w:eastAsia="Calibri"/>
        </w:rPr>
        <w:t>standard</w:t>
      </w:r>
      <w:r w:rsidR="00875463" w:rsidRPr="00FA11C5">
        <w:rPr>
          <w:rFonts w:eastAsia="Calibri"/>
        </w:rPr>
        <w:t>"</w:t>
      </w:r>
      <w:r w:rsidR="006A778F" w:rsidRPr="00FA11C5">
        <w:rPr>
          <w:rFonts w:eastAsia="Calibri"/>
        </w:rPr>
        <w:t xml:space="preserve"> is used to refer to documentary standards. According to </w:t>
      </w:r>
      <w:r w:rsidR="006B0ED5" w:rsidRPr="00FA11C5">
        <w:rPr>
          <w:rFonts w:eastAsia="Calibri"/>
          <w:szCs w:val="24"/>
        </w:rPr>
        <w:t>[b-ISO/IEC Guide]</w:t>
      </w:r>
      <w:r w:rsidR="006A778F" w:rsidRPr="00FA11C5">
        <w:rPr>
          <w:rFonts w:eastAsia="Calibri"/>
        </w:rPr>
        <w:t>, a standard is:</w:t>
      </w:r>
    </w:p>
    <w:p w14:paraId="481AFC5E" w14:textId="6FD76221" w:rsidR="006A778F" w:rsidRPr="00FA11C5" w:rsidRDefault="00300621" w:rsidP="00300621">
      <w:pPr>
        <w:pStyle w:val="enumlev1"/>
        <w:rPr>
          <w:rFonts w:eastAsia="Calibri"/>
        </w:rPr>
      </w:pPr>
      <w:r w:rsidRPr="00FA11C5">
        <w:rPr>
          <w:rFonts w:eastAsia="Calibri"/>
        </w:rPr>
        <w:tab/>
      </w:r>
      <w:r w:rsidR="00875463" w:rsidRPr="00FA11C5">
        <w:rPr>
          <w:rFonts w:eastAsia="Calibri"/>
        </w:rPr>
        <w:t>"</w:t>
      </w:r>
      <w:r w:rsidR="006A778F" w:rsidRPr="00FA11C5">
        <w:rPr>
          <w:rFonts w:eastAsia="Calibri"/>
          <w:i/>
          <w:iCs/>
        </w:rPr>
        <w:t>a document, established by consensus and approved by a recognized body, that provides, for common and repeated use, rules, guidelines or characteristics for activities or their results, aimed at the achievement of the optimum degree of order in a given context.</w:t>
      </w:r>
      <w:r w:rsidR="00875463" w:rsidRPr="00FA11C5">
        <w:rPr>
          <w:rFonts w:eastAsia="Calibri"/>
          <w:i/>
          <w:iCs/>
        </w:rPr>
        <w:t>"</w:t>
      </w:r>
    </w:p>
    <w:p w14:paraId="4E508D12" w14:textId="719ADE03" w:rsidR="006A778F" w:rsidRPr="00FA11C5" w:rsidRDefault="006B0ED5" w:rsidP="00300621">
      <w:pPr>
        <w:rPr>
          <w:rFonts w:eastAsia="Calibri"/>
        </w:rPr>
      </w:pPr>
      <w:r w:rsidRPr="00FA11C5">
        <w:rPr>
          <w:rFonts w:eastAsia="Calibri"/>
          <w:szCs w:val="24"/>
        </w:rPr>
        <w:t xml:space="preserve">[b-ISO/IEC Guide] </w:t>
      </w:r>
      <w:r w:rsidR="006A778F" w:rsidRPr="00FA11C5">
        <w:rPr>
          <w:rFonts w:eastAsia="Calibri"/>
        </w:rPr>
        <w:t xml:space="preserve">goes on to note that </w:t>
      </w:r>
      <w:r w:rsidR="00875463" w:rsidRPr="00FA11C5">
        <w:rPr>
          <w:rFonts w:eastAsia="Calibri"/>
        </w:rPr>
        <w:t>"</w:t>
      </w:r>
      <w:r w:rsidRPr="00FA11C5">
        <w:rPr>
          <w:rFonts w:eastAsia="Calibri"/>
          <w:i/>
          <w:iCs/>
        </w:rPr>
        <w:t xml:space="preserve">standards </w:t>
      </w:r>
      <w:r w:rsidR="006A778F" w:rsidRPr="00FA11C5">
        <w:rPr>
          <w:rFonts w:eastAsia="Calibri"/>
          <w:i/>
          <w:iCs/>
        </w:rPr>
        <w:t>should be based on the consolidated results of science, technology and experience, and aimed at the promotion of optimum community benefits</w:t>
      </w:r>
      <w:r w:rsidR="00875463" w:rsidRPr="00FA11C5">
        <w:rPr>
          <w:rFonts w:eastAsia="Calibri"/>
        </w:rPr>
        <w:t>"</w:t>
      </w:r>
      <w:r w:rsidR="00F91456" w:rsidRPr="00FA11C5">
        <w:rPr>
          <w:rFonts w:eastAsia="Calibri"/>
        </w:rPr>
        <w:t>.</w:t>
      </w:r>
    </w:p>
    <w:p w14:paraId="0340CD1A" w14:textId="2A9FFA41" w:rsidR="006A778F" w:rsidRPr="00FA11C5" w:rsidRDefault="006A778F" w:rsidP="00300621">
      <w:pPr>
        <w:rPr>
          <w:rFonts w:eastAsia="Calibri"/>
        </w:rPr>
      </w:pPr>
      <w:r w:rsidRPr="00FA11C5">
        <w:rPr>
          <w:rFonts w:eastAsia="Calibri"/>
        </w:rPr>
        <w:t xml:space="preserve">There are numerous examples of documentary standards; they define how our phones connect to a wireless network, how email gets routed and delivered across the Internet and how a process can be synchronized across machines on a shop floor. Some common categories of standards include: </w:t>
      </w:r>
    </w:p>
    <w:p w14:paraId="56ACF0F3" w14:textId="50F3E8F4" w:rsidR="00D339C5" w:rsidRPr="00FA11C5" w:rsidRDefault="00300621" w:rsidP="00300621">
      <w:pPr>
        <w:pStyle w:val="enumlev1"/>
        <w:rPr>
          <w:rFonts w:eastAsia="Calibri"/>
        </w:rPr>
      </w:pPr>
      <w:r w:rsidRPr="00FA11C5">
        <w:rPr>
          <w:rFonts w:eastAsia="SimSun"/>
          <w:lang w:eastAsia="ko-KR"/>
        </w:rPr>
        <w:t>•</w:t>
      </w:r>
      <w:r w:rsidRPr="00FA11C5">
        <w:rPr>
          <w:rFonts w:eastAsia="SimSun"/>
          <w:lang w:eastAsia="ko-KR"/>
        </w:rPr>
        <w:tab/>
      </w:r>
      <w:r w:rsidR="006A778F" w:rsidRPr="00FA11C5">
        <w:rPr>
          <w:rFonts w:eastAsia="Calibri"/>
          <w:b/>
          <w:bCs/>
          <w:iCs/>
        </w:rPr>
        <w:t>Terminology or nomenclature standards</w:t>
      </w:r>
      <w:r w:rsidR="00176A25" w:rsidRPr="00FA11C5">
        <w:rPr>
          <w:rFonts w:eastAsia="Calibri"/>
          <w:b/>
          <w:bCs/>
        </w:rPr>
        <w:t>:</w:t>
      </w:r>
      <w:r w:rsidR="00176A25" w:rsidRPr="00FA11C5">
        <w:rPr>
          <w:rFonts w:eastAsia="Calibri"/>
        </w:rPr>
        <w:t xml:space="preserve"> </w:t>
      </w:r>
      <w:r w:rsidR="006A778F" w:rsidRPr="00FA11C5">
        <w:rPr>
          <w:rFonts w:eastAsia="Calibri"/>
        </w:rPr>
        <w:t>terms and definitions are often the first standards to be produced for emerging technologies.</w:t>
      </w:r>
    </w:p>
    <w:p w14:paraId="7611255A" w14:textId="383CC849" w:rsidR="00D339C5" w:rsidRPr="00FA11C5" w:rsidRDefault="00300621" w:rsidP="00300621">
      <w:pPr>
        <w:pStyle w:val="enumlev1"/>
        <w:rPr>
          <w:rFonts w:eastAsia="Calibri"/>
        </w:rPr>
      </w:pPr>
      <w:r w:rsidRPr="00FA11C5">
        <w:rPr>
          <w:rFonts w:eastAsia="SimSun"/>
          <w:lang w:eastAsia="ko-KR"/>
        </w:rPr>
        <w:t>•</w:t>
      </w:r>
      <w:r w:rsidRPr="00FA11C5">
        <w:rPr>
          <w:rFonts w:eastAsia="SimSun"/>
          <w:lang w:eastAsia="ko-KR"/>
        </w:rPr>
        <w:tab/>
      </w:r>
      <w:r w:rsidR="006A778F" w:rsidRPr="00FA11C5">
        <w:rPr>
          <w:rFonts w:eastAsia="Calibri"/>
          <w:b/>
          <w:bCs/>
          <w:iCs/>
        </w:rPr>
        <w:t>Characterization and performance standards</w:t>
      </w:r>
      <w:r w:rsidR="00176A25" w:rsidRPr="00FA11C5">
        <w:rPr>
          <w:rFonts w:eastAsia="Calibri"/>
          <w:b/>
          <w:bCs/>
          <w:iCs/>
        </w:rPr>
        <w:t>:</w:t>
      </w:r>
      <w:r w:rsidR="006A778F" w:rsidRPr="00FA11C5">
        <w:rPr>
          <w:rFonts w:eastAsia="Calibri"/>
        </w:rPr>
        <w:t xml:space="preserve"> a common way to characterize or describe a device and its performance. These standards can specify needed attributes to make a device fit-for-purpose and provide a means for customers to specify what they need when procuring a product. Research communities developing emerging technologies often characterize nascent systems using language and attributes that do</w:t>
      </w:r>
      <w:r w:rsidR="0041685E" w:rsidRPr="00FA11C5">
        <w:rPr>
          <w:rFonts w:eastAsia="Calibri"/>
        </w:rPr>
        <w:t xml:space="preserve"> </w:t>
      </w:r>
      <w:r w:rsidR="006A778F" w:rsidRPr="00FA11C5">
        <w:rPr>
          <w:rFonts w:eastAsia="Calibri"/>
        </w:rPr>
        <w:t>n</w:t>
      </w:r>
      <w:r w:rsidR="0041685E" w:rsidRPr="00FA11C5">
        <w:rPr>
          <w:rFonts w:eastAsia="Calibri"/>
        </w:rPr>
        <w:t>o</w:t>
      </w:r>
      <w:r w:rsidR="006A778F" w:rsidRPr="00FA11C5">
        <w:rPr>
          <w:rFonts w:eastAsia="Calibri"/>
        </w:rPr>
        <w:t>t match those that a company would want to include in a procurement spec</w:t>
      </w:r>
      <w:r w:rsidR="0041685E" w:rsidRPr="00FA11C5">
        <w:rPr>
          <w:rFonts w:eastAsia="Calibri"/>
        </w:rPr>
        <w:t>ification</w:t>
      </w:r>
      <w:r w:rsidR="006A778F" w:rsidRPr="00FA11C5">
        <w:rPr>
          <w:rFonts w:eastAsia="Calibri"/>
        </w:rPr>
        <w:t>. Standards can help bridge this gap.</w:t>
      </w:r>
    </w:p>
    <w:p w14:paraId="3E359C34" w14:textId="0EDC64BA" w:rsidR="00D339C5" w:rsidRPr="00FA11C5" w:rsidRDefault="00300621" w:rsidP="00300621">
      <w:pPr>
        <w:pStyle w:val="enumlev1"/>
        <w:rPr>
          <w:rFonts w:eastAsia="Calibri"/>
        </w:rPr>
      </w:pPr>
      <w:r w:rsidRPr="00FA11C5">
        <w:rPr>
          <w:rFonts w:eastAsia="SimSun"/>
          <w:lang w:eastAsia="ko-KR"/>
        </w:rPr>
        <w:t>•</w:t>
      </w:r>
      <w:r w:rsidRPr="00FA11C5">
        <w:rPr>
          <w:rFonts w:eastAsia="SimSun"/>
          <w:lang w:eastAsia="ko-KR"/>
        </w:rPr>
        <w:tab/>
      </w:r>
      <w:r w:rsidR="006A778F" w:rsidRPr="00FA11C5">
        <w:rPr>
          <w:rFonts w:eastAsia="Calibri"/>
          <w:b/>
          <w:bCs/>
          <w:iCs/>
        </w:rPr>
        <w:t>Interface and interoperability standards</w:t>
      </w:r>
      <w:r w:rsidR="00176A25" w:rsidRPr="00FA11C5">
        <w:rPr>
          <w:rFonts w:eastAsia="Calibri"/>
          <w:b/>
          <w:bCs/>
          <w:iCs/>
        </w:rPr>
        <w:t xml:space="preserve">: </w:t>
      </w:r>
      <w:r w:rsidR="006A778F" w:rsidRPr="00FA11C5">
        <w:rPr>
          <w:rFonts w:eastAsia="Calibri"/>
        </w:rPr>
        <w:t xml:space="preserve">requirements for compatibility of products or systems at their points of interconnection. Interface standards are critical for creating a plug-and-play market of interoperable </w:t>
      </w:r>
      <w:r w:rsidR="006B0ED5" w:rsidRPr="00FA11C5">
        <w:rPr>
          <w:rFonts w:eastAsia="Calibri"/>
        </w:rPr>
        <w:t>products and</w:t>
      </w:r>
      <w:r w:rsidR="006A778F" w:rsidRPr="00FA11C5">
        <w:rPr>
          <w:rFonts w:eastAsia="Calibri"/>
        </w:rPr>
        <w:t xml:space="preserve"> allow companies to focus on innovation and not on how their products will interconnect within their intended network. </w:t>
      </w:r>
    </w:p>
    <w:p w14:paraId="2B1DFF75" w14:textId="3810DCA2" w:rsidR="00D339C5" w:rsidRPr="00FA11C5" w:rsidRDefault="00300621" w:rsidP="00300621">
      <w:pPr>
        <w:pStyle w:val="enumlev1"/>
        <w:rPr>
          <w:rFonts w:eastAsia="Calibri"/>
        </w:rPr>
      </w:pPr>
      <w:r w:rsidRPr="00FA11C5">
        <w:rPr>
          <w:rFonts w:eastAsia="SimSun"/>
          <w:lang w:eastAsia="ko-KR"/>
        </w:rPr>
        <w:t>•</w:t>
      </w:r>
      <w:r w:rsidRPr="00FA11C5">
        <w:rPr>
          <w:rFonts w:eastAsia="SimSun"/>
          <w:lang w:eastAsia="ko-KR"/>
        </w:rPr>
        <w:tab/>
      </w:r>
      <w:r w:rsidR="006A778F" w:rsidRPr="00FA11C5">
        <w:rPr>
          <w:rFonts w:eastAsia="Calibri"/>
          <w:b/>
          <w:bCs/>
          <w:iCs/>
        </w:rPr>
        <w:t>Test and measurement standards</w:t>
      </w:r>
      <w:r w:rsidR="00176A25" w:rsidRPr="00FA11C5">
        <w:rPr>
          <w:rFonts w:eastAsia="Calibri"/>
          <w:b/>
          <w:bCs/>
          <w:iCs/>
        </w:rPr>
        <w:t>:</w:t>
      </w:r>
      <w:r w:rsidR="006A778F" w:rsidRPr="00FA11C5">
        <w:rPr>
          <w:rFonts w:eastAsia="Calibri"/>
        </w:rPr>
        <w:t xml:space="preserve"> the means to repeatably measure device characteristics or performance. These standards can be instructions for how to take a measurement, or physical systems used in the actual measurement process. </w:t>
      </w:r>
    </w:p>
    <w:p w14:paraId="26F10638" w14:textId="79ECFB01" w:rsidR="00D339C5" w:rsidRPr="00FA11C5" w:rsidRDefault="00300621" w:rsidP="00300621">
      <w:pPr>
        <w:pStyle w:val="enumlev1"/>
        <w:rPr>
          <w:rFonts w:eastAsia="Calibri"/>
        </w:rPr>
      </w:pPr>
      <w:r w:rsidRPr="00FA11C5">
        <w:rPr>
          <w:rFonts w:eastAsia="SimSun"/>
          <w:lang w:eastAsia="ko-KR"/>
        </w:rPr>
        <w:t>•</w:t>
      </w:r>
      <w:r w:rsidRPr="00FA11C5">
        <w:rPr>
          <w:rFonts w:eastAsia="SimSun"/>
          <w:lang w:eastAsia="ko-KR"/>
        </w:rPr>
        <w:tab/>
      </w:r>
      <w:r w:rsidR="006A778F" w:rsidRPr="00FA11C5">
        <w:rPr>
          <w:rFonts w:eastAsia="Calibri"/>
          <w:b/>
          <w:bCs/>
          <w:iCs/>
        </w:rPr>
        <w:t>Metrics and benchmarks</w:t>
      </w:r>
      <w:r w:rsidR="00176A25" w:rsidRPr="00FA11C5">
        <w:rPr>
          <w:rFonts w:eastAsia="Calibri"/>
          <w:b/>
          <w:bCs/>
          <w:iCs/>
        </w:rPr>
        <w:t xml:space="preserve">: </w:t>
      </w:r>
      <w:r w:rsidR="006A778F" w:rsidRPr="00FA11C5">
        <w:rPr>
          <w:rFonts w:eastAsia="Calibri"/>
        </w:rPr>
        <w:t>a reference for comparison. In quantum computing, where the diversity in hardware platforms and their varying levels of maturity make it hard to assess relative performance, benchmarks can provide a relatively neutral basis for comparison.</w:t>
      </w:r>
    </w:p>
    <w:p w14:paraId="0E582D83" w14:textId="1366527F" w:rsidR="00D339C5" w:rsidRPr="00FA11C5" w:rsidRDefault="00300621" w:rsidP="00300621">
      <w:pPr>
        <w:pStyle w:val="enumlev1"/>
        <w:rPr>
          <w:rFonts w:eastAsia="Calibri"/>
        </w:rPr>
      </w:pPr>
      <w:r w:rsidRPr="00FA11C5">
        <w:rPr>
          <w:rFonts w:eastAsia="SimSun"/>
          <w:lang w:eastAsia="ko-KR"/>
        </w:rPr>
        <w:t>•</w:t>
      </w:r>
      <w:r w:rsidRPr="00FA11C5">
        <w:rPr>
          <w:rFonts w:eastAsia="SimSun"/>
          <w:lang w:eastAsia="ko-KR"/>
        </w:rPr>
        <w:tab/>
      </w:r>
      <w:r w:rsidR="006A778F" w:rsidRPr="00FA11C5">
        <w:rPr>
          <w:rFonts w:eastAsia="Calibri"/>
          <w:b/>
          <w:bCs/>
          <w:iCs/>
          <w:szCs w:val="28"/>
        </w:rPr>
        <w:t>Software languages</w:t>
      </w:r>
      <w:r w:rsidR="00176A25" w:rsidRPr="00FA11C5">
        <w:rPr>
          <w:rFonts w:eastAsia="Calibri"/>
          <w:b/>
          <w:bCs/>
          <w:iCs/>
          <w:szCs w:val="28"/>
        </w:rPr>
        <w:t>:</w:t>
      </w:r>
      <w:r w:rsidR="006A778F" w:rsidRPr="00FA11C5">
        <w:rPr>
          <w:rFonts w:eastAsia="Calibri"/>
          <w:szCs w:val="28"/>
        </w:rPr>
        <w:t xml:space="preserve"> a means to send instructions and receive results from computing platforms.</w:t>
      </w:r>
    </w:p>
    <w:p w14:paraId="19A16E0B" w14:textId="577792CC" w:rsidR="00D339C5" w:rsidRPr="00FA11C5" w:rsidRDefault="00300621" w:rsidP="00300621">
      <w:pPr>
        <w:pStyle w:val="enumlev1"/>
        <w:rPr>
          <w:rFonts w:eastAsia="Calibri"/>
        </w:rPr>
      </w:pPr>
      <w:r w:rsidRPr="00FA11C5">
        <w:rPr>
          <w:rFonts w:eastAsia="SimSun"/>
          <w:lang w:eastAsia="ko-KR"/>
        </w:rPr>
        <w:t>•</w:t>
      </w:r>
      <w:r w:rsidRPr="00FA11C5">
        <w:rPr>
          <w:rFonts w:eastAsia="SimSun"/>
          <w:lang w:eastAsia="ko-KR"/>
        </w:rPr>
        <w:tab/>
      </w:r>
      <w:r w:rsidR="006A778F" w:rsidRPr="00FA11C5">
        <w:rPr>
          <w:rFonts w:eastAsia="Calibri"/>
          <w:b/>
          <w:bCs/>
          <w:iCs/>
          <w:szCs w:val="28"/>
        </w:rPr>
        <w:t>Certification standards</w:t>
      </w:r>
      <w:r w:rsidR="00176A25" w:rsidRPr="00FA11C5">
        <w:rPr>
          <w:rFonts w:eastAsia="Calibri"/>
          <w:b/>
          <w:bCs/>
          <w:iCs/>
          <w:szCs w:val="28"/>
        </w:rPr>
        <w:t xml:space="preserve">: </w:t>
      </w:r>
      <w:r w:rsidR="006A778F" w:rsidRPr="00FA11C5">
        <w:rPr>
          <w:rFonts w:eastAsia="Calibri"/>
          <w:szCs w:val="28"/>
        </w:rPr>
        <w:t xml:space="preserve">formal mechanisms for validating that products or processes perform as claimed, conform to standards, or comply with regulations. </w:t>
      </w:r>
    </w:p>
    <w:p w14:paraId="1E0C7009" w14:textId="214792F3" w:rsidR="006A778F" w:rsidRPr="00FA11C5" w:rsidRDefault="00300621" w:rsidP="00300621">
      <w:pPr>
        <w:pStyle w:val="enumlev1"/>
        <w:rPr>
          <w:rFonts w:eastAsia="Calibri"/>
        </w:rPr>
      </w:pPr>
      <w:r w:rsidRPr="00FA11C5">
        <w:rPr>
          <w:rFonts w:eastAsia="SimSun"/>
          <w:lang w:eastAsia="ko-KR"/>
        </w:rPr>
        <w:lastRenderedPageBreak/>
        <w:t>•</w:t>
      </w:r>
      <w:r w:rsidRPr="00FA11C5">
        <w:rPr>
          <w:rFonts w:eastAsia="SimSun"/>
          <w:lang w:eastAsia="ko-KR"/>
        </w:rPr>
        <w:tab/>
      </w:r>
      <w:r w:rsidR="006A778F" w:rsidRPr="00FA11C5">
        <w:rPr>
          <w:rFonts w:eastAsia="Calibri"/>
          <w:b/>
          <w:bCs/>
          <w:iCs/>
          <w:szCs w:val="28"/>
        </w:rPr>
        <w:t>Procurement standards</w:t>
      </w:r>
      <w:r w:rsidR="00176A25" w:rsidRPr="00FA11C5">
        <w:rPr>
          <w:rFonts w:eastAsia="Calibri"/>
          <w:b/>
          <w:bCs/>
          <w:iCs/>
          <w:szCs w:val="28"/>
        </w:rPr>
        <w:t xml:space="preserve">: </w:t>
      </w:r>
      <w:r w:rsidR="006A778F" w:rsidRPr="00FA11C5">
        <w:rPr>
          <w:rFonts w:eastAsia="Calibri"/>
          <w:szCs w:val="28"/>
        </w:rPr>
        <w:t xml:space="preserve">facilitate the purchase of technology that is well characterized and meets requirements. </w:t>
      </w:r>
    </w:p>
    <w:p w14:paraId="5E32C13D" w14:textId="343934F4" w:rsidR="006A778F" w:rsidRPr="00FA11C5" w:rsidRDefault="006A778F" w:rsidP="00300621">
      <w:pPr>
        <w:rPr>
          <w:rFonts w:eastAsia="Calibri"/>
        </w:rPr>
      </w:pPr>
      <w:r w:rsidRPr="00FA11C5">
        <w:rPr>
          <w:rFonts w:eastAsia="Calibri"/>
        </w:rPr>
        <w:t>Standards are the glue that holds a supply chain together. When they work well, they:</w:t>
      </w:r>
    </w:p>
    <w:p w14:paraId="2DC67A76" w14:textId="3C61A245" w:rsidR="00D339C5" w:rsidRPr="00FA11C5" w:rsidRDefault="00300621" w:rsidP="00300621">
      <w:pPr>
        <w:pStyle w:val="enumlev1"/>
        <w:rPr>
          <w:rFonts w:eastAsia="Calibri"/>
        </w:rPr>
      </w:pPr>
      <w:r w:rsidRPr="00FA11C5">
        <w:rPr>
          <w:rFonts w:eastAsia="SimSun"/>
          <w:lang w:eastAsia="ko-KR"/>
        </w:rPr>
        <w:t>•</w:t>
      </w:r>
      <w:r w:rsidRPr="00FA11C5">
        <w:rPr>
          <w:rFonts w:eastAsia="SimSun"/>
          <w:lang w:eastAsia="ko-KR"/>
        </w:rPr>
        <w:tab/>
      </w:r>
      <w:r w:rsidR="006A778F" w:rsidRPr="00FA11C5">
        <w:rPr>
          <w:rFonts w:eastAsia="Calibri"/>
          <w:i/>
        </w:rPr>
        <w:t xml:space="preserve">Are science-based and industry-driven. </w:t>
      </w:r>
      <w:r w:rsidR="006A778F" w:rsidRPr="00FA11C5">
        <w:rPr>
          <w:rFonts w:eastAsia="Calibri"/>
        </w:rPr>
        <w:t xml:space="preserve">They capture best practices and represent the </w:t>
      </w:r>
      <w:r w:rsidR="00875463" w:rsidRPr="00FA11C5">
        <w:rPr>
          <w:rFonts w:eastAsia="Calibri"/>
        </w:rPr>
        <w:t>"</w:t>
      </w:r>
      <w:r w:rsidR="006A778F" w:rsidRPr="00FA11C5">
        <w:rPr>
          <w:rFonts w:eastAsia="Calibri"/>
        </w:rPr>
        <w:t>distilled wisdom of people with expertise in their subject matter and who know the needs of the organizations they represent – people such as manufacturers, sellers, buyers, customers, trade associations, users or regulators</w:t>
      </w:r>
      <w:r w:rsidR="00875463" w:rsidRPr="00FA11C5">
        <w:rPr>
          <w:rFonts w:eastAsia="Calibri"/>
        </w:rPr>
        <w:t>"</w:t>
      </w:r>
      <w:r w:rsidR="0041685E" w:rsidRPr="00FA11C5">
        <w:t xml:space="preserve"> [b-</w:t>
      </w:r>
      <w:r w:rsidR="00A00FCA" w:rsidRPr="00FA11C5">
        <w:t>ISO</w:t>
      </w:r>
      <w:r w:rsidR="0041685E" w:rsidRPr="00FA11C5">
        <w:t>].</w:t>
      </w:r>
      <w:r w:rsidR="006A778F" w:rsidRPr="00FA11C5">
        <w:rPr>
          <w:rFonts w:eastAsia="Calibri"/>
        </w:rPr>
        <w:t xml:space="preserve"> </w:t>
      </w:r>
    </w:p>
    <w:p w14:paraId="5B9C35F4" w14:textId="2CC3A35B" w:rsidR="00D339C5" w:rsidRPr="00FA11C5" w:rsidRDefault="00300621" w:rsidP="00300621">
      <w:pPr>
        <w:pStyle w:val="enumlev1"/>
        <w:rPr>
          <w:rFonts w:eastAsia="Calibri"/>
        </w:rPr>
      </w:pPr>
      <w:r w:rsidRPr="00FA11C5">
        <w:rPr>
          <w:rFonts w:eastAsia="SimSun"/>
          <w:lang w:eastAsia="ko-KR"/>
        </w:rPr>
        <w:t>•</w:t>
      </w:r>
      <w:r w:rsidRPr="00FA11C5">
        <w:rPr>
          <w:rFonts w:eastAsia="SimSun"/>
          <w:lang w:eastAsia="ko-KR"/>
        </w:rPr>
        <w:tab/>
      </w:r>
      <w:r w:rsidR="006A778F" w:rsidRPr="00FA11C5">
        <w:rPr>
          <w:rFonts w:eastAsia="Calibri"/>
          <w:i/>
        </w:rPr>
        <w:t xml:space="preserve">Open markets and democratize innovation </w:t>
      </w:r>
      <w:r w:rsidR="006A778F" w:rsidRPr="00FA11C5">
        <w:rPr>
          <w:rFonts w:eastAsia="Calibri"/>
        </w:rPr>
        <w:t xml:space="preserve">by clearly defining device interfaces, leaving companies to focus on how their offerings add value rather than how they will interconnect in a multi-vendor environment. </w:t>
      </w:r>
    </w:p>
    <w:p w14:paraId="64C2C7F4" w14:textId="685E9FD1" w:rsidR="00D339C5" w:rsidRPr="00FA11C5" w:rsidRDefault="00300621" w:rsidP="00300621">
      <w:pPr>
        <w:pStyle w:val="enumlev1"/>
        <w:rPr>
          <w:rFonts w:eastAsia="Calibri"/>
        </w:rPr>
      </w:pPr>
      <w:r w:rsidRPr="00FA11C5">
        <w:rPr>
          <w:rFonts w:eastAsia="SimSun"/>
          <w:lang w:eastAsia="ko-KR"/>
        </w:rPr>
        <w:t>•</w:t>
      </w:r>
      <w:r w:rsidRPr="00FA11C5">
        <w:rPr>
          <w:rFonts w:eastAsia="SimSun"/>
          <w:lang w:eastAsia="ko-KR"/>
        </w:rPr>
        <w:tab/>
      </w:r>
      <w:r w:rsidR="006A778F" w:rsidRPr="00FA11C5">
        <w:rPr>
          <w:rFonts w:eastAsia="Calibri"/>
          <w:i/>
        </w:rPr>
        <w:t>Encourage market adoption of technology</w:t>
      </w:r>
      <w:r w:rsidR="006A778F" w:rsidRPr="00FA11C5">
        <w:rPr>
          <w:rFonts w:eastAsia="Calibri"/>
        </w:rPr>
        <w:t xml:space="preserve"> by providing consumer confidence in the health, safety and efficacy of compliant products. </w:t>
      </w:r>
    </w:p>
    <w:p w14:paraId="5EC3B9C5" w14:textId="1125F2E4" w:rsidR="006A778F" w:rsidRPr="00FA11C5" w:rsidRDefault="00300621" w:rsidP="00300621">
      <w:pPr>
        <w:pStyle w:val="enumlev1"/>
        <w:rPr>
          <w:rFonts w:eastAsia="Calibri"/>
        </w:rPr>
      </w:pPr>
      <w:r w:rsidRPr="00FA11C5">
        <w:rPr>
          <w:rFonts w:eastAsia="SimSun"/>
          <w:lang w:eastAsia="ko-KR"/>
        </w:rPr>
        <w:t>•</w:t>
      </w:r>
      <w:r w:rsidRPr="00FA11C5">
        <w:rPr>
          <w:rFonts w:eastAsia="SimSun"/>
          <w:lang w:eastAsia="ko-KR"/>
        </w:rPr>
        <w:tab/>
      </w:r>
      <w:r w:rsidR="006A778F" w:rsidRPr="00FA11C5">
        <w:rPr>
          <w:rFonts w:eastAsia="Calibri"/>
          <w:i/>
        </w:rPr>
        <w:t>Provide a fair basis for regulations</w:t>
      </w:r>
      <w:r w:rsidR="006A778F" w:rsidRPr="00FA11C5">
        <w:rPr>
          <w:rFonts w:eastAsia="Calibri"/>
        </w:rPr>
        <w:t xml:space="preserve"> since you can</w:t>
      </w:r>
      <w:r w:rsidR="00176A25" w:rsidRPr="00FA11C5">
        <w:rPr>
          <w:rFonts w:eastAsia="Calibri"/>
        </w:rPr>
        <w:t>no</w:t>
      </w:r>
      <w:r w:rsidR="006A778F" w:rsidRPr="00FA11C5">
        <w:rPr>
          <w:rFonts w:eastAsia="Calibri"/>
        </w:rPr>
        <w:t>t regulate what you can</w:t>
      </w:r>
      <w:r w:rsidR="00176A25" w:rsidRPr="00FA11C5">
        <w:rPr>
          <w:rFonts w:eastAsia="Calibri"/>
        </w:rPr>
        <w:t>no</w:t>
      </w:r>
      <w:r w:rsidR="006A778F" w:rsidRPr="00FA11C5">
        <w:rPr>
          <w:rFonts w:eastAsia="Calibri"/>
        </w:rPr>
        <w:t>t measure.</w:t>
      </w:r>
    </w:p>
    <w:p w14:paraId="15BAA438" w14:textId="2649997F" w:rsidR="006A778F" w:rsidRPr="00FA11C5" w:rsidRDefault="006A778F" w:rsidP="00300621">
      <w:pPr>
        <w:rPr>
          <w:rFonts w:eastAsia="Calibri"/>
        </w:rPr>
      </w:pPr>
      <w:r w:rsidRPr="00FA11C5">
        <w:rPr>
          <w:rFonts w:eastAsia="Calibri"/>
        </w:rPr>
        <w:t>When standards are premature or poorly defined, they:</w:t>
      </w:r>
    </w:p>
    <w:p w14:paraId="3950B1A7" w14:textId="77E3BFC2" w:rsidR="00BB2C22" w:rsidRPr="00FA11C5" w:rsidRDefault="00300621" w:rsidP="00300621">
      <w:pPr>
        <w:pStyle w:val="enumlev1"/>
        <w:rPr>
          <w:rFonts w:eastAsia="Calibri"/>
        </w:rPr>
      </w:pPr>
      <w:r w:rsidRPr="00FA11C5">
        <w:rPr>
          <w:rFonts w:eastAsia="SimSun"/>
          <w:lang w:eastAsia="ko-KR"/>
        </w:rPr>
        <w:t>•</w:t>
      </w:r>
      <w:r w:rsidRPr="00FA11C5">
        <w:rPr>
          <w:rFonts w:eastAsia="SimSun"/>
          <w:lang w:eastAsia="ko-KR"/>
        </w:rPr>
        <w:tab/>
      </w:r>
      <w:r w:rsidR="006A778F" w:rsidRPr="00FA11C5">
        <w:rPr>
          <w:rFonts w:eastAsia="Calibri"/>
          <w:i/>
        </w:rPr>
        <w:t>Close markets and stifle innovation</w:t>
      </w:r>
      <w:r w:rsidR="006A778F" w:rsidRPr="00FA11C5">
        <w:rPr>
          <w:rFonts w:eastAsia="Calibri"/>
        </w:rPr>
        <w:t xml:space="preserve"> by locking in inferior </w:t>
      </w:r>
      <w:r w:rsidR="00176A25" w:rsidRPr="00FA11C5">
        <w:rPr>
          <w:rFonts w:eastAsia="Calibri"/>
        </w:rPr>
        <w:t>technologies or</w:t>
      </w:r>
      <w:r w:rsidR="006A778F" w:rsidRPr="00FA11C5">
        <w:rPr>
          <w:rFonts w:eastAsia="Calibri"/>
        </w:rPr>
        <w:t xml:space="preserve"> standardizing the technology itself rather than just the interfaces. </w:t>
      </w:r>
    </w:p>
    <w:p w14:paraId="1AD52AB9" w14:textId="774078BF" w:rsidR="00BB2C22" w:rsidRPr="00FA11C5" w:rsidRDefault="00300621" w:rsidP="00300621">
      <w:pPr>
        <w:pStyle w:val="enumlev1"/>
        <w:rPr>
          <w:rFonts w:eastAsia="Calibri"/>
        </w:rPr>
      </w:pPr>
      <w:r w:rsidRPr="00FA11C5">
        <w:rPr>
          <w:rFonts w:eastAsia="SimSun"/>
          <w:lang w:eastAsia="ko-KR"/>
        </w:rPr>
        <w:t>•</w:t>
      </w:r>
      <w:r w:rsidRPr="00FA11C5">
        <w:rPr>
          <w:rFonts w:eastAsia="SimSun"/>
          <w:lang w:eastAsia="ko-KR"/>
        </w:rPr>
        <w:tab/>
      </w:r>
      <w:r w:rsidR="006A778F" w:rsidRPr="00FA11C5">
        <w:rPr>
          <w:rFonts w:eastAsia="Calibri"/>
          <w:i/>
        </w:rPr>
        <w:t>Give companies or countries an unfair</w:t>
      </w:r>
      <w:r w:rsidR="006A778F" w:rsidRPr="00FA11C5">
        <w:rPr>
          <w:rFonts w:eastAsia="Calibri"/>
        </w:rPr>
        <w:t xml:space="preserve"> advantage by </w:t>
      </w:r>
      <w:r w:rsidR="00176A25" w:rsidRPr="00FA11C5">
        <w:rPr>
          <w:rFonts w:eastAsia="Calibri"/>
        </w:rPr>
        <w:t>favouring</w:t>
      </w:r>
      <w:r w:rsidR="006A778F" w:rsidRPr="00FA11C5">
        <w:rPr>
          <w:rFonts w:eastAsia="Calibri"/>
        </w:rPr>
        <w:t xml:space="preserve"> proprietary technical approaches that may be costly for others to replicate. This unlevel playing field can lead to non-tariff trade barriers, as companies find themselves at a disadvantage in global markets that may use standards to regulate commerce.</w:t>
      </w:r>
    </w:p>
    <w:p w14:paraId="70617C6A" w14:textId="7F654094" w:rsidR="006A778F" w:rsidRPr="00FA11C5" w:rsidRDefault="00300621" w:rsidP="00300621">
      <w:pPr>
        <w:pStyle w:val="enumlev1"/>
        <w:rPr>
          <w:rFonts w:eastAsia="Calibri"/>
        </w:rPr>
      </w:pPr>
      <w:r w:rsidRPr="00FA11C5">
        <w:rPr>
          <w:rFonts w:eastAsia="SimSun"/>
          <w:lang w:eastAsia="ko-KR"/>
        </w:rPr>
        <w:t>•</w:t>
      </w:r>
      <w:r w:rsidRPr="00FA11C5">
        <w:rPr>
          <w:rFonts w:eastAsia="SimSun"/>
          <w:lang w:eastAsia="ko-KR"/>
        </w:rPr>
        <w:tab/>
      </w:r>
      <w:r w:rsidR="006A778F" w:rsidRPr="00FA11C5">
        <w:rPr>
          <w:rFonts w:eastAsia="Calibri"/>
          <w:i/>
        </w:rPr>
        <w:t>Fragment and confuse the market</w:t>
      </w:r>
      <w:r w:rsidR="006A778F" w:rsidRPr="00FA11C5">
        <w:rPr>
          <w:rFonts w:eastAsia="Calibri"/>
        </w:rPr>
        <w:t>, leaving it up to individual companies to decipher which standards are most advantageous to their interests and which to comply with.</w:t>
      </w:r>
    </w:p>
    <w:p w14:paraId="0CBBA960" w14:textId="34053042" w:rsidR="00176A25" w:rsidRPr="00FA11C5" w:rsidRDefault="00300621" w:rsidP="00BB2C22">
      <w:pPr>
        <w:pStyle w:val="Heading1"/>
        <w:rPr>
          <w:lang w:bidi="ar-DZ"/>
        </w:rPr>
      </w:pPr>
      <w:bookmarkStart w:id="28" w:name="_Toc89415319"/>
      <w:bookmarkStart w:id="29" w:name="_Toc93383468"/>
      <w:r w:rsidRPr="00FA11C5">
        <w:rPr>
          <w:lang w:bidi="ar-DZ"/>
        </w:rPr>
        <w:t>6</w:t>
      </w:r>
      <w:r w:rsidRPr="00FA11C5">
        <w:rPr>
          <w:lang w:bidi="ar-DZ"/>
        </w:rPr>
        <w:tab/>
      </w:r>
      <w:r w:rsidR="00176A25" w:rsidRPr="00FA11C5">
        <w:rPr>
          <w:lang w:bidi="ar-DZ"/>
        </w:rPr>
        <w:t>Standardization landscape and outlook</w:t>
      </w:r>
      <w:bookmarkEnd w:id="28"/>
      <w:bookmarkEnd w:id="29"/>
      <w:r w:rsidR="00176A25" w:rsidRPr="00FA11C5">
        <w:rPr>
          <w:lang w:bidi="ar-DZ"/>
        </w:rPr>
        <w:t xml:space="preserve"> </w:t>
      </w:r>
    </w:p>
    <w:p w14:paraId="6C621833" w14:textId="77777777" w:rsidR="00BB2C22" w:rsidRPr="00FA11C5" w:rsidRDefault="00176A25" w:rsidP="00611014">
      <w:pPr>
        <w:rPr>
          <w:lang w:eastAsia="ko-KR"/>
        </w:rPr>
      </w:pPr>
      <w:r w:rsidRPr="00FA11C5">
        <w:rPr>
          <w:lang w:eastAsia="ko-KR"/>
        </w:rPr>
        <w:t>While quantum technologies for networking are still early on the technology readiness scale, industry has begun to consider future standardization needs in the pursuit of a robust global marketplace. Several international standards development organizations (SDOs) are facilitating the development of standards and related documents, and have already released publications, many of which are directed towards the more mature sub-topic of quantum key distribution (QKD). There is also significant work progressing in terminology and the extension of current classical standards to accommodate quantum-based technologies, and some exploratory work is being done on architectures for future quantum networks.</w:t>
      </w:r>
      <w:r w:rsidR="00AB3760" w:rsidRPr="00FA11C5">
        <w:rPr>
          <w:lang w:eastAsia="ko-KR"/>
        </w:rPr>
        <w:t xml:space="preserve"> </w:t>
      </w:r>
    </w:p>
    <w:p w14:paraId="25C021EA" w14:textId="04CA9FD3" w:rsidR="00A92588" w:rsidRPr="00FA11C5" w:rsidRDefault="00EC2C0C" w:rsidP="00611014">
      <w:pPr>
        <w:rPr>
          <w:lang w:eastAsia="ko-KR"/>
        </w:rPr>
      </w:pPr>
      <w:r w:rsidRPr="00FA11C5">
        <w:rPr>
          <w:lang w:eastAsia="ko-KR"/>
        </w:rPr>
        <w:t>Table 1</w:t>
      </w:r>
      <w:r w:rsidR="00176A25" w:rsidRPr="00FA11C5">
        <w:rPr>
          <w:lang w:eastAsia="ko-KR"/>
        </w:rPr>
        <w:t xml:space="preserve"> provides a snapshot of some of the current directions in quantum standardization being pursued by some of the major </w:t>
      </w:r>
      <w:r w:rsidR="008703D5" w:rsidRPr="00FA11C5">
        <w:rPr>
          <w:lang w:eastAsia="ko-KR"/>
        </w:rPr>
        <w:t>SDOs</w:t>
      </w:r>
      <w:r w:rsidR="00176A25" w:rsidRPr="00FA11C5">
        <w:rPr>
          <w:lang w:eastAsia="ko-K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7"/>
        <w:gridCol w:w="2092"/>
        <w:gridCol w:w="2360"/>
      </w:tblGrid>
      <w:tr w:rsidR="00611014" w:rsidRPr="00FA11C5" w14:paraId="1068CE31" w14:textId="77777777" w:rsidTr="00611014">
        <w:trPr>
          <w:tblHeader/>
          <w:jc w:val="center"/>
        </w:trPr>
        <w:tc>
          <w:tcPr>
            <w:tcW w:w="5000" w:type="pct"/>
            <w:gridSpan w:val="3"/>
            <w:tcBorders>
              <w:top w:val="nil"/>
              <w:left w:val="nil"/>
              <w:right w:val="nil"/>
            </w:tcBorders>
            <w:shd w:val="clear" w:color="auto" w:fill="auto"/>
            <w:vAlign w:val="center"/>
          </w:tcPr>
          <w:p w14:paraId="502AAE2D" w14:textId="4B750E30" w:rsidR="00611014" w:rsidRPr="00FA11C5" w:rsidRDefault="00611014" w:rsidP="00611014">
            <w:pPr>
              <w:pStyle w:val="TableNoTitle0"/>
              <w:rPr>
                <w:sz w:val="20"/>
              </w:rPr>
            </w:pPr>
            <w:r w:rsidRPr="00FA11C5">
              <w:t xml:space="preserve">Table 1 – Snapshot of current quantum standardization efforts </w:t>
            </w:r>
            <w:r w:rsidRPr="00FA11C5">
              <w:br/>
              <w:t>[b-IEC White Paper], [b-Allocca]</w:t>
            </w:r>
          </w:p>
        </w:tc>
      </w:tr>
      <w:tr w:rsidR="00176A25" w:rsidRPr="00FA11C5" w14:paraId="061462D8" w14:textId="156A3B24" w:rsidTr="00611014">
        <w:trPr>
          <w:tblHeader/>
          <w:jc w:val="center"/>
        </w:trPr>
        <w:tc>
          <w:tcPr>
            <w:tcW w:w="2691" w:type="pct"/>
            <w:shd w:val="clear" w:color="auto" w:fill="auto"/>
            <w:vAlign w:val="center"/>
          </w:tcPr>
          <w:p w14:paraId="051D1B2F" w14:textId="4452EEE7" w:rsidR="00176A25" w:rsidRPr="00FA11C5" w:rsidRDefault="00176A25" w:rsidP="004963DB">
            <w:pPr>
              <w:pStyle w:val="Tablehead"/>
              <w:rPr>
                <w:sz w:val="20"/>
                <w:lang w:bidi="ar-DZ"/>
              </w:rPr>
            </w:pPr>
            <w:r w:rsidRPr="00FA11C5">
              <w:rPr>
                <w:sz w:val="20"/>
              </w:rPr>
              <w:t xml:space="preserve">Description of SDO </w:t>
            </w:r>
            <w:r w:rsidR="00EC2C0C" w:rsidRPr="00FA11C5">
              <w:rPr>
                <w:sz w:val="20"/>
              </w:rPr>
              <w:t>quantum-related activity</w:t>
            </w:r>
          </w:p>
        </w:tc>
        <w:tc>
          <w:tcPr>
            <w:tcW w:w="1085" w:type="pct"/>
            <w:shd w:val="clear" w:color="auto" w:fill="auto"/>
            <w:vAlign w:val="center"/>
          </w:tcPr>
          <w:p w14:paraId="48A892CB" w14:textId="4DA0E79F" w:rsidR="00176A25" w:rsidRPr="00FA11C5" w:rsidRDefault="00176A25" w:rsidP="004963DB">
            <w:pPr>
              <w:pStyle w:val="Tablehead"/>
              <w:rPr>
                <w:sz w:val="20"/>
                <w:lang w:bidi="ar-DZ"/>
              </w:rPr>
            </w:pPr>
            <w:r w:rsidRPr="00FA11C5">
              <w:rPr>
                <w:sz w:val="20"/>
              </w:rPr>
              <w:t xml:space="preserve">Selected </w:t>
            </w:r>
            <w:r w:rsidR="00EC2C0C" w:rsidRPr="00FA11C5">
              <w:rPr>
                <w:sz w:val="20"/>
              </w:rPr>
              <w:t>deliverable top</w:t>
            </w:r>
            <w:r w:rsidRPr="00FA11C5">
              <w:rPr>
                <w:sz w:val="20"/>
              </w:rPr>
              <w:t>ics</w:t>
            </w:r>
          </w:p>
        </w:tc>
        <w:tc>
          <w:tcPr>
            <w:tcW w:w="1224" w:type="pct"/>
            <w:vAlign w:val="center"/>
          </w:tcPr>
          <w:p w14:paraId="0C738C9F" w14:textId="30E2948E" w:rsidR="00EC2C0C" w:rsidRPr="00FA11C5" w:rsidRDefault="00176A25" w:rsidP="004963DB">
            <w:pPr>
              <w:pStyle w:val="Tablehead"/>
              <w:spacing w:after="0"/>
              <w:rPr>
                <w:sz w:val="20"/>
              </w:rPr>
            </w:pPr>
            <w:r w:rsidRPr="00FA11C5">
              <w:rPr>
                <w:sz w:val="20"/>
              </w:rPr>
              <w:t>Type of output</w:t>
            </w:r>
          </w:p>
          <w:p w14:paraId="276B89BB" w14:textId="6EBBBAD2" w:rsidR="00176A25" w:rsidRPr="00FA11C5" w:rsidRDefault="00176A25" w:rsidP="004963DB">
            <w:pPr>
              <w:pStyle w:val="Tablehead"/>
              <w:spacing w:before="0"/>
              <w:rPr>
                <w:sz w:val="20"/>
                <w:lang w:bidi="ar-DZ"/>
              </w:rPr>
            </w:pPr>
            <w:r w:rsidRPr="00FA11C5">
              <w:rPr>
                <w:sz w:val="20"/>
              </w:rPr>
              <w:t>(</w:t>
            </w:r>
            <w:r w:rsidR="00EC2C0C" w:rsidRPr="00FA11C5">
              <w:rPr>
                <w:sz w:val="20"/>
              </w:rPr>
              <w:t>e.g.,</w:t>
            </w:r>
            <w:r w:rsidRPr="00FA11C5">
              <w:rPr>
                <w:sz w:val="20"/>
              </w:rPr>
              <w:t xml:space="preserve"> report, interoperability standard, test protocol, procurement specification, etc.)</w:t>
            </w:r>
          </w:p>
        </w:tc>
      </w:tr>
      <w:tr w:rsidR="00EC2C0C" w:rsidRPr="00FA11C5" w14:paraId="42FE7DA4" w14:textId="638F8081" w:rsidTr="00611014">
        <w:trPr>
          <w:jc w:val="center"/>
        </w:trPr>
        <w:tc>
          <w:tcPr>
            <w:tcW w:w="2691" w:type="pct"/>
            <w:shd w:val="clear" w:color="auto" w:fill="auto"/>
          </w:tcPr>
          <w:p w14:paraId="5720BDED" w14:textId="761FC87A" w:rsidR="00EC2C0C" w:rsidRPr="00FA11C5" w:rsidRDefault="00EC2C0C" w:rsidP="00EC2C0C">
            <w:pPr>
              <w:pStyle w:val="Tabletext"/>
              <w:rPr>
                <w:sz w:val="20"/>
                <w:lang w:bidi="ar-DZ"/>
              </w:rPr>
            </w:pPr>
            <w:r w:rsidRPr="00FA11C5">
              <w:rPr>
                <w:sz w:val="20"/>
              </w:rPr>
              <w:t xml:space="preserve">The </w:t>
            </w:r>
            <w:r w:rsidRPr="00FA11C5">
              <w:rPr>
                <w:b/>
                <w:bCs/>
                <w:sz w:val="20"/>
              </w:rPr>
              <w:t>European Telecommunications Standards Institute (ETSI)</w:t>
            </w:r>
            <w:r w:rsidRPr="00FA11C5">
              <w:rPr>
                <w:sz w:val="20"/>
              </w:rPr>
              <w:t xml:space="preserve"> is the EU's recognized regional standards body for telecommunications, broadcasting and other electronic communications networks and services. Relevant work takes place in the Technical Committee on Cyber Security </w:t>
            </w:r>
            <w:r w:rsidRPr="00FA11C5">
              <w:rPr>
                <w:sz w:val="20"/>
              </w:rPr>
              <w:lastRenderedPageBreak/>
              <w:t>(CYBER) and the Industry Specification Group (ISG) on QKD.</w:t>
            </w:r>
          </w:p>
        </w:tc>
        <w:tc>
          <w:tcPr>
            <w:tcW w:w="1085" w:type="pct"/>
            <w:shd w:val="clear" w:color="auto" w:fill="auto"/>
          </w:tcPr>
          <w:p w14:paraId="1E23158D" w14:textId="16F3B481" w:rsidR="00EC2C0C" w:rsidRPr="00FA11C5" w:rsidRDefault="00EC2C0C" w:rsidP="00EC2C0C">
            <w:pPr>
              <w:pStyle w:val="Tabletext"/>
              <w:rPr>
                <w:sz w:val="20"/>
                <w:lang w:bidi="ar-DZ"/>
              </w:rPr>
            </w:pPr>
            <w:r w:rsidRPr="00FA11C5">
              <w:rPr>
                <w:sz w:val="20"/>
              </w:rPr>
              <w:lastRenderedPageBreak/>
              <w:t xml:space="preserve">QKD: Authentication, Components &amp; internal Interfaces, Architectures &amp; Frameworks, Vocabulary, Case </w:t>
            </w:r>
            <w:r w:rsidRPr="00FA11C5">
              <w:rPr>
                <w:sz w:val="20"/>
              </w:rPr>
              <w:lastRenderedPageBreak/>
              <w:t>Studies, Optical Characterization</w:t>
            </w:r>
            <w:r w:rsidRPr="00FA11C5">
              <w:rPr>
                <w:sz w:val="20"/>
              </w:rPr>
              <w:br/>
            </w:r>
            <w:r w:rsidRPr="00FA11C5">
              <w:rPr>
                <w:sz w:val="20"/>
              </w:rPr>
              <w:br/>
              <w:t>Quantum Computing Impact of ICT Systems</w:t>
            </w:r>
            <w:r w:rsidRPr="00FA11C5">
              <w:rPr>
                <w:sz w:val="20"/>
              </w:rPr>
              <w:br/>
            </w:r>
            <w:r w:rsidRPr="00FA11C5">
              <w:rPr>
                <w:sz w:val="20"/>
              </w:rPr>
              <w:br/>
              <w:t>Quantum-safe Cryptography: Security, Schema, Assurance</w:t>
            </w:r>
          </w:p>
        </w:tc>
        <w:tc>
          <w:tcPr>
            <w:tcW w:w="1224" w:type="pct"/>
          </w:tcPr>
          <w:p w14:paraId="1341D033" w14:textId="75B2E58F" w:rsidR="00EC2C0C" w:rsidRPr="00FA11C5" w:rsidRDefault="00EC2C0C" w:rsidP="00EC2C0C">
            <w:pPr>
              <w:pStyle w:val="Tabletext"/>
              <w:rPr>
                <w:sz w:val="20"/>
                <w:lang w:bidi="ar-DZ"/>
              </w:rPr>
            </w:pPr>
            <w:r w:rsidRPr="00FA11C5">
              <w:rPr>
                <w:sz w:val="20"/>
              </w:rPr>
              <w:lastRenderedPageBreak/>
              <w:t>Informative: Group Reports, Technical Reports, White Papers, ETSI Guides</w:t>
            </w:r>
            <w:r w:rsidRPr="00FA11C5">
              <w:rPr>
                <w:sz w:val="20"/>
              </w:rPr>
              <w:br/>
            </w:r>
            <w:r w:rsidRPr="00FA11C5">
              <w:rPr>
                <w:sz w:val="20"/>
              </w:rPr>
              <w:br/>
              <w:t xml:space="preserve">Normative: Technical </w:t>
            </w:r>
            <w:r w:rsidRPr="00FA11C5">
              <w:rPr>
                <w:sz w:val="20"/>
              </w:rPr>
              <w:lastRenderedPageBreak/>
              <w:t>Specifications, Group Specifications</w:t>
            </w:r>
          </w:p>
        </w:tc>
      </w:tr>
      <w:tr w:rsidR="00EC2C0C" w:rsidRPr="00FA11C5" w14:paraId="353B9597" w14:textId="5EDCE741" w:rsidTr="00611014">
        <w:trPr>
          <w:jc w:val="center"/>
        </w:trPr>
        <w:tc>
          <w:tcPr>
            <w:tcW w:w="2691" w:type="pct"/>
            <w:shd w:val="clear" w:color="auto" w:fill="auto"/>
          </w:tcPr>
          <w:p w14:paraId="3826D7FE" w14:textId="2683A030" w:rsidR="00EC2C0C" w:rsidRPr="00FA11C5" w:rsidRDefault="00EC2C0C" w:rsidP="00EC2C0C">
            <w:pPr>
              <w:pStyle w:val="Tabletext"/>
              <w:rPr>
                <w:sz w:val="20"/>
                <w:lang w:bidi="ar-DZ"/>
              </w:rPr>
            </w:pPr>
            <w:r w:rsidRPr="00FA11C5">
              <w:rPr>
                <w:sz w:val="20"/>
              </w:rPr>
              <w:lastRenderedPageBreak/>
              <w:t xml:space="preserve">The </w:t>
            </w:r>
            <w:r w:rsidRPr="00FA11C5">
              <w:rPr>
                <w:b/>
                <w:bCs/>
                <w:sz w:val="20"/>
              </w:rPr>
              <w:t>Institute of Electrical and Electronics Engineers (IEEE)</w:t>
            </w:r>
            <w:r w:rsidRPr="00FA11C5">
              <w:rPr>
                <w:sz w:val="20"/>
              </w:rPr>
              <w:t xml:space="preserve"> is a US-based professional association that has established thousands of standards for consumer electronics, computers, and telecommunications. IEEE Quantum is an IEEE Future Directions initiative launched in 2019 that serves as IEEE's leading community for all projects and activities on quantum technologies and has developed a project plan to address the current landscape of quantum technologies, identify challenges and opportunities, leverage and collaborate with existing initiatives, engage the quantum community at large, and sustain the Quantum Initiative in the long-term.</w:t>
            </w:r>
          </w:p>
        </w:tc>
        <w:tc>
          <w:tcPr>
            <w:tcW w:w="1085" w:type="pct"/>
            <w:shd w:val="clear" w:color="auto" w:fill="auto"/>
          </w:tcPr>
          <w:p w14:paraId="4538F5D4" w14:textId="196ABA6E" w:rsidR="00EC2C0C" w:rsidRPr="00FA11C5" w:rsidRDefault="00EC2C0C" w:rsidP="00EC2C0C">
            <w:pPr>
              <w:pStyle w:val="Tabletext"/>
              <w:rPr>
                <w:sz w:val="20"/>
                <w:lang w:bidi="ar-DZ"/>
              </w:rPr>
            </w:pPr>
            <w:r w:rsidRPr="00FA11C5">
              <w:rPr>
                <w:sz w:val="20"/>
              </w:rPr>
              <w:t>Software-Defined Quantum Communication</w:t>
            </w:r>
            <w:r w:rsidRPr="00FA11C5">
              <w:rPr>
                <w:sz w:val="20"/>
              </w:rPr>
              <w:br/>
            </w:r>
            <w:r w:rsidRPr="00FA11C5">
              <w:rPr>
                <w:sz w:val="20"/>
              </w:rPr>
              <w:br/>
              <w:t>Quantum Technologies Definitions</w:t>
            </w:r>
            <w:r w:rsidRPr="00FA11C5">
              <w:rPr>
                <w:sz w:val="20"/>
              </w:rPr>
              <w:br/>
            </w:r>
            <w:r w:rsidRPr="00FA11C5">
              <w:rPr>
                <w:sz w:val="20"/>
              </w:rPr>
              <w:br/>
              <w:t>Quantum Computing Performance Metrics &amp; Performance Benchmarking</w:t>
            </w:r>
          </w:p>
        </w:tc>
        <w:tc>
          <w:tcPr>
            <w:tcW w:w="1224" w:type="pct"/>
          </w:tcPr>
          <w:p w14:paraId="5BA08154" w14:textId="78987E5D" w:rsidR="00EC2C0C" w:rsidRPr="00FA11C5" w:rsidRDefault="00EC2C0C" w:rsidP="00EC2C0C">
            <w:pPr>
              <w:pStyle w:val="Tabletext"/>
              <w:rPr>
                <w:sz w:val="20"/>
                <w:lang w:bidi="ar-DZ"/>
              </w:rPr>
            </w:pPr>
            <w:r w:rsidRPr="00FA11C5">
              <w:rPr>
                <w:sz w:val="20"/>
              </w:rPr>
              <w:t>Normative: Standards</w:t>
            </w:r>
          </w:p>
        </w:tc>
      </w:tr>
      <w:tr w:rsidR="00EC2C0C" w:rsidRPr="00FA11C5" w14:paraId="36E48719" w14:textId="378E4FC1" w:rsidTr="00611014">
        <w:trPr>
          <w:jc w:val="center"/>
        </w:trPr>
        <w:tc>
          <w:tcPr>
            <w:tcW w:w="2691" w:type="pct"/>
            <w:shd w:val="clear" w:color="auto" w:fill="auto"/>
          </w:tcPr>
          <w:p w14:paraId="49E697F3" w14:textId="783851A3" w:rsidR="00EC2C0C" w:rsidRPr="00FA11C5" w:rsidRDefault="00EC2C0C" w:rsidP="00EC2C0C">
            <w:pPr>
              <w:pStyle w:val="Tabletext"/>
              <w:rPr>
                <w:sz w:val="20"/>
                <w:lang w:bidi="ar-DZ"/>
              </w:rPr>
            </w:pPr>
            <w:r w:rsidRPr="00FA11C5">
              <w:rPr>
                <w:sz w:val="20"/>
              </w:rPr>
              <w:t>The </w:t>
            </w:r>
            <w:r w:rsidRPr="00FA11C5">
              <w:rPr>
                <w:b/>
                <w:bCs/>
                <w:sz w:val="20"/>
              </w:rPr>
              <w:t xml:space="preserve">Internet Research Task Force (IRTF) </w:t>
            </w:r>
            <w:r w:rsidRPr="00FA11C5">
              <w:rPr>
                <w:sz w:val="20"/>
              </w:rPr>
              <w:t>focuses on longer term research issues related to the Internet while the parallel organization, the </w:t>
            </w:r>
            <w:r w:rsidRPr="00FA11C5">
              <w:rPr>
                <w:b/>
                <w:bCs/>
                <w:sz w:val="20"/>
              </w:rPr>
              <w:t>Internet Engineering Task Force (IETF)</w:t>
            </w:r>
            <w:r w:rsidRPr="00FA11C5">
              <w:rPr>
                <w:sz w:val="20"/>
              </w:rPr>
              <w:t>, focuses on the shorter-term issues of engineering and standards making. </w:t>
            </w:r>
            <w:r w:rsidRPr="00FA11C5">
              <w:rPr>
                <w:sz w:val="20"/>
              </w:rPr>
              <w:br/>
              <w:t xml:space="preserve">The Quantum Internet Research Group </w:t>
            </w:r>
            <w:r w:rsidR="004963DB" w:rsidRPr="00FA11C5">
              <w:rPr>
                <w:sz w:val="20"/>
              </w:rPr>
              <w:t xml:space="preserve">(QIRG) </w:t>
            </w:r>
            <w:r w:rsidRPr="00FA11C5">
              <w:rPr>
                <w:sz w:val="20"/>
              </w:rPr>
              <w:t>is addressing the design and build of quantum networks. Issues to be explored include routing, resource allocation, connection establishment, interoperability, and security. This group will also perform coordination with other SDOs.</w:t>
            </w:r>
          </w:p>
        </w:tc>
        <w:tc>
          <w:tcPr>
            <w:tcW w:w="1085" w:type="pct"/>
            <w:shd w:val="clear" w:color="auto" w:fill="auto"/>
          </w:tcPr>
          <w:p w14:paraId="2E6013CE" w14:textId="6A668970" w:rsidR="00EC2C0C" w:rsidRPr="00FA11C5" w:rsidRDefault="00EC2C0C" w:rsidP="00EC2C0C">
            <w:pPr>
              <w:pStyle w:val="Tabletext"/>
              <w:rPr>
                <w:sz w:val="20"/>
                <w:lang w:bidi="ar-DZ"/>
              </w:rPr>
            </w:pPr>
            <w:r w:rsidRPr="00FA11C5">
              <w:rPr>
                <w:color w:val="222222"/>
                <w:sz w:val="20"/>
              </w:rPr>
              <w:t>Applications, Use Cases &amp; Architectural Principles for Quantum Internet</w:t>
            </w:r>
            <w:r w:rsidRPr="00FA11C5">
              <w:rPr>
                <w:color w:val="222222"/>
                <w:sz w:val="20"/>
              </w:rPr>
              <w:br/>
              <w:t xml:space="preserve"> </w:t>
            </w:r>
            <w:r w:rsidRPr="00FA11C5">
              <w:rPr>
                <w:color w:val="222222"/>
                <w:sz w:val="20"/>
              </w:rPr>
              <w:br/>
              <w:t>Transition from Classical to Post-Quantum Cryptography</w:t>
            </w:r>
          </w:p>
        </w:tc>
        <w:tc>
          <w:tcPr>
            <w:tcW w:w="1224" w:type="pct"/>
          </w:tcPr>
          <w:p w14:paraId="69966997" w14:textId="380E957D" w:rsidR="00EC2C0C" w:rsidRPr="00FA11C5" w:rsidRDefault="00EC2C0C" w:rsidP="00EC2C0C">
            <w:pPr>
              <w:pStyle w:val="Tabletext"/>
              <w:rPr>
                <w:sz w:val="20"/>
                <w:lang w:bidi="ar-DZ"/>
              </w:rPr>
            </w:pPr>
            <w:r w:rsidRPr="00FA11C5">
              <w:rPr>
                <w:sz w:val="20"/>
              </w:rPr>
              <w:t>Informative: Informational Documents</w:t>
            </w:r>
            <w:r w:rsidRPr="00FA11C5">
              <w:rPr>
                <w:sz w:val="20"/>
              </w:rPr>
              <w:br/>
            </w:r>
            <w:r w:rsidRPr="00FA11C5">
              <w:rPr>
                <w:sz w:val="20"/>
              </w:rPr>
              <w:br/>
              <w:t>Proposed Standards</w:t>
            </w:r>
          </w:p>
        </w:tc>
      </w:tr>
      <w:tr w:rsidR="00EC2C0C" w:rsidRPr="00FA11C5" w14:paraId="0333BF8D" w14:textId="4A5DB4D3" w:rsidTr="00611014">
        <w:trPr>
          <w:jc w:val="center"/>
        </w:trPr>
        <w:tc>
          <w:tcPr>
            <w:tcW w:w="2691" w:type="pct"/>
            <w:shd w:val="clear" w:color="auto" w:fill="auto"/>
          </w:tcPr>
          <w:p w14:paraId="781FABEF" w14:textId="2289AE62" w:rsidR="00EC2C0C" w:rsidRPr="00FA11C5" w:rsidRDefault="00EC2C0C" w:rsidP="00EC2C0C">
            <w:pPr>
              <w:pStyle w:val="Tabletext"/>
              <w:rPr>
                <w:sz w:val="20"/>
                <w:lang w:bidi="ar-DZ"/>
              </w:rPr>
            </w:pPr>
            <w:r w:rsidRPr="00FA11C5">
              <w:rPr>
                <w:sz w:val="20"/>
              </w:rPr>
              <w:t xml:space="preserve">The </w:t>
            </w:r>
            <w:r w:rsidRPr="00FA11C5">
              <w:rPr>
                <w:b/>
                <w:bCs/>
                <w:sz w:val="20"/>
              </w:rPr>
              <w:t>International Organization for Standardization (ISO)</w:t>
            </w:r>
            <w:r w:rsidRPr="00FA11C5">
              <w:rPr>
                <w:sz w:val="20"/>
              </w:rPr>
              <w:t xml:space="preserve"> </w:t>
            </w:r>
            <w:r w:rsidRPr="00FA11C5">
              <w:rPr>
                <w:b/>
                <w:bCs/>
                <w:sz w:val="20"/>
              </w:rPr>
              <w:t>- International Electrotechnical Commission (IEC) / Joint Technical Committee (JTC)</w:t>
            </w:r>
            <w:r w:rsidR="008E2B92" w:rsidRPr="00FA11C5">
              <w:rPr>
                <w:b/>
                <w:bCs/>
                <w:sz w:val="20"/>
              </w:rPr>
              <w:t xml:space="preserve"> </w:t>
            </w:r>
            <w:r w:rsidRPr="00FA11C5">
              <w:rPr>
                <w:b/>
                <w:bCs/>
                <w:sz w:val="20"/>
              </w:rPr>
              <w:t xml:space="preserve">1 </w:t>
            </w:r>
            <w:r w:rsidRPr="00FA11C5">
              <w:rPr>
                <w:sz w:val="20"/>
              </w:rPr>
              <w:t xml:space="preserve">has 2 entities currently developing quantum technology standards: most efforts will be from Working Group (WG) 14 </w:t>
            </w:r>
            <w:r w:rsidRPr="00FA11C5">
              <w:rPr>
                <w:i/>
                <w:iCs/>
                <w:sz w:val="20"/>
              </w:rPr>
              <w:t xml:space="preserve">Quantum computing, </w:t>
            </w:r>
            <w:r w:rsidRPr="00FA11C5">
              <w:rPr>
                <w:sz w:val="20"/>
              </w:rPr>
              <w:t>while Sub-committee (SC) 27</w:t>
            </w:r>
            <w:r w:rsidRPr="00FA11C5">
              <w:rPr>
                <w:i/>
                <w:iCs/>
                <w:sz w:val="20"/>
              </w:rPr>
              <w:t xml:space="preserve"> Information security </w:t>
            </w:r>
            <w:r w:rsidRPr="00FA11C5">
              <w:rPr>
                <w:sz w:val="20"/>
              </w:rPr>
              <w:t>is specifically addressing QKD security.</w:t>
            </w:r>
          </w:p>
        </w:tc>
        <w:tc>
          <w:tcPr>
            <w:tcW w:w="1085" w:type="pct"/>
            <w:shd w:val="clear" w:color="auto" w:fill="auto"/>
          </w:tcPr>
          <w:p w14:paraId="7213F891" w14:textId="3C825533" w:rsidR="00EC2C0C" w:rsidRPr="00FA11C5" w:rsidRDefault="00EC2C0C" w:rsidP="00EC2C0C">
            <w:pPr>
              <w:pStyle w:val="Tabletext"/>
              <w:rPr>
                <w:sz w:val="20"/>
                <w:lang w:bidi="ar-DZ"/>
              </w:rPr>
            </w:pPr>
            <w:r w:rsidRPr="00FA11C5">
              <w:rPr>
                <w:sz w:val="20"/>
              </w:rPr>
              <w:t>Terminology</w:t>
            </w:r>
            <w:r w:rsidRPr="00FA11C5">
              <w:rPr>
                <w:sz w:val="20"/>
              </w:rPr>
              <w:br/>
            </w:r>
            <w:r w:rsidRPr="00FA11C5">
              <w:rPr>
                <w:sz w:val="20"/>
              </w:rPr>
              <w:br/>
              <w:t xml:space="preserve">Security requirements, test and evaluation methods for quantum key distribution </w:t>
            </w:r>
          </w:p>
        </w:tc>
        <w:tc>
          <w:tcPr>
            <w:tcW w:w="1224" w:type="pct"/>
          </w:tcPr>
          <w:p w14:paraId="07EEDCDF" w14:textId="0D34A79B" w:rsidR="00EC2C0C" w:rsidRPr="00FA11C5" w:rsidRDefault="00EC2C0C" w:rsidP="00EC2C0C">
            <w:pPr>
              <w:pStyle w:val="Tabletext"/>
              <w:rPr>
                <w:sz w:val="20"/>
                <w:lang w:bidi="ar-DZ"/>
              </w:rPr>
            </w:pPr>
            <w:r w:rsidRPr="00FA11C5">
              <w:rPr>
                <w:sz w:val="20"/>
              </w:rPr>
              <w:t xml:space="preserve">Normative: International Standards </w:t>
            </w:r>
          </w:p>
        </w:tc>
      </w:tr>
      <w:tr w:rsidR="00EC2C0C" w:rsidRPr="00FA11C5" w14:paraId="065C4363" w14:textId="77777777" w:rsidTr="00611014">
        <w:trPr>
          <w:jc w:val="center"/>
        </w:trPr>
        <w:tc>
          <w:tcPr>
            <w:tcW w:w="2691" w:type="pct"/>
            <w:shd w:val="clear" w:color="auto" w:fill="auto"/>
          </w:tcPr>
          <w:p w14:paraId="0CBC60EF" w14:textId="64AE1E6D" w:rsidR="00EC2C0C" w:rsidRPr="00FA11C5" w:rsidRDefault="00EC2C0C" w:rsidP="0057729F">
            <w:pPr>
              <w:pStyle w:val="Tabletext"/>
              <w:rPr>
                <w:sz w:val="20"/>
                <w:lang w:bidi="ar-DZ"/>
              </w:rPr>
            </w:pPr>
            <w:r w:rsidRPr="00FA11C5">
              <w:rPr>
                <w:sz w:val="20"/>
              </w:rPr>
              <w:t xml:space="preserve">The Study Groups (SG) of the </w:t>
            </w:r>
            <w:r w:rsidRPr="00FA11C5">
              <w:rPr>
                <w:b/>
                <w:bCs/>
                <w:sz w:val="20"/>
              </w:rPr>
              <w:t xml:space="preserve">International Telecommunications Union's Telecommunication Standardization Sector (ITU-T) </w:t>
            </w:r>
            <w:r w:rsidRPr="00FA11C5">
              <w:rPr>
                <w:sz w:val="20"/>
              </w:rPr>
              <w:t xml:space="preserve">assemble global experts to develop international standards known as ITU-T Recommendations. </w:t>
            </w:r>
            <w:r w:rsidR="0057729F" w:rsidRPr="00FA11C5">
              <w:rPr>
                <w:sz w:val="20"/>
              </w:rPr>
              <w:t xml:space="preserve">SG11 </w:t>
            </w:r>
            <w:r w:rsidR="0077032A" w:rsidRPr="00FA11C5">
              <w:rPr>
                <w:sz w:val="20"/>
              </w:rPr>
              <w:t>(</w:t>
            </w:r>
            <w:r w:rsidR="0057729F" w:rsidRPr="00FA11C5">
              <w:rPr>
                <w:sz w:val="20"/>
              </w:rPr>
              <w:t>Signalling Requirements</w:t>
            </w:r>
            <w:r w:rsidR="0077032A" w:rsidRPr="00FA11C5">
              <w:rPr>
                <w:sz w:val="20"/>
              </w:rPr>
              <w:t>)</w:t>
            </w:r>
            <w:r w:rsidR="0057729F" w:rsidRPr="00FA11C5">
              <w:rPr>
                <w:sz w:val="20"/>
              </w:rPr>
              <w:t xml:space="preserve">, </w:t>
            </w:r>
            <w:r w:rsidRPr="00FA11C5">
              <w:rPr>
                <w:sz w:val="20"/>
              </w:rPr>
              <w:t xml:space="preserve">SG13 </w:t>
            </w:r>
            <w:r w:rsidR="00D339C5" w:rsidRPr="00FA11C5">
              <w:rPr>
                <w:sz w:val="20"/>
              </w:rPr>
              <w:t>(</w:t>
            </w:r>
            <w:r w:rsidRPr="00FA11C5">
              <w:rPr>
                <w:sz w:val="20"/>
              </w:rPr>
              <w:t>Future Networks</w:t>
            </w:r>
            <w:r w:rsidR="00D339C5" w:rsidRPr="00FA11C5">
              <w:rPr>
                <w:sz w:val="20"/>
              </w:rPr>
              <w:t>)</w:t>
            </w:r>
            <w:r w:rsidRPr="00FA11C5">
              <w:rPr>
                <w:sz w:val="20"/>
              </w:rPr>
              <w:t xml:space="preserve">, SG15 </w:t>
            </w:r>
            <w:r w:rsidR="00D339C5" w:rsidRPr="00FA11C5">
              <w:rPr>
                <w:sz w:val="20"/>
              </w:rPr>
              <w:t>(</w:t>
            </w:r>
            <w:r w:rsidRPr="00FA11C5">
              <w:rPr>
                <w:sz w:val="20"/>
              </w:rPr>
              <w:t>Transport, Access and Home</w:t>
            </w:r>
            <w:r w:rsidR="00D339C5" w:rsidRPr="00FA11C5">
              <w:rPr>
                <w:sz w:val="20"/>
              </w:rPr>
              <w:t>)</w:t>
            </w:r>
            <w:r w:rsidRPr="00FA11C5">
              <w:rPr>
                <w:sz w:val="20"/>
              </w:rPr>
              <w:t xml:space="preserve"> and SG17 </w:t>
            </w:r>
            <w:r w:rsidR="00D339C5" w:rsidRPr="00FA11C5">
              <w:rPr>
                <w:sz w:val="20"/>
              </w:rPr>
              <w:t>(</w:t>
            </w:r>
            <w:r w:rsidRPr="00FA11C5">
              <w:rPr>
                <w:sz w:val="20"/>
              </w:rPr>
              <w:t>Security</w:t>
            </w:r>
            <w:r w:rsidR="00D339C5" w:rsidRPr="00FA11C5">
              <w:rPr>
                <w:sz w:val="20"/>
              </w:rPr>
              <w:t>)</w:t>
            </w:r>
            <w:r w:rsidRPr="00FA11C5">
              <w:rPr>
                <w:sz w:val="20"/>
              </w:rPr>
              <w:t xml:space="preserve"> are in the process of developing documents of interest to quantum technologies</w:t>
            </w:r>
            <w:r w:rsidR="0057729F" w:rsidRPr="00FA11C5">
              <w:rPr>
                <w:sz w:val="20"/>
              </w:rPr>
              <w:t>.</w:t>
            </w:r>
            <w:r w:rsidRPr="00FA11C5">
              <w:rPr>
                <w:sz w:val="20"/>
              </w:rPr>
              <w:t xml:space="preserve">  </w:t>
            </w:r>
          </w:p>
        </w:tc>
        <w:tc>
          <w:tcPr>
            <w:tcW w:w="1085" w:type="pct"/>
            <w:shd w:val="clear" w:color="auto" w:fill="auto"/>
          </w:tcPr>
          <w:p w14:paraId="31DF6FEA" w14:textId="00378A7C" w:rsidR="00EC2C0C" w:rsidRPr="00FA11C5" w:rsidRDefault="00EC2C0C" w:rsidP="00EC2C0C">
            <w:pPr>
              <w:pStyle w:val="Tabletext"/>
              <w:rPr>
                <w:sz w:val="20"/>
                <w:lang w:bidi="ar-DZ"/>
              </w:rPr>
            </w:pPr>
            <w:r w:rsidRPr="00FA11C5">
              <w:rPr>
                <w:sz w:val="20"/>
              </w:rPr>
              <w:t xml:space="preserve">QKD networks - Security, Management, Architecture </w:t>
            </w:r>
          </w:p>
        </w:tc>
        <w:tc>
          <w:tcPr>
            <w:tcW w:w="1224" w:type="pct"/>
          </w:tcPr>
          <w:p w14:paraId="0356A95A" w14:textId="77777777" w:rsidR="00EC2C0C" w:rsidRPr="00FA11C5" w:rsidRDefault="00EC2C0C" w:rsidP="00A00FCA">
            <w:pPr>
              <w:pStyle w:val="Tabletext"/>
              <w:rPr>
                <w:sz w:val="20"/>
              </w:rPr>
            </w:pPr>
            <w:r w:rsidRPr="00FA11C5">
              <w:rPr>
                <w:sz w:val="20"/>
              </w:rPr>
              <w:t>Recommendations</w:t>
            </w:r>
          </w:p>
          <w:p w14:paraId="63D53B99" w14:textId="22B3880B" w:rsidR="00EC2C0C" w:rsidRPr="00FA11C5" w:rsidRDefault="00EC2C0C" w:rsidP="00EC2C0C">
            <w:pPr>
              <w:pStyle w:val="Tabletext"/>
              <w:rPr>
                <w:sz w:val="20"/>
                <w:lang w:bidi="ar-DZ"/>
              </w:rPr>
            </w:pPr>
            <w:r w:rsidRPr="00FA11C5">
              <w:rPr>
                <w:sz w:val="20"/>
              </w:rPr>
              <w:t>Normative: International Standards</w:t>
            </w:r>
          </w:p>
        </w:tc>
      </w:tr>
    </w:tbl>
    <w:p w14:paraId="496725B7" w14:textId="7F4217A9" w:rsidR="00176A25" w:rsidRPr="00FA11C5" w:rsidRDefault="00C45A60" w:rsidP="00527463">
      <w:pPr>
        <w:pStyle w:val="Heading2"/>
      </w:pPr>
      <w:bookmarkStart w:id="30" w:name="_Toc89415320"/>
      <w:bookmarkStart w:id="31" w:name="_Toc93383469"/>
      <w:r w:rsidRPr="00FA11C5">
        <w:lastRenderedPageBreak/>
        <w:t>6.1</w:t>
      </w:r>
      <w:r w:rsidRPr="00FA11C5">
        <w:tab/>
      </w:r>
      <w:r w:rsidR="008E2B92" w:rsidRPr="00FA11C5">
        <w:t>Prospects for and barriers to the development and adoption of standards for QIT for networks</w:t>
      </w:r>
      <w:bookmarkEnd w:id="30"/>
      <w:bookmarkEnd w:id="31"/>
    </w:p>
    <w:p w14:paraId="0A02C407" w14:textId="061446C5" w:rsidR="008E2B92" w:rsidRPr="00FA11C5" w:rsidRDefault="008E2B92" w:rsidP="00C45A60">
      <w:r w:rsidRPr="00FA11C5">
        <w:t xml:space="preserve">Since quantum information technologies for networking, except QKD and </w:t>
      </w:r>
      <w:r w:rsidR="00BE631B" w:rsidRPr="00FA11C5">
        <w:t>quantum random generat</w:t>
      </w:r>
      <w:r w:rsidR="00E077AB" w:rsidRPr="00FA11C5">
        <w:t>ion</w:t>
      </w:r>
      <w:r w:rsidRPr="00FA11C5">
        <w:t>, are at a very formative stage, current standardization challenges relate more to the process of standards development rather than standards adoption. Challenges include:</w:t>
      </w:r>
    </w:p>
    <w:p w14:paraId="3AD6EE2C" w14:textId="54198F77" w:rsidR="008E2B92" w:rsidRPr="00FA11C5" w:rsidRDefault="008E2B92" w:rsidP="00C45A60">
      <w:pPr>
        <w:pStyle w:val="enumlev1"/>
      </w:pPr>
      <w:r w:rsidRPr="00FA11C5">
        <w:rPr>
          <w:rFonts w:asciiTheme="majorBidi" w:eastAsia="Calibri" w:hAnsiTheme="majorBidi" w:cstheme="majorBidi"/>
        </w:rPr>
        <w:t xml:space="preserve">– </w:t>
      </w:r>
      <w:r w:rsidRPr="00FA11C5">
        <w:rPr>
          <w:rFonts w:asciiTheme="majorBidi" w:eastAsia="Calibri" w:hAnsiTheme="majorBidi" w:cstheme="majorBidi"/>
        </w:rPr>
        <w:tab/>
      </w:r>
      <w:r w:rsidRPr="00FA11C5">
        <w:rPr>
          <w:b/>
          <w:bCs/>
        </w:rPr>
        <w:t xml:space="preserve">Ensuring adequate industry engagement: </w:t>
      </w:r>
      <w:r w:rsidRPr="00FA11C5">
        <w:t>Robust standards are science-based but industry-driven. Since industry engagement in the standards development process is not incentivized with government support in most countries, companies tend to wait until there is a clear market incentive to invest significant time and resources in standards activities. This tends to favour standardization of mature technologies and by engaging late, companies may miss the opportunity to influence standards which will influence the market. Not only does this disadvantage those companies but it can lead to standards that are too academic to address actual market needs.</w:t>
      </w:r>
    </w:p>
    <w:p w14:paraId="7C465D47" w14:textId="602013CA" w:rsidR="008E2B92" w:rsidRPr="00FA11C5" w:rsidRDefault="008E2B92" w:rsidP="00C45A60">
      <w:pPr>
        <w:pStyle w:val="enumlev1"/>
        <w:rPr>
          <w:szCs w:val="24"/>
        </w:rPr>
      </w:pPr>
      <w:r w:rsidRPr="00FA11C5">
        <w:rPr>
          <w:rFonts w:asciiTheme="majorBidi" w:eastAsia="Calibri" w:hAnsiTheme="majorBidi" w:cstheme="majorBidi"/>
          <w:szCs w:val="24"/>
        </w:rPr>
        <w:t xml:space="preserve">– </w:t>
      </w:r>
      <w:r w:rsidRPr="00FA11C5">
        <w:rPr>
          <w:rFonts w:asciiTheme="majorBidi" w:eastAsia="Calibri" w:hAnsiTheme="majorBidi" w:cstheme="majorBidi"/>
          <w:szCs w:val="24"/>
        </w:rPr>
        <w:tab/>
      </w:r>
      <w:r w:rsidRPr="00FA11C5">
        <w:rPr>
          <w:b/>
          <w:bCs/>
          <w:szCs w:val="24"/>
        </w:rPr>
        <w:t xml:space="preserve">Creating a multi-organizational cohesive suite of standards: </w:t>
      </w:r>
      <w:r w:rsidRPr="00FA11C5">
        <w:rPr>
          <w:szCs w:val="24"/>
        </w:rPr>
        <w:t xml:space="preserve">There is no sovereign organization that coordinates international standards development. Any SDO, consortia or company is free to create candidate standards specifications. These candidate standards may overlap and conflict, preventing any single standard from being broadly adopted and forcing companies to bear the financial burden of making their products compatible with multiple standards. There are already at least two efforts creating standards for quantum terminology (ISO/IEC </w:t>
      </w:r>
      <w:r w:rsidR="00BE631B" w:rsidRPr="00FA11C5">
        <w:rPr>
          <w:szCs w:val="24"/>
        </w:rPr>
        <w:t>JTC1/</w:t>
      </w:r>
      <w:r w:rsidRPr="00FA11C5">
        <w:rPr>
          <w:szCs w:val="24"/>
        </w:rPr>
        <w:t>WG14 and IEEE P7130), both of which compete for engagement and review from the same limited pool of experts.</w:t>
      </w:r>
    </w:p>
    <w:p w14:paraId="2682B6C8" w14:textId="1F73B6AD" w:rsidR="008E2B92" w:rsidRPr="00FA11C5" w:rsidRDefault="008E2B92" w:rsidP="00C45A60">
      <w:pPr>
        <w:pStyle w:val="enumlev1"/>
        <w:rPr>
          <w:szCs w:val="24"/>
        </w:rPr>
      </w:pPr>
      <w:r w:rsidRPr="00FA11C5">
        <w:rPr>
          <w:rFonts w:asciiTheme="majorBidi" w:eastAsia="Calibri" w:hAnsiTheme="majorBidi" w:cstheme="majorBidi"/>
          <w:szCs w:val="24"/>
        </w:rPr>
        <w:t xml:space="preserve">– </w:t>
      </w:r>
      <w:r w:rsidRPr="00FA11C5">
        <w:rPr>
          <w:rFonts w:asciiTheme="majorBidi" w:eastAsia="Calibri" w:hAnsiTheme="majorBidi" w:cstheme="majorBidi"/>
          <w:szCs w:val="24"/>
        </w:rPr>
        <w:tab/>
      </w:r>
      <w:r w:rsidRPr="00FA11C5">
        <w:rPr>
          <w:b/>
          <w:bCs/>
          <w:szCs w:val="24"/>
        </w:rPr>
        <w:t xml:space="preserve">Premature standards development: </w:t>
      </w:r>
      <w:r w:rsidRPr="00FA11C5">
        <w:rPr>
          <w:szCs w:val="24"/>
        </w:rPr>
        <w:t>Initiating and promoting standards activities before the science has matured can lead to standards which lock in inferior technologies or give unfair advantage to those quickest to take leadership. There is a temptation to equate starting or leading standards with market dominance, as if standards were the primary goal rather than a tool for achieving a fair and open international market. For standards to have their desired impact they must be broadly adopted and must draw expertise from a broad stakeholder community, and thus should be started and advanced with careful consideration.</w:t>
      </w:r>
    </w:p>
    <w:p w14:paraId="6894294A" w14:textId="3079297E" w:rsidR="004629B3" w:rsidRPr="00FA11C5" w:rsidRDefault="00C45A60" w:rsidP="00BB2C22">
      <w:pPr>
        <w:pStyle w:val="Heading1"/>
      </w:pPr>
      <w:bookmarkStart w:id="32" w:name="_Toc89415321"/>
      <w:bookmarkStart w:id="33" w:name="_Toc93383470"/>
      <w:r w:rsidRPr="00FA11C5">
        <w:t>7</w:t>
      </w:r>
      <w:r w:rsidRPr="00FA11C5">
        <w:tab/>
      </w:r>
      <w:r w:rsidR="004629B3" w:rsidRPr="00FA11C5">
        <w:t>Technology maturity and standardization readiness</w:t>
      </w:r>
      <w:bookmarkEnd w:id="32"/>
      <w:bookmarkEnd w:id="33"/>
      <w:r w:rsidR="004629B3" w:rsidRPr="00FA11C5">
        <w:t xml:space="preserve"> </w:t>
      </w:r>
    </w:p>
    <w:p w14:paraId="3F1454B7" w14:textId="0F754EBA" w:rsidR="008E2B92" w:rsidRPr="00FA11C5" w:rsidRDefault="00C45A60" w:rsidP="00527463">
      <w:pPr>
        <w:pStyle w:val="Heading2"/>
      </w:pPr>
      <w:bookmarkStart w:id="34" w:name="_Toc89415322"/>
      <w:bookmarkStart w:id="35" w:name="_Toc93383471"/>
      <w:r w:rsidRPr="00FA11C5">
        <w:t>7.1</w:t>
      </w:r>
      <w:r w:rsidRPr="00FA11C5">
        <w:tab/>
      </w:r>
      <w:r w:rsidR="004629B3" w:rsidRPr="00FA11C5">
        <w:t>Technology readiness levels</w:t>
      </w:r>
      <w:bookmarkEnd w:id="34"/>
      <w:bookmarkEnd w:id="35"/>
    </w:p>
    <w:p w14:paraId="4873E323" w14:textId="5F039DD1" w:rsidR="00527463" w:rsidRPr="00FA11C5" w:rsidRDefault="004629B3" w:rsidP="00C45A60">
      <w:r w:rsidRPr="00FA11C5">
        <w:t>Technology readiness levels (TRLs) are a method for assessing the maturity of a particular technology. First conceived by NASA in 1974, it has become broadly adopted by multiple U.S. government and other agencies. The scale is typically defined as having 9 levels, ranging from the beginnings of scientific research through successful implementation of a given technology in its intended environment. Figure 1 is a graphical representation of NASA</w:t>
      </w:r>
      <w:r w:rsidR="00875463" w:rsidRPr="00FA11C5">
        <w:t>'</w:t>
      </w:r>
      <w:r w:rsidRPr="00FA11C5">
        <w:t xml:space="preserve">s current TRL definitions. </w:t>
      </w:r>
    </w:p>
    <w:p w14:paraId="114E2E8A" w14:textId="5DC0CC8B" w:rsidR="004629B3" w:rsidRPr="00FA11C5" w:rsidRDefault="004629B3" w:rsidP="00C45A60">
      <w:r w:rsidRPr="00FA11C5">
        <w:t>Similar definitions are used by the European Union Horizon 2020 program</w:t>
      </w:r>
      <w:r w:rsidR="00F91456" w:rsidRPr="00FA11C5">
        <w:t xml:space="preserve"> [b-EU]</w:t>
      </w:r>
      <w:r w:rsidRPr="00FA11C5">
        <w:t xml:space="preserve">. </w:t>
      </w:r>
    </w:p>
    <w:p w14:paraId="0E7D2820" w14:textId="77777777" w:rsidR="00F91456" w:rsidRPr="00FA11C5" w:rsidRDefault="004629B3" w:rsidP="00C45A60">
      <w:pPr>
        <w:pStyle w:val="Figure"/>
      </w:pPr>
      <w:r w:rsidRPr="00FA11C5">
        <w:lastRenderedPageBreak/>
        <w:drawing>
          <wp:inline distT="0" distB="0" distL="0" distR="0" wp14:anchorId="398A204D" wp14:editId="030606AA">
            <wp:extent cx="2917036" cy="3219393"/>
            <wp:effectExtent l="0" t="0" r="0" b="63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9113" cy="3232721"/>
                    </a:xfrm>
                    <a:prstGeom prst="rect">
                      <a:avLst/>
                    </a:prstGeom>
                    <a:noFill/>
                    <a:ln>
                      <a:noFill/>
                    </a:ln>
                  </pic:spPr>
                </pic:pic>
              </a:graphicData>
            </a:graphic>
          </wp:inline>
        </w:drawing>
      </w:r>
    </w:p>
    <w:p w14:paraId="1BDAD0A9" w14:textId="558C6926" w:rsidR="004629B3" w:rsidRPr="00FA11C5" w:rsidRDefault="00F91456" w:rsidP="00C45A60">
      <w:pPr>
        <w:pStyle w:val="FigureNoTitle0"/>
      </w:pPr>
      <w:r w:rsidRPr="00FA11C5">
        <w:t xml:space="preserve">Figure </w:t>
      </w:r>
      <w:r w:rsidR="0010092D" w:rsidRPr="00FA11C5">
        <w:t>1</w:t>
      </w:r>
      <w:r w:rsidR="00C45A60" w:rsidRPr="00FA11C5">
        <w:t xml:space="preserve"> –</w:t>
      </w:r>
      <w:r w:rsidRPr="00FA11C5">
        <w:t xml:space="preserve"> </w:t>
      </w:r>
      <w:r w:rsidR="004629B3" w:rsidRPr="00FA11C5">
        <w:t>NASA Technology Readiness Level definitions</w:t>
      </w:r>
      <w:r w:rsidRPr="00FA11C5">
        <w:t xml:space="preserve"> [b-NASA]</w:t>
      </w:r>
    </w:p>
    <w:p w14:paraId="3483A628" w14:textId="6085EEDA" w:rsidR="004629B3" w:rsidRPr="00FA11C5" w:rsidRDefault="004629B3" w:rsidP="00C45A60">
      <w:pPr>
        <w:pStyle w:val="Normalaftertitle0"/>
      </w:pPr>
      <w:r w:rsidRPr="00FA11C5">
        <w:t xml:space="preserve">Note that the TRL scale describes technology </w:t>
      </w:r>
      <w:r w:rsidR="00F91456" w:rsidRPr="00FA11C5">
        <w:t>maturity and</w:t>
      </w:r>
      <w:r w:rsidRPr="00FA11C5">
        <w:t xml:space="preserve"> does not characterize the market for that technology. Products may begin to appear at TRL stages less than 9, as is arguably the case for QKD products, and their existence does not imply a robust market supported by a well-established supply chain.</w:t>
      </w:r>
    </w:p>
    <w:p w14:paraId="4EA1B14F" w14:textId="006FB406" w:rsidR="00F91456" w:rsidRPr="00FA11C5" w:rsidRDefault="00C45A60" w:rsidP="00527463">
      <w:pPr>
        <w:pStyle w:val="Heading2"/>
      </w:pPr>
      <w:bookmarkStart w:id="36" w:name="_Toc79159757"/>
      <w:bookmarkStart w:id="37" w:name="_Toc89415323"/>
      <w:bookmarkStart w:id="38" w:name="_Toc93383472"/>
      <w:r w:rsidRPr="00FA11C5">
        <w:t>7.2</w:t>
      </w:r>
      <w:r w:rsidRPr="00FA11C5">
        <w:tab/>
      </w:r>
      <w:r w:rsidR="00F91456" w:rsidRPr="00FA11C5">
        <w:t>Methodology for assessing standardization readiness of technologies</w:t>
      </w:r>
      <w:bookmarkEnd w:id="36"/>
      <w:bookmarkEnd w:id="37"/>
      <w:bookmarkEnd w:id="38"/>
    </w:p>
    <w:p w14:paraId="2C1C0B07" w14:textId="614A6C1A" w:rsidR="00F91456" w:rsidRPr="00FA11C5" w:rsidRDefault="00F91456" w:rsidP="00C45A60">
      <w:pPr>
        <w:rPr>
          <w:rFonts w:eastAsia="Calibri"/>
        </w:rPr>
      </w:pPr>
      <w:r w:rsidRPr="00FA11C5">
        <w:rPr>
          <w:rFonts w:eastAsia="Calibri"/>
        </w:rPr>
        <w:t>It is not easy to determine when a technology area is ready for standardization and more specifically which kind of standard would support and advance an emerging marketplace. Factors to be considered include:</w:t>
      </w:r>
    </w:p>
    <w:p w14:paraId="4ADFD187" w14:textId="11C64C4A" w:rsidR="00F91456" w:rsidRPr="00FA11C5" w:rsidRDefault="00C45A60" w:rsidP="00C45A60">
      <w:pPr>
        <w:pStyle w:val="enumlev1"/>
        <w:rPr>
          <w:rFonts w:eastAsia="Calibri"/>
        </w:rPr>
      </w:pPr>
      <w:r w:rsidRPr="00FA11C5">
        <w:rPr>
          <w:rFonts w:eastAsia="Calibri"/>
        </w:rPr>
        <w:t>•</w:t>
      </w:r>
      <w:r w:rsidRPr="00FA11C5">
        <w:rPr>
          <w:rFonts w:eastAsia="Calibri"/>
        </w:rPr>
        <w:tab/>
      </w:r>
      <w:r w:rsidR="00F91456" w:rsidRPr="00FA11C5">
        <w:rPr>
          <w:rFonts w:eastAsia="Calibri"/>
          <w:i/>
          <w:iCs/>
        </w:rPr>
        <w:t>Technological maturity.</w:t>
      </w:r>
      <w:r w:rsidR="00F91456" w:rsidRPr="00FA11C5">
        <w:rPr>
          <w:rFonts w:eastAsia="Calibri"/>
        </w:rPr>
        <w:t xml:space="preserve"> Has the underlying science been well-proven?</w:t>
      </w:r>
    </w:p>
    <w:p w14:paraId="0775F48C" w14:textId="2522A06E" w:rsidR="00F91456" w:rsidRPr="00FA11C5" w:rsidRDefault="00C45A60" w:rsidP="00C45A60">
      <w:pPr>
        <w:pStyle w:val="enumlev1"/>
        <w:rPr>
          <w:rFonts w:eastAsia="Calibri"/>
        </w:rPr>
      </w:pPr>
      <w:r w:rsidRPr="00FA11C5">
        <w:rPr>
          <w:rFonts w:eastAsia="Calibri"/>
        </w:rPr>
        <w:t>•</w:t>
      </w:r>
      <w:r w:rsidRPr="00FA11C5">
        <w:rPr>
          <w:rFonts w:eastAsia="Calibri"/>
        </w:rPr>
        <w:tab/>
      </w:r>
      <w:r w:rsidR="00F91456" w:rsidRPr="00FA11C5">
        <w:rPr>
          <w:rFonts w:eastAsia="Calibri"/>
          <w:i/>
          <w:iCs/>
        </w:rPr>
        <w:t>Market maturity.</w:t>
      </w:r>
      <w:r w:rsidR="00F91456" w:rsidRPr="00FA11C5">
        <w:rPr>
          <w:rFonts w:eastAsia="Calibri"/>
        </w:rPr>
        <w:t xml:space="preserve"> Are there commercial products available?</w:t>
      </w:r>
    </w:p>
    <w:p w14:paraId="533363CB" w14:textId="3C716099" w:rsidR="00F91456" w:rsidRPr="00FA11C5" w:rsidRDefault="00C45A60" w:rsidP="00C45A60">
      <w:pPr>
        <w:pStyle w:val="enumlev1"/>
        <w:rPr>
          <w:rFonts w:eastAsia="Calibri"/>
        </w:rPr>
      </w:pPr>
      <w:r w:rsidRPr="00FA11C5">
        <w:rPr>
          <w:rFonts w:eastAsia="Calibri"/>
        </w:rPr>
        <w:t>•</w:t>
      </w:r>
      <w:r w:rsidRPr="00FA11C5">
        <w:rPr>
          <w:rFonts w:eastAsia="Calibri"/>
        </w:rPr>
        <w:tab/>
      </w:r>
      <w:r w:rsidR="00F91456" w:rsidRPr="00FA11C5">
        <w:rPr>
          <w:rFonts w:eastAsia="Calibri"/>
          <w:i/>
          <w:iCs/>
        </w:rPr>
        <w:t>Level of risk the industry is willing to embrace.</w:t>
      </w:r>
      <w:r w:rsidR="00F91456" w:rsidRPr="00FA11C5">
        <w:rPr>
          <w:rFonts w:eastAsia="Calibri"/>
        </w:rPr>
        <w:t xml:space="preserve"> Will the technology and thus the standards evolve quickly, or is the industrial climate cautious and risk-averse?</w:t>
      </w:r>
    </w:p>
    <w:p w14:paraId="758840C7" w14:textId="64938FBE" w:rsidR="00F91456" w:rsidRPr="00FA11C5" w:rsidRDefault="00C45A60" w:rsidP="00C45A60">
      <w:pPr>
        <w:pStyle w:val="enumlev1"/>
        <w:rPr>
          <w:rFonts w:eastAsia="Calibri"/>
        </w:rPr>
      </w:pPr>
      <w:r w:rsidRPr="00FA11C5">
        <w:rPr>
          <w:rFonts w:eastAsia="Calibri"/>
        </w:rPr>
        <w:t>•</w:t>
      </w:r>
      <w:r w:rsidRPr="00FA11C5">
        <w:rPr>
          <w:rFonts w:eastAsia="Calibri"/>
        </w:rPr>
        <w:tab/>
      </w:r>
      <w:r w:rsidR="00F91456" w:rsidRPr="00FA11C5">
        <w:rPr>
          <w:rFonts w:eastAsia="Calibri"/>
          <w:i/>
          <w:iCs/>
        </w:rPr>
        <w:t>Need for formal standards vs. consortium-based standards.</w:t>
      </w:r>
      <w:r w:rsidR="00F91456" w:rsidRPr="00FA11C5">
        <w:rPr>
          <w:rFonts w:eastAsia="Calibri"/>
        </w:rPr>
        <w:t xml:space="preserve"> Will regulations be based on standards for the industry?</w:t>
      </w:r>
    </w:p>
    <w:p w14:paraId="072A10ED" w14:textId="0BFE54C7" w:rsidR="00F91456" w:rsidRPr="00FA11C5" w:rsidRDefault="00C45A60" w:rsidP="00C45A60">
      <w:pPr>
        <w:pStyle w:val="enumlev1"/>
        <w:rPr>
          <w:rFonts w:eastAsia="Calibri"/>
        </w:rPr>
      </w:pPr>
      <w:r w:rsidRPr="00FA11C5">
        <w:rPr>
          <w:rFonts w:eastAsia="Calibri"/>
        </w:rPr>
        <w:t>•</w:t>
      </w:r>
      <w:r w:rsidRPr="00FA11C5">
        <w:rPr>
          <w:rFonts w:eastAsia="Calibri"/>
        </w:rPr>
        <w:tab/>
      </w:r>
      <w:r w:rsidR="00F91456" w:rsidRPr="00FA11C5">
        <w:rPr>
          <w:rFonts w:eastAsia="Calibri"/>
        </w:rPr>
        <w:t xml:space="preserve">Are there consensus specifications being broadly adopted as </w:t>
      </w:r>
      <w:r w:rsidR="00F91456" w:rsidRPr="00FA11C5">
        <w:rPr>
          <w:rFonts w:eastAsia="Calibri"/>
          <w:i/>
        </w:rPr>
        <w:t>de facto</w:t>
      </w:r>
      <w:r w:rsidR="00F91456" w:rsidRPr="00FA11C5">
        <w:rPr>
          <w:rFonts w:eastAsia="Calibri"/>
        </w:rPr>
        <w:t xml:space="preserve"> standards?</w:t>
      </w:r>
    </w:p>
    <w:p w14:paraId="73D806AC" w14:textId="37070739" w:rsidR="00F91456" w:rsidRPr="00FA11C5" w:rsidRDefault="00C45A60" w:rsidP="00C45A60">
      <w:pPr>
        <w:pStyle w:val="enumlev1"/>
        <w:rPr>
          <w:rFonts w:eastAsia="Calibri"/>
        </w:rPr>
      </w:pPr>
      <w:r w:rsidRPr="00FA11C5">
        <w:rPr>
          <w:rFonts w:eastAsia="Calibri"/>
        </w:rPr>
        <w:t>•</w:t>
      </w:r>
      <w:r w:rsidRPr="00FA11C5">
        <w:rPr>
          <w:rFonts w:eastAsia="Calibri"/>
        </w:rPr>
        <w:tab/>
      </w:r>
      <w:r w:rsidR="00F91456" w:rsidRPr="00FA11C5">
        <w:rPr>
          <w:rFonts w:eastAsia="Calibri"/>
        </w:rPr>
        <w:t>Are there political pressures which may influence the timing or engagement in standardization activities?</w:t>
      </w:r>
    </w:p>
    <w:p w14:paraId="4184E5A0" w14:textId="77E4127A" w:rsidR="00F91456" w:rsidRPr="00FA11C5" w:rsidRDefault="00F91456" w:rsidP="00C45A60">
      <w:pPr>
        <w:rPr>
          <w:rFonts w:eastAsia="Calibri"/>
        </w:rPr>
      </w:pPr>
      <w:r w:rsidRPr="00FA11C5">
        <w:rPr>
          <w:rFonts w:eastAsia="Calibri"/>
        </w:rPr>
        <w:t xml:space="preserve">Not only are different kinds of standards appropriate at each level of technology maturity but standards themselves also evolve and mature. Just as technologies can be assigned a TRL depending on whether the basic ideas have been proven, whether there are working prototypes at the component or system level and if commercial products are available, they can also be assigned a </w:t>
      </w:r>
      <w:r w:rsidR="00875463" w:rsidRPr="00FA11C5">
        <w:rPr>
          <w:rFonts w:eastAsia="Calibri"/>
          <w:i/>
          <w:iCs/>
        </w:rPr>
        <w:t>"</w:t>
      </w:r>
      <w:r w:rsidRPr="00FA11C5">
        <w:rPr>
          <w:rFonts w:eastAsia="Calibri"/>
          <w:i/>
          <w:iCs/>
        </w:rPr>
        <w:t>standardization readiness level</w:t>
      </w:r>
      <w:r w:rsidR="002C73B6" w:rsidRPr="00FA11C5">
        <w:rPr>
          <w:rFonts w:eastAsia="Calibri"/>
          <w:i/>
          <w:iCs/>
        </w:rPr>
        <w:t xml:space="preserve"> (SRL)</w:t>
      </w:r>
      <w:r w:rsidR="00875463" w:rsidRPr="00FA11C5">
        <w:rPr>
          <w:rFonts w:eastAsia="Calibri"/>
          <w:i/>
          <w:iCs/>
        </w:rPr>
        <w:t>"</w:t>
      </w:r>
      <w:r w:rsidRPr="00FA11C5">
        <w:rPr>
          <w:rFonts w:eastAsia="Calibri"/>
        </w:rPr>
        <w:t xml:space="preserve"> to help determine which standards to consider developing at which stage of technology development. The following starting point for definitions of SRLs has been proposed</w:t>
      </w:r>
      <w:r w:rsidR="002A02DD" w:rsidRPr="00FA11C5">
        <w:rPr>
          <w:rFonts w:eastAsia="Calibri"/>
        </w:rPr>
        <w:t xml:space="preserve"> [b</w:t>
      </w:r>
      <w:r w:rsidR="00C45A60" w:rsidRPr="00FA11C5">
        <w:rPr>
          <w:rFonts w:eastAsia="Calibri"/>
        </w:rPr>
        <w:noBreakHyphen/>
      </w:r>
      <w:r w:rsidR="002A02DD" w:rsidRPr="00FA11C5">
        <w:rPr>
          <w:rFonts w:eastAsia="Calibri"/>
        </w:rPr>
        <w:t>Goldstein]</w:t>
      </w:r>
      <w:r w:rsidRPr="00FA11C5">
        <w:rPr>
          <w:rFonts w:eastAsia="Calibri"/>
        </w:rPr>
        <w:t>, indicating when one might consider initiating different standardization activities based on the stage of technology development and TRL.</w:t>
      </w:r>
    </w:p>
    <w:p w14:paraId="35364562" w14:textId="1366A973" w:rsidR="00A937A3" w:rsidRPr="00FA11C5" w:rsidRDefault="00A937A3" w:rsidP="005D7A09">
      <w:pPr>
        <w:pStyle w:val="TableNoTitle0"/>
      </w:pPr>
      <w:r w:rsidRPr="00FA11C5">
        <w:lastRenderedPageBreak/>
        <w:t xml:space="preserve">Table </w:t>
      </w:r>
      <w:r w:rsidR="0010092D" w:rsidRPr="00FA11C5">
        <w:t>2</w:t>
      </w:r>
      <w:r w:rsidR="005D7A09" w:rsidRPr="00FA11C5">
        <w:t xml:space="preserve"> –</w:t>
      </w:r>
      <w:r w:rsidRPr="00FA11C5">
        <w:t xml:space="preserve"> </w:t>
      </w:r>
      <w:r w:rsidRPr="00FA11C5">
        <w:rPr>
          <w:rFonts w:eastAsia="Calibri"/>
        </w:rPr>
        <w:t>Starting point for definitions of SRLs [b-Goldstein]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438"/>
        <w:gridCol w:w="3624"/>
        <w:gridCol w:w="2772"/>
      </w:tblGrid>
      <w:tr w:rsidR="002A02DD" w:rsidRPr="00FA11C5" w14:paraId="34EF51CF" w14:textId="167415E2" w:rsidTr="005D7A09">
        <w:trPr>
          <w:tblHeader/>
          <w:jc w:val="center"/>
        </w:trPr>
        <w:tc>
          <w:tcPr>
            <w:tcW w:w="795" w:type="dxa"/>
            <w:shd w:val="clear" w:color="auto" w:fill="auto"/>
          </w:tcPr>
          <w:p w14:paraId="5E5CEF95" w14:textId="6CAC7626" w:rsidR="002A02DD" w:rsidRPr="00FA11C5" w:rsidRDefault="002A02DD" w:rsidP="002A02DD">
            <w:pPr>
              <w:pStyle w:val="Tablehead"/>
              <w:rPr>
                <w:szCs w:val="22"/>
                <w:lang w:bidi="ar-DZ"/>
              </w:rPr>
            </w:pPr>
            <w:r w:rsidRPr="00FA11C5">
              <w:rPr>
                <w:rFonts w:eastAsia="Calibri"/>
                <w:szCs w:val="22"/>
              </w:rPr>
              <w:t>SRL</w:t>
            </w:r>
          </w:p>
        </w:tc>
        <w:tc>
          <w:tcPr>
            <w:tcW w:w="2438" w:type="dxa"/>
            <w:shd w:val="clear" w:color="auto" w:fill="auto"/>
          </w:tcPr>
          <w:p w14:paraId="2E6006BD" w14:textId="63993ADD" w:rsidR="002A02DD" w:rsidRPr="00FA11C5" w:rsidRDefault="002A02DD" w:rsidP="002A02DD">
            <w:pPr>
              <w:pStyle w:val="Tablehead"/>
              <w:rPr>
                <w:szCs w:val="22"/>
                <w:lang w:bidi="ar-DZ"/>
              </w:rPr>
            </w:pPr>
            <w:r w:rsidRPr="00FA11C5">
              <w:rPr>
                <w:rFonts w:eastAsia="Calibri"/>
                <w:szCs w:val="22"/>
              </w:rPr>
              <w:t xml:space="preserve">Stage of </w:t>
            </w:r>
            <w:r w:rsidR="00A937A3" w:rsidRPr="00FA11C5">
              <w:rPr>
                <w:rFonts w:eastAsia="Calibri"/>
                <w:szCs w:val="22"/>
              </w:rPr>
              <w:t>technology development</w:t>
            </w:r>
          </w:p>
        </w:tc>
        <w:tc>
          <w:tcPr>
            <w:tcW w:w="0" w:type="auto"/>
          </w:tcPr>
          <w:p w14:paraId="052ED08F" w14:textId="3BC1A0A0" w:rsidR="002A02DD" w:rsidRPr="00FA11C5" w:rsidRDefault="002A02DD" w:rsidP="002A02DD">
            <w:pPr>
              <w:pStyle w:val="Tablehead"/>
              <w:rPr>
                <w:szCs w:val="22"/>
                <w:lang w:bidi="ar-DZ"/>
              </w:rPr>
            </w:pPr>
            <w:r w:rsidRPr="00FA11C5">
              <w:rPr>
                <w:rFonts w:eastAsia="Calibri"/>
                <w:szCs w:val="22"/>
              </w:rPr>
              <w:t>TRL</w:t>
            </w:r>
          </w:p>
        </w:tc>
        <w:tc>
          <w:tcPr>
            <w:tcW w:w="0" w:type="auto"/>
          </w:tcPr>
          <w:p w14:paraId="7E7832CC" w14:textId="1DD5E506" w:rsidR="002A02DD" w:rsidRPr="00FA11C5" w:rsidRDefault="002A02DD" w:rsidP="002A02DD">
            <w:pPr>
              <w:pStyle w:val="Tablehead"/>
              <w:rPr>
                <w:szCs w:val="22"/>
                <w:lang w:bidi="ar-DZ"/>
              </w:rPr>
            </w:pPr>
            <w:r w:rsidRPr="00FA11C5">
              <w:rPr>
                <w:rFonts w:eastAsia="Calibri"/>
                <w:szCs w:val="22"/>
              </w:rPr>
              <w:t>Standardization activities to consider beginning</w:t>
            </w:r>
          </w:p>
        </w:tc>
      </w:tr>
      <w:tr w:rsidR="002A02DD" w:rsidRPr="00FA11C5" w14:paraId="7679A894" w14:textId="6441C90C" w:rsidTr="005D7A09">
        <w:trPr>
          <w:jc w:val="center"/>
        </w:trPr>
        <w:tc>
          <w:tcPr>
            <w:tcW w:w="795" w:type="dxa"/>
            <w:shd w:val="clear" w:color="auto" w:fill="auto"/>
          </w:tcPr>
          <w:p w14:paraId="5C22412C" w14:textId="7B116F5B" w:rsidR="002A02DD" w:rsidRPr="00FA11C5" w:rsidRDefault="002A02DD" w:rsidP="00A937A3">
            <w:pPr>
              <w:pStyle w:val="Tabletext"/>
              <w:spacing w:before="120"/>
              <w:rPr>
                <w:szCs w:val="22"/>
                <w:lang w:bidi="ar-DZ"/>
              </w:rPr>
            </w:pPr>
            <w:r w:rsidRPr="00FA11C5">
              <w:rPr>
                <w:rFonts w:eastAsia="Calibri"/>
                <w:szCs w:val="22"/>
              </w:rPr>
              <w:t>SRL 1</w:t>
            </w:r>
          </w:p>
        </w:tc>
        <w:tc>
          <w:tcPr>
            <w:tcW w:w="2438" w:type="dxa"/>
            <w:shd w:val="clear" w:color="auto" w:fill="auto"/>
          </w:tcPr>
          <w:p w14:paraId="292B200F" w14:textId="3565FF05" w:rsidR="002A02DD" w:rsidRPr="00FA11C5" w:rsidRDefault="002A02DD" w:rsidP="00A937A3">
            <w:pPr>
              <w:pStyle w:val="Tabletext"/>
              <w:spacing w:before="120"/>
              <w:rPr>
                <w:szCs w:val="22"/>
                <w:lang w:bidi="ar-DZ"/>
              </w:rPr>
            </w:pPr>
            <w:r w:rsidRPr="00FA11C5">
              <w:rPr>
                <w:rFonts w:eastAsia="Calibri"/>
                <w:szCs w:val="22"/>
              </w:rPr>
              <w:t>Basic research</w:t>
            </w:r>
          </w:p>
        </w:tc>
        <w:tc>
          <w:tcPr>
            <w:tcW w:w="0" w:type="auto"/>
          </w:tcPr>
          <w:p w14:paraId="24F53B62" w14:textId="77777777" w:rsidR="002A02DD" w:rsidRPr="00FA11C5" w:rsidRDefault="002A02DD" w:rsidP="002A02DD">
            <w:pPr>
              <w:rPr>
                <w:rFonts w:eastAsia="Calibri"/>
                <w:sz w:val="22"/>
                <w:szCs w:val="22"/>
              </w:rPr>
            </w:pPr>
            <w:r w:rsidRPr="00FA11C5">
              <w:rPr>
                <w:rFonts w:eastAsia="Calibri"/>
                <w:sz w:val="22"/>
                <w:szCs w:val="22"/>
              </w:rPr>
              <w:t>1: Basic principles observed</w:t>
            </w:r>
          </w:p>
          <w:p w14:paraId="5B4F9686" w14:textId="6EF3ECE6" w:rsidR="002A02DD" w:rsidRPr="00FA11C5" w:rsidRDefault="002A02DD" w:rsidP="002A02DD">
            <w:pPr>
              <w:pStyle w:val="Tabletext"/>
              <w:rPr>
                <w:szCs w:val="22"/>
                <w:lang w:bidi="ar-DZ"/>
              </w:rPr>
            </w:pPr>
            <w:r w:rsidRPr="00FA11C5">
              <w:rPr>
                <w:rFonts w:eastAsia="Calibri"/>
                <w:szCs w:val="22"/>
              </w:rPr>
              <w:t>2: Concept / application formulated</w:t>
            </w:r>
          </w:p>
        </w:tc>
        <w:tc>
          <w:tcPr>
            <w:tcW w:w="0" w:type="auto"/>
          </w:tcPr>
          <w:p w14:paraId="4ACAC4D3" w14:textId="1ED42CA4" w:rsidR="002A02DD" w:rsidRPr="00FA11C5" w:rsidRDefault="002A02DD" w:rsidP="00A937A3">
            <w:pPr>
              <w:pStyle w:val="Tabletext"/>
              <w:spacing w:before="120"/>
              <w:rPr>
                <w:szCs w:val="22"/>
                <w:lang w:bidi="ar-DZ"/>
              </w:rPr>
            </w:pPr>
            <w:r w:rsidRPr="00FA11C5">
              <w:rPr>
                <w:rFonts w:eastAsia="Calibri"/>
                <w:szCs w:val="22"/>
              </w:rPr>
              <w:t>Identify critical measurements needed</w:t>
            </w:r>
          </w:p>
        </w:tc>
      </w:tr>
      <w:tr w:rsidR="002A02DD" w:rsidRPr="00FA11C5" w14:paraId="0FD6ACB4" w14:textId="5FEDA8F8" w:rsidTr="005D7A09">
        <w:trPr>
          <w:jc w:val="center"/>
        </w:trPr>
        <w:tc>
          <w:tcPr>
            <w:tcW w:w="795" w:type="dxa"/>
            <w:shd w:val="clear" w:color="auto" w:fill="auto"/>
          </w:tcPr>
          <w:p w14:paraId="34451A65" w14:textId="30441E95" w:rsidR="002A02DD" w:rsidRPr="00FA11C5" w:rsidRDefault="002A02DD" w:rsidP="00A937A3">
            <w:pPr>
              <w:pStyle w:val="Tabletext"/>
              <w:spacing w:before="120"/>
              <w:rPr>
                <w:szCs w:val="22"/>
                <w:lang w:bidi="ar-DZ"/>
              </w:rPr>
            </w:pPr>
            <w:r w:rsidRPr="00FA11C5">
              <w:rPr>
                <w:rFonts w:eastAsia="Calibri"/>
                <w:szCs w:val="22"/>
              </w:rPr>
              <w:t>SRL 2</w:t>
            </w:r>
          </w:p>
        </w:tc>
        <w:tc>
          <w:tcPr>
            <w:tcW w:w="2438" w:type="dxa"/>
            <w:shd w:val="clear" w:color="auto" w:fill="auto"/>
          </w:tcPr>
          <w:p w14:paraId="3FF5B207" w14:textId="04C94652" w:rsidR="002A02DD" w:rsidRPr="00FA11C5" w:rsidRDefault="002A02DD" w:rsidP="00A937A3">
            <w:pPr>
              <w:rPr>
                <w:rFonts w:eastAsia="Calibri"/>
                <w:sz w:val="22"/>
                <w:szCs w:val="22"/>
              </w:rPr>
            </w:pPr>
            <w:r w:rsidRPr="00FA11C5">
              <w:rPr>
                <w:rFonts w:eastAsia="Calibri"/>
                <w:sz w:val="22"/>
                <w:szCs w:val="22"/>
              </w:rPr>
              <w:t xml:space="preserve">Feasibility </w:t>
            </w:r>
            <w:r w:rsidR="00A937A3" w:rsidRPr="00FA11C5">
              <w:rPr>
                <w:rFonts w:eastAsia="Calibri"/>
                <w:sz w:val="22"/>
                <w:szCs w:val="22"/>
              </w:rPr>
              <w:t>research</w:t>
            </w:r>
          </w:p>
          <w:p w14:paraId="5A126C6E" w14:textId="1014B558" w:rsidR="002A02DD" w:rsidRPr="00FA11C5" w:rsidRDefault="00A937A3" w:rsidP="000C5AFB">
            <w:pPr>
              <w:pStyle w:val="Tabletext"/>
              <w:numPr>
                <w:ilvl w:val="0"/>
                <w:numId w:val="7"/>
              </w:numPr>
              <w:spacing w:before="0"/>
              <w:ind w:left="144" w:hanging="144"/>
              <w:rPr>
                <w:szCs w:val="22"/>
                <w:lang w:bidi="ar-DZ"/>
              </w:rPr>
            </w:pPr>
            <w:r w:rsidRPr="00FA11C5">
              <w:rPr>
                <w:rFonts w:eastAsia="Calibri"/>
                <w:szCs w:val="22"/>
              </w:rPr>
              <w:t xml:space="preserve">Multiple independent </w:t>
            </w:r>
            <w:r w:rsidR="002A02DD" w:rsidRPr="00FA11C5">
              <w:rPr>
                <w:rFonts w:eastAsia="Calibri"/>
                <w:szCs w:val="22"/>
              </w:rPr>
              <w:t>research groups</w:t>
            </w:r>
          </w:p>
        </w:tc>
        <w:tc>
          <w:tcPr>
            <w:tcW w:w="0" w:type="auto"/>
          </w:tcPr>
          <w:p w14:paraId="3843E95E" w14:textId="67B06784" w:rsidR="002A02DD" w:rsidRPr="00FA11C5" w:rsidRDefault="002A02DD" w:rsidP="002C73B6">
            <w:pPr>
              <w:pStyle w:val="Tabletext"/>
              <w:spacing w:before="120"/>
              <w:rPr>
                <w:szCs w:val="22"/>
                <w:lang w:bidi="ar-DZ"/>
              </w:rPr>
            </w:pPr>
            <w:r w:rsidRPr="00FA11C5">
              <w:rPr>
                <w:rFonts w:eastAsia="Calibri"/>
                <w:szCs w:val="22"/>
              </w:rPr>
              <w:t>3: Proof of concept</w:t>
            </w:r>
          </w:p>
        </w:tc>
        <w:tc>
          <w:tcPr>
            <w:tcW w:w="0" w:type="auto"/>
          </w:tcPr>
          <w:p w14:paraId="75801E9F" w14:textId="77777777" w:rsidR="002A02DD" w:rsidRPr="00FA11C5" w:rsidRDefault="002A02DD" w:rsidP="002A02DD">
            <w:pPr>
              <w:rPr>
                <w:rFonts w:eastAsia="Calibri"/>
                <w:sz w:val="22"/>
                <w:szCs w:val="22"/>
              </w:rPr>
            </w:pPr>
            <w:r w:rsidRPr="00FA11C5">
              <w:rPr>
                <w:rFonts w:eastAsia="Calibri"/>
                <w:sz w:val="22"/>
                <w:szCs w:val="22"/>
              </w:rPr>
              <w:t>Terminology standards</w:t>
            </w:r>
          </w:p>
          <w:p w14:paraId="3B781586" w14:textId="4F23BAA3" w:rsidR="002A02DD" w:rsidRPr="00FA11C5" w:rsidRDefault="002A02DD" w:rsidP="002A02DD">
            <w:pPr>
              <w:pStyle w:val="Tabletext"/>
              <w:rPr>
                <w:szCs w:val="22"/>
                <w:lang w:bidi="ar-DZ"/>
              </w:rPr>
            </w:pPr>
            <w:r w:rsidRPr="00FA11C5">
              <w:rPr>
                <w:rFonts w:eastAsia="Calibri"/>
                <w:szCs w:val="22"/>
              </w:rPr>
              <w:t>Test and measurement standards</w:t>
            </w:r>
          </w:p>
        </w:tc>
      </w:tr>
      <w:tr w:rsidR="002A02DD" w:rsidRPr="00FA11C5" w14:paraId="2F41B566" w14:textId="08DE90F2" w:rsidTr="005D7A09">
        <w:trPr>
          <w:jc w:val="center"/>
        </w:trPr>
        <w:tc>
          <w:tcPr>
            <w:tcW w:w="795" w:type="dxa"/>
            <w:shd w:val="clear" w:color="auto" w:fill="auto"/>
          </w:tcPr>
          <w:p w14:paraId="39AC28B8" w14:textId="4BEFA3D3" w:rsidR="002A02DD" w:rsidRPr="00FA11C5" w:rsidRDefault="002A02DD" w:rsidP="00A937A3">
            <w:pPr>
              <w:pStyle w:val="Tabletext"/>
              <w:spacing w:before="120"/>
              <w:rPr>
                <w:szCs w:val="22"/>
                <w:lang w:bidi="ar-DZ"/>
              </w:rPr>
            </w:pPr>
            <w:r w:rsidRPr="00FA11C5">
              <w:rPr>
                <w:rFonts w:eastAsia="Calibri"/>
                <w:szCs w:val="22"/>
              </w:rPr>
              <w:t>SRL 3</w:t>
            </w:r>
          </w:p>
        </w:tc>
        <w:tc>
          <w:tcPr>
            <w:tcW w:w="2438" w:type="dxa"/>
            <w:shd w:val="clear" w:color="auto" w:fill="auto"/>
          </w:tcPr>
          <w:p w14:paraId="3A5914AC" w14:textId="4E092130" w:rsidR="002A02DD" w:rsidRPr="00FA11C5" w:rsidRDefault="002A02DD" w:rsidP="00A937A3">
            <w:pPr>
              <w:rPr>
                <w:rFonts w:eastAsia="Calibri"/>
                <w:sz w:val="22"/>
                <w:szCs w:val="22"/>
              </w:rPr>
            </w:pPr>
            <w:r w:rsidRPr="00FA11C5">
              <w:rPr>
                <w:rFonts w:eastAsia="Calibri"/>
                <w:sz w:val="22"/>
                <w:szCs w:val="22"/>
              </w:rPr>
              <w:t xml:space="preserve">Prototype </w:t>
            </w:r>
            <w:r w:rsidR="00A937A3" w:rsidRPr="00FA11C5">
              <w:rPr>
                <w:rFonts w:eastAsia="Calibri"/>
                <w:sz w:val="22"/>
                <w:szCs w:val="22"/>
              </w:rPr>
              <w:t>development</w:t>
            </w:r>
          </w:p>
          <w:p w14:paraId="1CA2DE95" w14:textId="2803BB19" w:rsidR="002A02DD" w:rsidRPr="00FA11C5" w:rsidRDefault="00A937A3" w:rsidP="000C5AFB">
            <w:pPr>
              <w:pStyle w:val="Tabletext"/>
              <w:numPr>
                <w:ilvl w:val="0"/>
                <w:numId w:val="7"/>
              </w:numPr>
              <w:spacing w:before="0"/>
              <w:ind w:left="144" w:hanging="144"/>
              <w:rPr>
                <w:szCs w:val="22"/>
                <w:lang w:bidi="ar-DZ"/>
              </w:rPr>
            </w:pPr>
            <w:r w:rsidRPr="00FA11C5">
              <w:rPr>
                <w:rFonts w:eastAsia="Calibri"/>
                <w:szCs w:val="22"/>
              </w:rPr>
              <w:t xml:space="preserve">Commercial </w:t>
            </w:r>
            <w:r w:rsidR="002A02DD" w:rsidRPr="00FA11C5">
              <w:rPr>
                <w:rFonts w:eastAsia="Calibri"/>
                <w:szCs w:val="22"/>
              </w:rPr>
              <w:t>R&amp;D being performed</w:t>
            </w:r>
          </w:p>
        </w:tc>
        <w:tc>
          <w:tcPr>
            <w:tcW w:w="0" w:type="auto"/>
          </w:tcPr>
          <w:p w14:paraId="3276A2C2" w14:textId="77777777" w:rsidR="002A02DD" w:rsidRPr="00FA11C5" w:rsidRDefault="002A02DD" w:rsidP="002A02DD">
            <w:pPr>
              <w:rPr>
                <w:rFonts w:eastAsia="Calibri"/>
                <w:sz w:val="22"/>
                <w:szCs w:val="22"/>
              </w:rPr>
            </w:pPr>
            <w:r w:rsidRPr="00FA11C5">
              <w:rPr>
                <w:rFonts w:eastAsia="Calibri"/>
                <w:sz w:val="22"/>
                <w:szCs w:val="22"/>
              </w:rPr>
              <w:t>4: Component / subsystem validation in lab setting</w:t>
            </w:r>
          </w:p>
          <w:p w14:paraId="18095F66" w14:textId="0C4EBBFB" w:rsidR="002A02DD" w:rsidRPr="00FA11C5" w:rsidRDefault="002A02DD" w:rsidP="002A02DD">
            <w:pPr>
              <w:pStyle w:val="Tabletext"/>
              <w:rPr>
                <w:szCs w:val="22"/>
                <w:lang w:bidi="ar-DZ"/>
              </w:rPr>
            </w:pPr>
            <w:r w:rsidRPr="00FA11C5">
              <w:rPr>
                <w:rFonts w:eastAsia="Calibri"/>
                <w:szCs w:val="22"/>
              </w:rPr>
              <w:t>5: Component / subsystem validation in relevant environment</w:t>
            </w:r>
          </w:p>
        </w:tc>
        <w:tc>
          <w:tcPr>
            <w:tcW w:w="0" w:type="auto"/>
          </w:tcPr>
          <w:p w14:paraId="438E34F2" w14:textId="77777777" w:rsidR="002A02DD" w:rsidRPr="00FA11C5" w:rsidRDefault="002A02DD" w:rsidP="005D7A09">
            <w:pPr>
              <w:jc w:val="left"/>
              <w:rPr>
                <w:rFonts w:eastAsia="Calibri"/>
                <w:sz w:val="22"/>
                <w:szCs w:val="22"/>
              </w:rPr>
            </w:pPr>
            <w:r w:rsidRPr="00FA11C5">
              <w:rPr>
                <w:rFonts w:eastAsia="Calibri"/>
                <w:sz w:val="22"/>
                <w:szCs w:val="22"/>
              </w:rPr>
              <w:t>Characterization and performance standards</w:t>
            </w:r>
          </w:p>
          <w:p w14:paraId="5D6B5088" w14:textId="0A5FFCF1" w:rsidR="002A02DD" w:rsidRPr="00FA11C5" w:rsidRDefault="002A02DD" w:rsidP="005D7A09">
            <w:pPr>
              <w:rPr>
                <w:rFonts w:eastAsia="Calibri"/>
                <w:sz w:val="22"/>
                <w:szCs w:val="22"/>
              </w:rPr>
            </w:pPr>
            <w:r w:rsidRPr="00FA11C5">
              <w:rPr>
                <w:rFonts w:eastAsia="Calibri"/>
                <w:sz w:val="22"/>
                <w:szCs w:val="22"/>
              </w:rPr>
              <w:t>Metrics and benchmarks</w:t>
            </w:r>
          </w:p>
        </w:tc>
      </w:tr>
      <w:tr w:rsidR="002A02DD" w:rsidRPr="00FA11C5" w14:paraId="43D84CB7" w14:textId="78FD4938" w:rsidTr="005D7A09">
        <w:trPr>
          <w:jc w:val="center"/>
        </w:trPr>
        <w:tc>
          <w:tcPr>
            <w:tcW w:w="795" w:type="dxa"/>
            <w:shd w:val="clear" w:color="auto" w:fill="auto"/>
          </w:tcPr>
          <w:p w14:paraId="06D8D789" w14:textId="70DAF8E7" w:rsidR="002A02DD" w:rsidRPr="00FA11C5" w:rsidRDefault="002A02DD" w:rsidP="00A937A3">
            <w:pPr>
              <w:pStyle w:val="Tabletext"/>
              <w:spacing w:before="120"/>
              <w:rPr>
                <w:szCs w:val="22"/>
                <w:lang w:bidi="ar-DZ"/>
              </w:rPr>
            </w:pPr>
            <w:r w:rsidRPr="00FA11C5">
              <w:rPr>
                <w:rFonts w:eastAsia="Calibri"/>
                <w:szCs w:val="22"/>
              </w:rPr>
              <w:t>SRL 4</w:t>
            </w:r>
          </w:p>
        </w:tc>
        <w:tc>
          <w:tcPr>
            <w:tcW w:w="2438" w:type="dxa"/>
            <w:shd w:val="clear" w:color="auto" w:fill="auto"/>
          </w:tcPr>
          <w:p w14:paraId="56A639BC" w14:textId="4CFE14C0" w:rsidR="002A02DD" w:rsidRPr="00FA11C5" w:rsidRDefault="002A02DD" w:rsidP="00A937A3">
            <w:pPr>
              <w:rPr>
                <w:rFonts w:eastAsia="Calibri"/>
                <w:sz w:val="22"/>
                <w:szCs w:val="22"/>
              </w:rPr>
            </w:pPr>
            <w:r w:rsidRPr="00FA11C5">
              <w:rPr>
                <w:rFonts w:eastAsia="Calibri"/>
                <w:sz w:val="22"/>
                <w:szCs w:val="22"/>
              </w:rPr>
              <w:t xml:space="preserve">Product </w:t>
            </w:r>
            <w:r w:rsidR="00A937A3" w:rsidRPr="00FA11C5">
              <w:rPr>
                <w:rFonts w:eastAsia="Calibri"/>
                <w:sz w:val="22"/>
                <w:szCs w:val="22"/>
              </w:rPr>
              <w:t>development</w:t>
            </w:r>
          </w:p>
          <w:p w14:paraId="47D14F34" w14:textId="1D628F68" w:rsidR="002A02DD" w:rsidRPr="00FA11C5" w:rsidRDefault="00A937A3" w:rsidP="000C5AFB">
            <w:pPr>
              <w:pStyle w:val="Tabletext"/>
              <w:numPr>
                <w:ilvl w:val="0"/>
                <w:numId w:val="7"/>
              </w:numPr>
              <w:spacing w:before="0"/>
              <w:ind w:left="144" w:hanging="144"/>
              <w:rPr>
                <w:szCs w:val="22"/>
                <w:lang w:bidi="ar-DZ"/>
              </w:rPr>
            </w:pPr>
            <w:r w:rsidRPr="00FA11C5">
              <w:rPr>
                <w:rFonts w:eastAsia="Calibri"/>
                <w:szCs w:val="22"/>
              </w:rPr>
              <w:t>multiple companies</w:t>
            </w:r>
          </w:p>
        </w:tc>
        <w:tc>
          <w:tcPr>
            <w:tcW w:w="0" w:type="auto"/>
          </w:tcPr>
          <w:p w14:paraId="5B5A7282" w14:textId="77777777" w:rsidR="002A02DD" w:rsidRPr="00FA11C5" w:rsidRDefault="002A02DD" w:rsidP="002A02DD">
            <w:pPr>
              <w:rPr>
                <w:rFonts w:eastAsia="Calibri"/>
                <w:sz w:val="22"/>
                <w:szCs w:val="22"/>
              </w:rPr>
            </w:pPr>
            <w:r w:rsidRPr="00FA11C5">
              <w:rPr>
                <w:rFonts w:eastAsia="Calibri"/>
                <w:sz w:val="22"/>
                <w:szCs w:val="22"/>
              </w:rPr>
              <w:t>6: System/sub-system prototype demonstration in a relevant environment</w:t>
            </w:r>
          </w:p>
          <w:p w14:paraId="4993BAA9" w14:textId="37E7DA6A" w:rsidR="002A02DD" w:rsidRPr="00FA11C5" w:rsidRDefault="002A02DD" w:rsidP="002A02DD">
            <w:pPr>
              <w:pStyle w:val="Tabletext"/>
              <w:rPr>
                <w:szCs w:val="22"/>
                <w:lang w:bidi="ar-DZ"/>
              </w:rPr>
            </w:pPr>
            <w:r w:rsidRPr="00FA11C5">
              <w:rPr>
                <w:rFonts w:eastAsia="Calibri"/>
                <w:szCs w:val="22"/>
              </w:rPr>
              <w:t>7: System demonstration in relevant environment</w:t>
            </w:r>
          </w:p>
        </w:tc>
        <w:tc>
          <w:tcPr>
            <w:tcW w:w="0" w:type="auto"/>
          </w:tcPr>
          <w:p w14:paraId="54B2F1A5" w14:textId="77777777" w:rsidR="002A02DD" w:rsidRPr="00FA11C5" w:rsidRDefault="002A02DD" w:rsidP="002A02DD">
            <w:pPr>
              <w:rPr>
                <w:rFonts w:eastAsia="Calibri"/>
                <w:sz w:val="22"/>
                <w:szCs w:val="22"/>
              </w:rPr>
            </w:pPr>
            <w:r w:rsidRPr="00FA11C5">
              <w:rPr>
                <w:rFonts w:eastAsia="Calibri"/>
                <w:sz w:val="22"/>
                <w:szCs w:val="22"/>
              </w:rPr>
              <w:t>Interface standards</w:t>
            </w:r>
          </w:p>
          <w:p w14:paraId="27EEE50D" w14:textId="6FED1850" w:rsidR="002A02DD" w:rsidRPr="00FA11C5" w:rsidRDefault="002A02DD" w:rsidP="002A02DD">
            <w:pPr>
              <w:pStyle w:val="Tabletext"/>
              <w:rPr>
                <w:szCs w:val="22"/>
                <w:lang w:bidi="ar-DZ"/>
              </w:rPr>
            </w:pPr>
            <w:r w:rsidRPr="00FA11C5">
              <w:rPr>
                <w:rFonts w:eastAsia="Calibri"/>
                <w:szCs w:val="22"/>
              </w:rPr>
              <w:t xml:space="preserve"> </w:t>
            </w:r>
          </w:p>
        </w:tc>
      </w:tr>
      <w:tr w:rsidR="002A02DD" w:rsidRPr="00FA11C5" w14:paraId="2D31E805" w14:textId="77777777" w:rsidTr="005D7A09">
        <w:trPr>
          <w:jc w:val="center"/>
        </w:trPr>
        <w:tc>
          <w:tcPr>
            <w:tcW w:w="795" w:type="dxa"/>
            <w:shd w:val="clear" w:color="auto" w:fill="auto"/>
          </w:tcPr>
          <w:p w14:paraId="37D92986" w14:textId="454F141A" w:rsidR="002A02DD" w:rsidRPr="00FA11C5" w:rsidRDefault="002A02DD" w:rsidP="00A937A3">
            <w:pPr>
              <w:pStyle w:val="Tabletext"/>
              <w:spacing w:before="120"/>
              <w:rPr>
                <w:rFonts w:eastAsia="Calibri"/>
                <w:szCs w:val="22"/>
              </w:rPr>
            </w:pPr>
            <w:r w:rsidRPr="00FA11C5">
              <w:rPr>
                <w:rFonts w:eastAsia="Calibri"/>
                <w:szCs w:val="22"/>
              </w:rPr>
              <w:t>SRL 5</w:t>
            </w:r>
          </w:p>
        </w:tc>
        <w:tc>
          <w:tcPr>
            <w:tcW w:w="2438" w:type="dxa"/>
            <w:shd w:val="clear" w:color="auto" w:fill="auto"/>
          </w:tcPr>
          <w:p w14:paraId="211ACEA7" w14:textId="05C2F9EC" w:rsidR="002A02DD" w:rsidRPr="00FA11C5" w:rsidRDefault="002A02DD" w:rsidP="00A937A3">
            <w:pPr>
              <w:rPr>
                <w:rFonts w:eastAsia="Calibri"/>
                <w:sz w:val="22"/>
                <w:szCs w:val="22"/>
              </w:rPr>
            </w:pPr>
            <w:r w:rsidRPr="00FA11C5">
              <w:rPr>
                <w:rFonts w:eastAsia="Calibri"/>
                <w:sz w:val="22"/>
                <w:szCs w:val="22"/>
              </w:rPr>
              <w:t>Commercial products offered by multiple companies</w:t>
            </w:r>
          </w:p>
        </w:tc>
        <w:tc>
          <w:tcPr>
            <w:tcW w:w="0" w:type="auto"/>
          </w:tcPr>
          <w:p w14:paraId="23FA895C" w14:textId="77777777" w:rsidR="002A02DD" w:rsidRPr="00FA11C5" w:rsidRDefault="002A02DD" w:rsidP="002A02DD">
            <w:pPr>
              <w:rPr>
                <w:rFonts w:eastAsia="Calibri"/>
                <w:sz w:val="22"/>
                <w:szCs w:val="22"/>
              </w:rPr>
            </w:pPr>
            <w:r w:rsidRPr="00FA11C5">
              <w:rPr>
                <w:rFonts w:eastAsia="Calibri"/>
                <w:sz w:val="22"/>
                <w:szCs w:val="22"/>
              </w:rPr>
              <w:t>8: System completed and qualified through test and demonstration</w:t>
            </w:r>
          </w:p>
          <w:p w14:paraId="1C768F66" w14:textId="5D7451DB" w:rsidR="002A02DD" w:rsidRPr="00FA11C5" w:rsidRDefault="002A02DD" w:rsidP="002A02DD">
            <w:pPr>
              <w:rPr>
                <w:rFonts w:eastAsia="Calibri"/>
                <w:sz w:val="22"/>
                <w:szCs w:val="22"/>
              </w:rPr>
            </w:pPr>
            <w:r w:rsidRPr="00FA11C5">
              <w:rPr>
                <w:rFonts w:eastAsia="Calibri"/>
                <w:sz w:val="22"/>
                <w:szCs w:val="22"/>
              </w:rPr>
              <w:t>9: System proven through successful operation under expected operating conditions</w:t>
            </w:r>
          </w:p>
        </w:tc>
        <w:tc>
          <w:tcPr>
            <w:tcW w:w="0" w:type="auto"/>
          </w:tcPr>
          <w:p w14:paraId="52752AAE" w14:textId="77777777" w:rsidR="002A02DD" w:rsidRPr="00FA11C5" w:rsidRDefault="002A02DD" w:rsidP="002A02DD">
            <w:pPr>
              <w:rPr>
                <w:rFonts w:eastAsia="Calibri"/>
                <w:sz w:val="22"/>
                <w:szCs w:val="22"/>
              </w:rPr>
            </w:pPr>
            <w:r w:rsidRPr="00FA11C5">
              <w:rPr>
                <w:rFonts w:eastAsia="Calibri"/>
                <w:sz w:val="22"/>
                <w:szCs w:val="22"/>
              </w:rPr>
              <w:t>Testbeds</w:t>
            </w:r>
          </w:p>
          <w:p w14:paraId="53FEF048" w14:textId="77777777" w:rsidR="002A02DD" w:rsidRPr="00FA11C5" w:rsidRDefault="002A02DD" w:rsidP="002A02DD">
            <w:pPr>
              <w:widowControl w:val="0"/>
              <w:pBdr>
                <w:top w:val="nil"/>
                <w:left w:val="nil"/>
                <w:bottom w:val="nil"/>
                <w:right w:val="nil"/>
                <w:between w:val="nil"/>
              </w:pBdr>
              <w:rPr>
                <w:rFonts w:eastAsia="Calibri"/>
                <w:sz w:val="22"/>
                <w:szCs w:val="22"/>
              </w:rPr>
            </w:pPr>
            <w:r w:rsidRPr="00FA11C5">
              <w:rPr>
                <w:rFonts w:eastAsia="Calibri"/>
                <w:sz w:val="22"/>
                <w:szCs w:val="22"/>
              </w:rPr>
              <w:t>Certification standards</w:t>
            </w:r>
          </w:p>
          <w:p w14:paraId="0B67EE69" w14:textId="2FCE69E1" w:rsidR="002A02DD" w:rsidRPr="00FA11C5" w:rsidRDefault="002A02DD" w:rsidP="002A02DD">
            <w:pPr>
              <w:rPr>
                <w:rFonts w:eastAsia="Calibri"/>
                <w:sz w:val="22"/>
                <w:szCs w:val="22"/>
              </w:rPr>
            </w:pPr>
            <w:r w:rsidRPr="00FA11C5">
              <w:rPr>
                <w:rFonts w:eastAsia="Calibri"/>
                <w:sz w:val="22"/>
                <w:szCs w:val="22"/>
              </w:rPr>
              <w:t>Procurement standards</w:t>
            </w:r>
          </w:p>
        </w:tc>
      </w:tr>
    </w:tbl>
    <w:p w14:paraId="332F3535" w14:textId="44A6A52E" w:rsidR="00A937A3" w:rsidRPr="00FA11C5" w:rsidRDefault="005D7A09" w:rsidP="00527463">
      <w:pPr>
        <w:pStyle w:val="Heading2"/>
      </w:pPr>
      <w:bookmarkStart w:id="39" w:name="_Toc79159758"/>
      <w:bookmarkStart w:id="40" w:name="_Toc89415324"/>
      <w:bookmarkStart w:id="41" w:name="_Toc93383473"/>
      <w:r w:rsidRPr="00FA11C5">
        <w:t>7.3</w:t>
      </w:r>
      <w:r w:rsidRPr="00FA11C5">
        <w:tab/>
      </w:r>
      <w:r w:rsidR="00A937A3" w:rsidRPr="00FA11C5">
        <w:t>Applicability of standardization readiness criteria to the assessment of QIT for networks</w:t>
      </w:r>
      <w:bookmarkEnd w:id="39"/>
      <w:bookmarkEnd w:id="40"/>
      <w:bookmarkEnd w:id="41"/>
    </w:p>
    <w:p w14:paraId="35190E7E" w14:textId="617F9FD8" w:rsidR="00A937A3" w:rsidRPr="00FA11C5" w:rsidRDefault="00A937A3" w:rsidP="005D7A09">
      <w:r w:rsidRPr="00FA11C5">
        <w:t xml:space="preserve">Most QIT technologies, including those needed for quantum networks with the exception of quantum key distribution and quantum random number generation, are at the research stage and are at a low standardization readiness level. However, the level of interest and investment by corporations, venture capitalists, and governments worldwide is </w:t>
      </w:r>
      <w:r w:rsidR="00A00FCA" w:rsidRPr="00FA11C5">
        <w:t>increasing,</w:t>
      </w:r>
      <w:r w:rsidRPr="00FA11C5">
        <w:t xml:space="preserve"> and advances point to diverse use cases that will require a variety of standards.</w:t>
      </w:r>
    </w:p>
    <w:p w14:paraId="1D4DC241" w14:textId="25AD3D1E" w:rsidR="00A937A3" w:rsidRPr="00FA11C5" w:rsidRDefault="00A937A3" w:rsidP="005D7A09">
      <w:r w:rsidRPr="00FA11C5">
        <w:t>Quantum networks will require both the development of quantum technologies as well as classical components. Enabling quantum technologies and components, including quantum memories and quantum repeaters, will be needed and in many cases are not yet commercially available in a form that meets the demanding specifications of quantum applications. Researchers and developers must make do with parts that were not designed to meet their particular needs or must make their own. These approaches can lead to highly customized systems made up of a unique set of components each with device-specific interface specifications. This leads to inefficiencies as suppliers must support many versions of a product or the developer makes components in-house that might otherwise be obtained from a supplier. The earlier the community is able to agree on certain specifications, form factors, interconnects, etc. the more likely that suppliers will be willing and able to meet the demand at lower cost.</w:t>
      </w:r>
    </w:p>
    <w:p w14:paraId="4B220038" w14:textId="020E6857" w:rsidR="00A937A3" w:rsidRPr="00FA11C5" w:rsidRDefault="00A937A3" w:rsidP="005D7A09">
      <w:r w:rsidRPr="00FA11C5">
        <w:t xml:space="preserve">When a technology is still in the early development phase and many aspects and components are potentially variable, what is needed are metrics and benchmarks for measuring properties, performance and progress. In complex systems, metrics are needed at various component and system levels. While such metrics initially may be primarily used internally, at some point they will become a requirement that vendors must meet and which will help end users become informed consumers. </w:t>
      </w:r>
    </w:p>
    <w:p w14:paraId="5086D621" w14:textId="68DA0983" w:rsidR="00A00FCA" w:rsidRPr="00FA11C5" w:rsidRDefault="005D7A09" w:rsidP="00BB2C22">
      <w:pPr>
        <w:pStyle w:val="Heading1"/>
      </w:pPr>
      <w:bookmarkStart w:id="42" w:name="_Toc79159759"/>
      <w:bookmarkStart w:id="43" w:name="_Toc89415325"/>
      <w:bookmarkStart w:id="44" w:name="_Toc93383474"/>
      <w:r w:rsidRPr="00FA11C5">
        <w:lastRenderedPageBreak/>
        <w:t>8</w:t>
      </w:r>
      <w:r w:rsidRPr="00FA11C5">
        <w:tab/>
      </w:r>
      <w:r w:rsidR="00A00FCA" w:rsidRPr="00FA11C5">
        <w:t>Summary</w:t>
      </w:r>
      <w:bookmarkEnd w:id="42"/>
      <w:bookmarkEnd w:id="43"/>
      <w:bookmarkEnd w:id="44"/>
    </w:p>
    <w:p w14:paraId="5FD19238" w14:textId="278FB529" w:rsidR="00A00FCA" w:rsidRPr="00FA11C5" w:rsidRDefault="005D7A09" w:rsidP="00527463">
      <w:pPr>
        <w:pStyle w:val="Heading2"/>
      </w:pPr>
      <w:bookmarkStart w:id="45" w:name="_Toc34394620"/>
      <w:bookmarkStart w:id="46" w:name="_Toc34394718"/>
      <w:bookmarkStart w:id="47" w:name="_Toc34596785"/>
      <w:bookmarkStart w:id="48" w:name="_Toc36534824"/>
      <w:bookmarkStart w:id="49" w:name="_Toc36546965"/>
      <w:bookmarkStart w:id="50" w:name="_Toc36755440"/>
      <w:bookmarkStart w:id="51" w:name="_Toc79159760"/>
      <w:bookmarkStart w:id="52" w:name="_Toc89415326"/>
      <w:bookmarkStart w:id="53" w:name="_Toc93383475"/>
      <w:bookmarkEnd w:id="45"/>
      <w:bookmarkEnd w:id="46"/>
      <w:bookmarkEnd w:id="47"/>
      <w:bookmarkEnd w:id="48"/>
      <w:bookmarkEnd w:id="49"/>
      <w:bookmarkEnd w:id="50"/>
      <w:r w:rsidRPr="00FA11C5">
        <w:t>8.1</w:t>
      </w:r>
      <w:r w:rsidRPr="00FA11C5">
        <w:tab/>
      </w:r>
      <w:r w:rsidR="00A00FCA" w:rsidRPr="00FA11C5">
        <w:t>Findings related to the standardization ecosystem for QIT for networks</w:t>
      </w:r>
      <w:bookmarkEnd w:id="51"/>
      <w:bookmarkEnd w:id="52"/>
      <w:bookmarkEnd w:id="53"/>
    </w:p>
    <w:p w14:paraId="05E34D35" w14:textId="1C9C6E1B" w:rsidR="00A00FCA" w:rsidRPr="00FA11C5" w:rsidRDefault="00A00FCA" w:rsidP="005D7A09">
      <w:pPr>
        <w:pStyle w:val="enumlev1"/>
      </w:pPr>
      <w:r w:rsidRPr="00FA11C5">
        <w:rPr>
          <w:rFonts w:asciiTheme="majorBidi" w:eastAsia="Calibri" w:hAnsiTheme="majorBidi" w:cstheme="majorBidi"/>
        </w:rPr>
        <w:t xml:space="preserve">– </w:t>
      </w:r>
      <w:r w:rsidRPr="00FA11C5">
        <w:rPr>
          <w:rFonts w:asciiTheme="majorBidi" w:eastAsia="Calibri" w:hAnsiTheme="majorBidi" w:cstheme="majorBidi"/>
        </w:rPr>
        <w:tab/>
      </w:r>
      <w:r w:rsidRPr="00FA11C5">
        <w:rPr>
          <w:b/>
          <w:bCs/>
        </w:rPr>
        <w:t>Quality is much more important than quantity.</w:t>
      </w:r>
      <w:r w:rsidRPr="00FA11C5">
        <w:t xml:space="preserve"> When done well, standards create a common language, open markets and provide business opportunities and protect consumers and the environment. When not done well, they fragment the market with overlapping and conflicting specifications, create barriers to trade and close markets, give unfair advantage to countries or companies, stifle innovation, impede interoperability and entrench inferior technologies.</w:t>
      </w:r>
    </w:p>
    <w:p w14:paraId="6411A373" w14:textId="3838C924" w:rsidR="00A00FCA" w:rsidRPr="00FA11C5" w:rsidRDefault="00A00FCA" w:rsidP="005D7A09">
      <w:pPr>
        <w:pStyle w:val="enumlev1"/>
      </w:pPr>
      <w:r w:rsidRPr="00FA11C5">
        <w:rPr>
          <w:rFonts w:asciiTheme="majorBidi" w:eastAsia="Calibri" w:hAnsiTheme="majorBidi" w:cstheme="majorBidi"/>
        </w:rPr>
        <w:t xml:space="preserve">– </w:t>
      </w:r>
      <w:r w:rsidRPr="00FA11C5">
        <w:rPr>
          <w:rFonts w:asciiTheme="majorBidi" w:eastAsia="Calibri" w:hAnsiTheme="majorBidi" w:cstheme="majorBidi"/>
        </w:rPr>
        <w:tab/>
      </w:r>
      <w:r w:rsidRPr="00FA11C5">
        <w:rPr>
          <w:b/>
          <w:bCs/>
        </w:rPr>
        <w:t>Collaboration is essential.</w:t>
      </w:r>
      <w:r w:rsidRPr="00FA11C5">
        <w:t xml:space="preserve"> Standardization is a democratic process, driven by the experts who cho</w:t>
      </w:r>
      <w:r w:rsidR="00E077AB" w:rsidRPr="00FA11C5">
        <w:t>o</w:t>
      </w:r>
      <w:r w:rsidRPr="00FA11C5">
        <w:t xml:space="preserve">se to participate, with no sovereign organization authorizing standards initiation and development. It is therefore essential for the health of the global quantum economy that standards organizations work together to create a minimal set of robust standards. </w:t>
      </w:r>
    </w:p>
    <w:p w14:paraId="71C21620" w14:textId="01A3674B" w:rsidR="00A00FCA" w:rsidRPr="00FA11C5" w:rsidRDefault="005D7A09" w:rsidP="00527463">
      <w:pPr>
        <w:pStyle w:val="Heading2"/>
      </w:pPr>
      <w:bookmarkStart w:id="54" w:name="_Toc79159761"/>
      <w:bookmarkStart w:id="55" w:name="_Toc89415327"/>
      <w:bookmarkStart w:id="56" w:name="_Toc93383476"/>
      <w:r w:rsidRPr="00FA11C5">
        <w:t>8.2</w:t>
      </w:r>
      <w:r w:rsidRPr="00FA11C5">
        <w:tab/>
      </w:r>
      <w:r w:rsidR="00A00FCA" w:rsidRPr="00FA11C5">
        <w:t>Findings related to the standardization readiness of QIT for networks</w:t>
      </w:r>
      <w:bookmarkEnd w:id="54"/>
      <w:bookmarkEnd w:id="55"/>
      <w:bookmarkEnd w:id="56"/>
    </w:p>
    <w:p w14:paraId="3DD7B718" w14:textId="4D94EE8C" w:rsidR="00A00FCA" w:rsidRPr="00FA11C5" w:rsidRDefault="00A00FCA" w:rsidP="005D7A09">
      <w:pPr>
        <w:pStyle w:val="enumlev1"/>
      </w:pPr>
      <w:r w:rsidRPr="00FA11C5">
        <w:rPr>
          <w:rFonts w:asciiTheme="majorBidi" w:eastAsia="Calibri" w:hAnsiTheme="majorBidi" w:cstheme="majorBidi"/>
        </w:rPr>
        <w:t xml:space="preserve">– </w:t>
      </w:r>
      <w:r w:rsidRPr="00FA11C5">
        <w:rPr>
          <w:rFonts w:asciiTheme="majorBidi" w:eastAsia="Calibri" w:hAnsiTheme="majorBidi" w:cstheme="majorBidi"/>
        </w:rPr>
        <w:tab/>
      </w:r>
      <w:r w:rsidRPr="00FA11C5">
        <w:rPr>
          <w:b/>
          <w:bCs/>
        </w:rPr>
        <w:t>Standardization readiness should be assessed.</w:t>
      </w:r>
      <w:r w:rsidRPr="00FA11C5">
        <w:t xml:space="preserve"> There are many kinds of standards, developed by a diverse ecosystem of </w:t>
      </w:r>
      <w:r w:rsidR="00E077AB" w:rsidRPr="00FA11C5">
        <w:t>SDOs</w:t>
      </w:r>
      <w:r w:rsidRPr="00FA11C5">
        <w:t xml:space="preserve">, that support different phases of technology and market development. It is important to assess the maturity of the underlying science and business drivers before initiating and promoting specific standards for specific quantum technologies. Just as </w:t>
      </w:r>
      <w:r w:rsidR="00E077AB" w:rsidRPr="00FA11C5">
        <w:t>TRLs</w:t>
      </w:r>
      <w:r w:rsidRPr="00FA11C5">
        <w:t xml:space="preserve"> provide a tool for assessing the maturity of a given technology, </w:t>
      </w:r>
      <w:r w:rsidR="00E077AB" w:rsidRPr="00FA11C5">
        <w:t>SRLs</w:t>
      </w:r>
      <w:r w:rsidRPr="00FA11C5">
        <w:t xml:space="preserve"> are being envisioned to determine when a given technology</w:t>
      </w:r>
      <w:r w:rsidR="00E077AB" w:rsidRPr="00FA11C5">
        <w:t>/</w:t>
      </w:r>
      <w:r w:rsidRPr="00FA11C5">
        <w:t xml:space="preserve">market would benefit from standardization and which kind of standard is implied. </w:t>
      </w:r>
    </w:p>
    <w:p w14:paraId="3CAEFF88" w14:textId="6088E2F7" w:rsidR="00A00FCA" w:rsidRPr="00FA11C5" w:rsidRDefault="00A00FCA" w:rsidP="005D7A09">
      <w:pPr>
        <w:pStyle w:val="enumlev1"/>
      </w:pPr>
      <w:r w:rsidRPr="00FA11C5">
        <w:rPr>
          <w:rFonts w:asciiTheme="majorBidi" w:eastAsia="Calibri" w:hAnsiTheme="majorBidi" w:cstheme="majorBidi"/>
        </w:rPr>
        <w:t xml:space="preserve">– </w:t>
      </w:r>
      <w:r w:rsidRPr="00FA11C5">
        <w:rPr>
          <w:rFonts w:asciiTheme="majorBidi" w:eastAsia="Calibri" w:hAnsiTheme="majorBidi" w:cstheme="majorBidi"/>
        </w:rPr>
        <w:tab/>
      </w:r>
      <w:r w:rsidRPr="00FA11C5">
        <w:rPr>
          <w:b/>
          <w:bCs/>
        </w:rPr>
        <w:t>International standards are under development for a small subset of quantum technologies.</w:t>
      </w:r>
      <w:r w:rsidRPr="00FA11C5">
        <w:t xml:space="preserve"> Standardization activity is underway in areas including terminology, quantum-safe cryptography, quantum key distribution, quantum random number generation, use cases and architecture. Additionally, SDOs are creating white papers to assess the landscape and identify eventual standardization needs.</w:t>
      </w:r>
    </w:p>
    <w:bookmarkEnd w:id="25"/>
    <w:bookmarkEnd w:id="26"/>
    <w:bookmarkEnd w:id="27"/>
    <w:p w14:paraId="50D266E7" w14:textId="77777777" w:rsidR="002D41EB" w:rsidRPr="00FA11C5" w:rsidRDefault="002D41EB" w:rsidP="002D41EB">
      <w:pPr>
        <w:rPr>
          <w:lang w:bidi="ar-DZ"/>
        </w:rPr>
      </w:pPr>
    </w:p>
    <w:p w14:paraId="42892B37" w14:textId="77777777" w:rsidR="00A00FCA" w:rsidRPr="00FA11C5" w:rsidRDefault="00A00FCA">
      <w:pPr>
        <w:spacing w:before="0"/>
        <w:rPr>
          <w:b/>
          <w:sz w:val="28"/>
          <w:lang w:bidi="ar-DZ"/>
        </w:rPr>
      </w:pPr>
      <w:r w:rsidRPr="00FA11C5">
        <w:rPr>
          <w:lang w:bidi="ar-DZ"/>
        </w:rPr>
        <w:br w:type="page"/>
      </w:r>
    </w:p>
    <w:p w14:paraId="32C29066" w14:textId="74BE465D" w:rsidR="002D41EB" w:rsidRPr="00FA11C5" w:rsidRDefault="006B0ED5" w:rsidP="005D7A09">
      <w:pPr>
        <w:pStyle w:val="AppendixNoTitle0"/>
        <w:rPr>
          <w:lang w:bidi="ar-DZ"/>
        </w:rPr>
      </w:pPr>
      <w:bookmarkStart w:id="57" w:name="_Toc89415328"/>
      <w:bookmarkStart w:id="58" w:name="_Toc93383477"/>
      <w:r w:rsidRPr="00FA11C5">
        <w:rPr>
          <w:lang w:bidi="ar-DZ"/>
        </w:rPr>
        <w:lastRenderedPageBreak/>
        <w:t>Bibliography</w:t>
      </w:r>
      <w:bookmarkEnd w:id="57"/>
      <w:bookmarkEnd w:id="58"/>
    </w:p>
    <w:p w14:paraId="429E5EBD" w14:textId="77777777" w:rsidR="005D7A09" w:rsidRPr="00FA11C5" w:rsidRDefault="005D7A09" w:rsidP="005D7A09">
      <w:pPr>
        <w:pStyle w:val="Normalaftertitle0"/>
        <w:rPr>
          <w:lang w:bidi="ar-DZ"/>
        </w:rPr>
      </w:pPr>
    </w:p>
    <w:p w14:paraId="27E7FA34" w14:textId="2711BC2A" w:rsidR="006145B8" w:rsidRPr="00FA11C5" w:rsidRDefault="006145B8" w:rsidP="005D7A09">
      <w:pPr>
        <w:pStyle w:val="Reftext"/>
        <w:tabs>
          <w:tab w:val="clear" w:pos="1191"/>
          <w:tab w:val="clear" w:pos="1588"/>
          <w:tab w:val="clear" w:pos="1985"/>
          <w:tab w:val="left" w:pos="2268"/>
        </w:tabs>
        <w:ind w:left="2268" w:hanging="2268"/>
      </w:pPr>
      <w:r w:rsidRPr="00FA11C5">
        <w:t>[b-Allocca]</w:t>
      </w:r>
      <w:r w:rsidRPr="00FA11C5">
        <w:tab/>
        <w:t>Allocca, C. (</w:t>
      </w:r>
      <w:r w:rsidR="002C6E29" w:rsidRPr="00FA11C5">
        <w:t>2021</w:t>
      </w:r>
      <w:r w:rsidRPr="00FA11C5">
        <w:t>)</w:t>
      </w:r>
      <w:r w:rsidR="002C6E29" w:rsidRPr="00FA11C5">
        <w:t xml:space="preserve">, </w:t>
      </w:r>
      <w:r w:rsidR="002C6E29" w:rsidRPr="00FA11C5">
        <w:rPr>
          <w:i/>
          <w:iCs/>
        </w:rPr>
        <w:t>Quantum Computing Standardization, Innovation, and Business: The Nexi</w:t>
      </w:r>
      <w:r w:rsidR="002C6E29" w:rsidRPr="00FA11C5">
        <w:t xml:space="preserve">. In Proceedings of Inside Quantum Technology Conference, November 3, New York. </w:t>
      </w:r>
    </w:p>
    <w:p w14:paraId="6358B007" w14:textId="4B309DF7" w:rsidR="00527463" w:rsidRPr="00FA11C5" w:rsidRDefault="00180510" w:rsidP="005D7A09">
      <w:pPr>
        <w:pStyle w:val="Reftext"/>
        <w:tabs>
          <w:tab w:val="clear" w:pos="1191"/>
          <w:tab w:val="clear" w:pos="1588"/>
          <w:tab w:val="clear" w:pos="1985"/>
          <w:tab w:val="left" w:pos="2268"/>
        </w:tabs>
        <w:ind w:left="2268" w:hanging="2268"/>
      </w:pPr>
      <w:r w:rsidRPr="00FA11C5">
        <w:t>[b-EU]</w:t>
      </w:r>
      <w:r w:rsidR="00527463" w:rsidRPr="00FA11C5">
        <w:t xml:space="preserve"> </w:t>
      </w:r>
      <w:r w:rsidR="00527463" w:rsidRPr="00FA11C5">
        <w:tab/>
      </w:r>
      <w:r w:rsidR="00527463" w:rsidRPr="00FA11C5">
        <w:tab/>
      </w:r>
      <w:r w:rsidRPr="00FA11C5">
        <w:t xml:space="preserve">European Commission (2014), </w:t>
      </w:r>
      <w:r w:rsidRPr="00FA11C5">
        <w:rPr>
          <w:i/>
          <w:iCs/>
        </w:rPr>
        <w:t>Horizon 2020 – Work Programme 2014</w:t>
      </w:r>
      <w:r w:rsidR="005D7A09" w:rsidRPr="00FA11C5">
        <w:rPr>
          <w:i/>
          <w:iCs/>
        </w:rPr>
        <w:noBreakHyphen/>
      </w:r>
      <w:r w:rsidRPr="00FA11C5">
        <w:rPr>
          <w:i/>
          <w:iCs/>
        </w:rPr>
        <w:t>2015</w:t>
      </w:r>
      <w:r w:rsidR="00527463" w:rsidRPr="00FA11C5">
        <w:rPr>
          <w:i/>
          <w:iCs/>
        </w:rPr>
        <w:t>.</w:t>
      </w:r>
    </w:p>
    <w:p w14:paraId="1E82B431" w14:textId="103861FD" w:rsidR="00180510" w:rsidRPr="00FA11C5" w:rsidRDefault="005D7A09" w:rsidP="005D7A09">
      <w:pPr>
        <w:pStyle w:val="Reftext"/>
        <w:tabs>
          <w:tab w:val="clear" w:pos="794"/>
          <w:tab w:val="clear" w:pos="1191"/>
          <w:tab w:val="clear" w:pos="1588"/>
          <w:tab w:val="clear" w:pos="1985"/>
          <w:tab w:val="left" w:pos="2268"/>
        </w:tabs>
        <w:spacing w:before="0"/>
        <w:ind w:left="2268" w:hanging="2268"/>
        <w:rPr>
          <w:rFonts w:ascii="Arial" w:hAnsi="Arial" w:cs="Arial"/>
          <w:sz w:val="16"/>
          <w:szCs w:val="16"/>
        </w:rPr>
      </w:pPr>
      <w:r w:rsidRPr="00FA11C5">
        <w:rPr>
          <w:rFonts w:ascii="Arial" w:hAnsi="Arial" w:cs="Arial"/>
          <w:sz w:val="16"/>
          <w:szCs w:val="16"/>
        </w:rPr>
        <w:tab/>
      </w:r>
      <w:hyperlink r:id="rId24" w:history="1">
        <w:r w:rsidRPr="00FA11C5">
          <w:rPr>
            <w:rStyle w:val="Hyperlink"/>
            <w:rFonts w:ascii="Arial" w:hAnsi="Arial" w:cs="Arial"/>
            <w:sz w:val="16"/>
            <w:szCs w:val="16"/>
          </w:rPr>
          <w:t>https://ec.europa.eu/research/participants/data/ref/h2020/wp/2014_2015/annexes/h2020-wp1415-annex-g-trl_en.pdf</w:t>
        </w:r>
      </w:hyperlink>
      <w:r w:rsidR="00180510" w:rsidRPr="00FA11C5">
        <w:rPr>
          <w:rFonts w:ascii="Arial" w:hAnsi="Arial" w:cs="Arial"/>
          <w:sz w:val="16"/>
          <w:szCs w:val="16"/>
        </w:rPr>
        <w:t xml:space="preserve"> </w:t>
      </w:r>
    </w:p>
    <w:p w14:paraId="1747889B" w14:textId="5E13D1C5" w:rsidR="00180510" w:rsidRPr="00FA11C5" w:rsidRDefault="00180510" w:rsidP="005D7A09">
      <w:pPr>
        <w:pStyle w:val="Reftext"/>
        <w:tabs>
          <w:tab w:val="clear" w:pos="1191"/>
          <w:tab w:val="clear" w:pos="1588"/>
          <w:tab w:val="clear" w:pos="1985"/>
          <w:tab w:val="left" w:pos="2268"/>
        </w:tabs>
        <w:ind w:left="2268" w:hanging="2268"/>
      </w:pPr>
      <w:r w:rsidRPr="00FA11C5">
        <w:t>[b-Goldstein]</w:t>
      </w:r>
      <w:r w:rsidRPr="00FA11C5">
        <w:tab/>
        <w:t xml:space="preserve">Goldstein, B. and Merzbacher, C. (2020), </w:t>
      </w:r>
      <w:r w:rsidRPr="00FA11C5">
        <w:rPr>
          <w:i/>
          <w:iCs/>
        </w:rPr>
        <w:t>The QIST Standards Landscape</w:t>
      </w:r>
      <w:r w:rsidRPr="00FA11C5">
        <w:t>.</w:t>
      </w:r>
    </w:p>
    <w:p w14:paraId="2E505CC1" w14:textId="5756D34C" w:rsidR="00180510" w:rsidRPr="00FA11C5" w:rsidRDefault="00180510" w:rsidP="005D7A09">
      <w:pPr>
        <w:pStyle w:val="Reftext"/>
        <w:tabs>
          <w:tab w:val="clear" w:pos="1191"/>
          <w:tab w:val="clear" w:pos="1588"/>
          <w:tab w:val="clear" w:pos="1985"/>
          <w:tab w:val="left" w:pos="2268"/>
        </w:tabs>
        <w:ind w:left="2268" w:hanging="2268"/>
      </w:pPr>
      <w:r w:rsidRPr="00FA11C5">
        <w:t>[b-IEC White Paper]</w:t>
      </w:r>
      <w:r w:rsidR="00527463" w:rsidRPr="00FA11C5">
        <w:tab/>
      </w:r>
      <w:r w:rsidRPr="00FA11C5">
        <w:t xml:space="preserve">IEC White Paper QIT (2021), </w:t>
      </w:r>
      <w:r w:rsidRPr="00FA11C5">
        <w:rPr>
          <w:i/>
          <w:iCs/>
        </w:rPr>
        <w:t>Quantum information technology</w:t>
      </w:r>
      <w:r w:rsidRPr="00FA11C5">
        <w:t>.</w:t>
      </w:r>
    </w:p>
    <w:p w14:paraId="74185B00" w14:textId="39634883" w:rsidR="00180510" w:rsidRPr="00FA11C5" w:rsidRDefault="00180510" w:rsidP="005D7A09">
      <w:pPr>
        <w:pStyle w:val="Reftext"/>
        <w:tabs>
          <w:tab w:val="clear" w:pos="1191"/>
          <w:tab w:val="clear" w:pos="1588"/>
          <w:tab w:val="clear" w:pos="1985"/>
          <w:tab w:val="left" w:pos="2268"/>
        </w:tabs>
        <w:ind w:left="2268" w:hanging="2268"/>
      </w:pPr>
      <w:r w:rsidRPr="00FA11C5">
        <w:t>[b-ISO]</w:t>
      </w:r>
      <w:r w:rsidR="00527463" w:rsidRPr="00FA11C5">
        <w:tab/>
      </w:r>
      <w:r w:rsidR="00527463" w:rsidRPr="00FA11C5">
        <w:tab/>
      </w:r>
      <w:r w:rsidRPr="00FA11C5">
        <w:t xml:space="preserve">ISO. </w:t>
      </w:r>
      <w:r w:rsidRPr="00FA11C5">
        <w:rPr>
          <w:i/>
          <w:iCs/>
        </w:rPr>
        <w:t>Standards</w:t>
      </w:r>
      <w:r w:rsidRPr="00FA11C5">
        <w:t xml:space="preserve">. </w:t>
      </w:r>
      <w:hyperlink r:id="rId25" w:history="1">
        <w:r w:rsidRPr="00FA11C5">
          <w:rPr>
            <w:rStyle w:val="Hyperlink"/>
            <w:rFonts w:ascii="Arial" w:hAnsi="Arial" w:cs="Arial"/>
            <w:sz w:val="16"/>
            <w:szCs w:val="16"/>
          </w:rPr>
          <w:t>https://www.iso.org/standards.html</w:t>
        </w:r>
      </w:hyperlink>
      <w:r w:rsidRPr="00FA11C5">
        <w:rPr>
          <w:rFonts w:ascii="Arial" w:hAnsi="Arial" w:cs="Arial"/>
          <w:sz w:val="16"/>
          <w:szCs w:val="16"/>
        </w:rPr>
        <w:t xml:space="preserve"> </w:t>
      </w:r>
      <w:r w:rsidRPr="00FA11C5">
        <w:t xml:space="preserve"> </w:t>
      </w:r>
    </w:p>
    <w:p w14:paraId="5C0325AA" w14:textId="542700A3" w:rsidR="00180510" w:rsidRPr="00FA11C5" w:rsidRDefault="00180510" w:rsidP="005D7A09">
      <w:pPr>
        <w:pStyle w:val="Reftext"/>
        <w:tabs>
          <w:tab w:val="clear" w:pos="1191"/>
          <w:tab w:val="clear" w:pos="1588"/>
          <w:tab w:val="clear" w:pos="1985"/>
          <w:tab w:val="left" w:pos="2268"/>
        </w:tabs>
        <w:ind w:left="2268" w:hanging="2268"/>
      </w:pPr>
      <w:r w:rsidRPr="00FA11C5">
        <w:t>[b-ISO/IEC Guide]</w:t>
      </w:r>
      <w:r w:rsidRPr="00FA11C5">
        <w:tab/>
        <w:t xml:space="preserve">ISO/IEC Guide 2 (2004), </w:t>
      </w:r>
      <w:r w:rsidRPr="00FA11C5">
        <w:rPr>
          <w:i/>
          <w:iCs/>
        </w:rPr>
        <w:t>Standardization and related activities — General vocabulary</w:t>
      </w:r>
      <w:r w:rsidRPr="00FA11C5">
        <w:t xml:space="preserve">. </w:t>
      </w:r>
    </w:p>
    <w:p w14:paraId="54281362" w14:textId="033EE459" w:rsidR="00180510" w:rsidRPr="00FA11C5" w:rsidRDefault="00180510" w:rsidP="005D7A09">
      <w:pPr>
        <w:pStyle w:val="Reftext"/>
        <w:tabs>
          <w:tab w:val="clear" w:pos="1191"/>
          <w:tab w:val="clear" w:pos="1588"/>
          <w:tab w:val="clear" w:pos="1985"/>
          <w:tab w:val="left" w:pos="2268"/>
        </w:tabs>
        <w:ind w:left="2268" w:hanging="2268"/>
      </w:pPr>
      <w:r w:rsidRPr="00FA11C5">
        <w:t>[b-NASA]</w:t>
      </w:r>
      <w:r w:rsidRPr="00FA11C5">
        <w:tab/>
        <w:t xml:space="preserve">NASA (2012), </w:t>
      </w:r>
      <w:r w:rsidRPr="00FA11C5">
        <w:rPr>
          <w:i/>
          <w:iCs/>
        </w:rPr>
        <w:t>Technology Readiness Level</w:t>
      </w:r>
      <w:r w:rsidRPr="00FA11C5">
        <w:t xml:space="preserve">. </w:t>
      </w:r>
      <w:hyperlink r:id="rId26" w:history="1">
        <w:r w:rsidR="00527463" w:rsidRPr="00FA11C5">
          <w:rPr>
            <w:rStyle w:val="Hyperlink"/>
            <w:rFonts w:ascii="Arial" w:hAnsi="Arial" w:cs="Arial"/>
            <w:sz w:val="16"/>
            <w:szCs w:val="16"/>
          </w:rPr>
          <w:t>https://www.nasa.gov/directorates/heo/scan/engineering/technology/technology_readiness_level</w:t>
        </w:r>
      </w:hyperlink>
    </w:p>
    <w:p w14:paraId="7C523B18" w14:textId="6EF84147" w:rsidR="00501176" w:rsidRPr="00FA11C5" w:rsidRDefault="00180510" w:rsidP="005D7A09">
      <w:pPr>
        <w:pStyle w:val="Reftext"/>
        <w:tabs>
          <w:tab w:val="clear" w:pos="1191"/>
          <w:tab w:val="clear" w:pos="1588"/>
          <w:tab w:val="clear" w:pos="1985"/>
          <w:tab w:val="left" w:pos="2268"/>
        </w:tabs>
        <w:ind w:left="2268" w:hanging="2268"/>
      </w:pPr>
      <w:r w:rsidRPr="00FA11C5">
        <w:t>[b-QIT4N D1.1]</w:t>
      </w:r>
      <w:r w:rsidRPr="00FA11C5">
        <w:tab/>
        <w:t xml:space="preserve">ITU-T Technical Report (2021), </w:t>
      </w:r>
      <w:r w:rsidRPr="00FA11C5">
        <w:rPr>
          <w:i/>
          <w:iCs/>
        </w:rPr>
        <w:t>Quantum information technology for networks terminology</w:t>
      </w:r>
      <w:r w:rsidR="007F4F25" w:rsidRPr="00FA11C5">
        <w:rPr>
          <w:i/>
          <w:iCs/>
        </w:rPr>
        <w:t xml:space="preserve">: </w:t>
      </w:r>
      <w:r w:rsidRPr="00FA11C5">
        <w:rPr>
          <w:i/>
          <w:iCs/>
        </w:rPr>
        <w:t xml:space="preserve">Network aspects of </w:t>
      </w:r>
      <w:r w:rsidR="005C415F" w:rsidRPr="00FA11C5">
        <w:rPr>
          <w:i/>
          <w:iCs/>
        </w:rPr>
        <w:t>quantum information technologies</w:t>
      </w:r>
      <w:r w:rsidRPr="00FA11C5">
        <w:t>.</w:t>
      </w:r>
    </w:p>
    <w:p w14:paraId="44ED34B5" w14:textId="77777777" w:rsidR="005D7A09" w:rsidRPr="00FA11C5" w:rsidRDefault="005D7A09" w:rsidP="005D7A09">
      <w:pPr>
        <w:pStyle w:val="Reftext"/>
        <w:tabs>
          <w:tab w:val="clear" w:pos="1191"/>
          <w:tab w:val="clear" w:pos="1588"/>
          <w:tab w:val="clear" w:pos="1985"/>
          <w:tab w:val="left" w:pos="2268"/>
        </w:tabs>
        <w:ind w:left="2268" w:hanging="2268"/>
      </w:pPr>
    </w:p>
    <w:p w14:paraId="77B3E541" w14:textId="56802B8F" w:rsidR="004C46CD" w:rsidRPr="00FA11C5" w:rsidRDefault="004B39E2" w:rsidP="00501176">
      <w:pPr>
        <w:spacing w:before="0" w:after="120"/>
        <w:ind w:left="2376" w:hanging="2376"/>
        <w:jc w:val="center"/>
      </w:pPr>
      <w:r w:rsidRPr="00FA11C5">
        <w:t>___________________</w:t>
      </w:r>
    </w:p>
    <w:sectPr w:rsidR="004C46CD" w:rsidRPr="00FA11C5" w:rsidSect="00C47E63">
      <w:footerReference w:type="even" r:id="rId27"/>
      <w:footerReference w:type="default" r:id="rId28"/>
      <w:footerReference w:type="first" r:id="rId29"/>
      <w:pgSz w:w="11907" w:h="16840" w:code="9"/>
      <w:pgMar w:top="1210" w:right="1134" w:bottom="1079"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A098" w14:textId="77777777" w:rsidR="00415940" w:rsidRDefault="00415940">
      <w:r>
        <w:separator/>
      </w:r>
    </w:p>
  </w:endnote>
  <w:endnote w:type="continuationSeparator" w:id="0">
    <w:p w14:paraId="25FA62F2" w14:textId="77777777" w:rsidR="00415940" w:rsidRDefault="0041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E617" w14:textId="78F2F72F" w:rsidR="00FD181F" w:rsidRDefault="0058659A">
    <w:pPr>
      <w:pStyle w:val="Footer"/>
      <w:tabs>
        <w:tab w:val="left" w:pos="5245"/>
      </w:tabs>
    </w:pPr>
    <w:r>
      <w:drawing>
        <wp:anchor distT="0" distB="0" distL="114300" distR="114300" simplePos="0" relativeHeight="251662336" behindDoc="0" locked="0" layoutInCell="1" allowOverlap="1" wp14:anchorId="1C01BFD6" wp14:editId="7C2690A0">
          <wp:simplePos x="0" y="0"/>
          <wp:positionH relativeFrom="margin">
            <wp:posOffset>5670550</wp:posOffset>
          </wp:positionH>
          <wp:positionV relativeFrom="paragraph">
            <wp:posOffset>-308215</wp:posOffset>
          </wp:positionV>
          <wp:extent cx="654050" cy="720004"/>
          <wp:effectExtent l="0" t="0" r="0" b="444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3320" cy="73020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BD77" w14:textId="0B956C17" w:rsidR="00C47E63" w:rsidRPr="00C47E63" w:rsidRDefault="00C47E63" w:rsidP="00C47E63">
    <w:pPr>
      <w:pStyle w:val="Footer"/>
      <w:tabs>
        <w:tab w:val="left" w:pos="284"/>
      </w:tabs>
      <w:jc w:val="left"/>
      <w:rPr>
        <w:b/>
        <w:sz w:val="18"/>
        <w:szCs w:val="18"/>
      </w:rPr>
    </w:pPr>
    <w:r w:rsidRPr="00C47E63">
      <w:rPr>
        <w:rStyle w:val="PageNumber"/>
        <w:bCs/>
        <w:sz w:val="18"/>
        <w:szCs w:val="18"/>
      </w:rPr>
      <w:fldChar w:fldCharType="begin"/>
    </w:r>
    <w:r w:rsidRPr="00C47E63">
      <w:rPr>
        <w:rStyle w:val="PageNumber"/>
        <w:bCs/>
        <w:sz w:val="18"/>
        <w:szCs w:val="18"/>
      </w:rPr>
      <w:instrText xml:space="preserve"> PAGE </w:instrText>
    </w:r>
    <w:r w:rsidRPr="00C47E63">
      <w:rPr>
        <w:rStyle w:val="PageNumber"/>
        <w:bCs/>
        <w:sz w:val="18"/>
        <w:szCs w:val="18"/>
      </w:rPr>
      <w:fldChar w:fldCharType="separate"/>
    </w:r>
    <w:r>
      <w:rPr>
        <w:rStyle w:val="PageNumber"/>
        <w:bCs/>
        <w:sz w:val="18"/>
        <w:szCs w:val="18"/>
      </w:rPr>
      <w:t>ii</w:t>
    </w:r>
    <w:r w:rsidRPr="00C47E63">
      <w:rPr>
        <w:rStyle w:val="PageNumber"/>
        <w:bCs/>
        <w:sz w:val="18"/>
        <w:szCs w:val="18"/>
      </w:rPr>
      <w:fldChar w:fldCharType="end"/>
    </w:r>
    <w:r>
      <w:rPr>
        <w:rStyle w:val="PageNumber"/>
        <w:bCs/>
        <w:sz w:val="18"/>
        <w:szCs w:val="18"/>
      </w:rPr>
      <w:tab/>
    </w:r>
    <w:r w:rsidRPr="00C47E63">
      <w:rPr>
        <w:b/>
        <w:sz w:val="18"/>
        <w:szCs w:val="18"/>
      </w:rPr>
      <w:t xml:space="preserve">FG QIT4N D1.4 (2021-11): </w:t>
    </w:r>
    <w:r w:rsidR="00FA11C5">
      <w:rPr>
        <w:b/>
        <w:sz w:val="18"/>
        <w:szCs w:val="18"/>
      </w:rPr>
      <w:t>S</w:t>
    </w:r>
    <w:r w:rsidR="00FA11C5" w:rsidRPr="00FA11C5">
      <w:rPr>
        <w:b/>
        <w:caps w:val="0"/>
        <w:sz w:val="18"/>
        <w:szCs w:val="18"/>
      </w:rPr>
      <w:t xml:space="preserve">tandardization outlook and technology maturity: </w:t>
    </w:r>
    <w:r w:rsidR="00FA11C5">
      <w:rPr>
        <w:b/>
        <w:caps w:val="0"/>
        <w:sz w:val="18"/>
        <w:szCs w:val="18"/>
      </w:rPr>
      <w:t>N</w:t>
    </w:r>
    <w:r w:rsidR="00FA11C5" w:rsidRPr="00FA11C5">
      <w:rPr>
        <w:b/>
        <w:caps w:val="0"/>
        <w:sz w:val="18"/>
        <w:szCs w:val="18"/>
      </w:rPr>
      <w:t xml:space="preserve">etwork aspects of </w:t>
    </w:r>
    <w:r w:rsidR="00FA11C5">
      <w:rPr>
        <w:b/>
        <w:caps w:val="0"/>
        <w:sz w:val="18"/>
        <w:szCs w:val="18"/>
      </w:rPr>
      <w:t>QIT</w:t>
    </w:r>
    <w:r w:rsidRPr="00C47E63">
      <w:rPr>
        <w:b/>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F883" w14:textId="206BCCDE" w:rsidR="00E02690" w:rsidRPr="0084023B" w:rsidRDefault="00EB3A37" w:rsidP="00B22DA4">
    <w:pPr>
      <w:pStyle w:val="Footer"/>
      <w:jc w:val="right"/>
      <w:rPr>
        <w:b/>
        <w:sz w:val="20"/>
      </w:rPr>
    </w:pPr>
    <w:r>
      <w:rPr>
        <w:b/>
        <w:sz w:val="20"/>
      </w:rPr>
      <w:t>FG QIT4N D1.4 (</w:t>
    </w:r>
    <w:r w:rsidR="00C05DA3" w:rsidRPr="00C05DA3">
      <w:rPr>
        <w:b/>
        <w:sz w:val="20"/>
      </w:rPr>
      <w:t>2021</w:t>
    </w:r>
    <w:r w:rsidR="00E02690" w:rsidRPr="00C05DA3">
      <w:rPr>
        <w:b/>
        <w:sz w:val="20"/>
      </w:rPr>
      <w:t>-</w:t>
    </w:r>
    <w:r w:rsidR="00C05DA3" w:rsidRPr="00C05DA3">
      <w:rPr>
        <w:b/>
        <w:sz w:val="20"/>
      </w:rPr>
      <w:t>11</w:t>
    </w:r>
    <w:r w:rsidR="00E02690" w:rsidRPr="0084023B">
      <w:rPr>
        <w:b/>
        <w:sz w:val="20"/>
      </w:rPr>
      <w:t>)</w:t>
    </w:r>
    <w:r w:rsidR="006A778F">
      <w:rPr>
        <w:b/>
        <w:sz w:val="20"/>
      </w:rPr>
      <w:t xml:space="preserve">: </w:t>
    </w:r>
    <w:r w:rsidR="006A778F" w:rsidRPr="006A778F">
      <w:rPr>
        <w:b/>
        <w:sz w:val="20"/>
      </w:rPr>
      <w:t>Standard</w:t>
    </w:r>
    <w:r w:rsidR="008311BF">
      <w:rPr>
        <w:b/>
        <w:sz w:val="20"/>
      </w:rPr>
      <w:t>s</w:t>
    </w:r>
    <w:r w:rsidR="006A778F" w:rsidRPr="006A778F">
      <w:rPr>
        <w:b/>
        <w:sz w:val="20"/>
      </w:rPr>
      <w:t xml:space="preserve"> outlook </w:t>
    </w:r>
    <w:r w:rsidR="008311BF">
      <w:rPr>
        <w:b/>
        <w:sz w:val="20"/>
      </w:rPr>
      <w:t>and</w:t>
    </w:r>
    <w:r w:rsidR="006A778F" w:rsidRPr="006A778F">
      <w:rPr>
        <w:b/>
        <w:sz w:val="20"/>
      </w:rPr>
      <w:t xml:space="preserve"> tech maturity</w:t>
    </w:r>
    <w:r w:rsidR="00CE510C">
      <w:rPr>
        <w:b/>
        <w:sz w:val="20"/>
      </w:rPr>
      <w:t>: Network aspects of QIT</w:t>
    </w:r>
    <w:r w:rsidR="00E02690" w:rsidRPr="0084023B">
      <w:rPr>
        <w:b/>
        <w:sz w:val="20"/>
      </w:rPr>
      <w:t xml:space="preserve"> </w:t>
    </w:r>
    <w:r w:rsidR="00E02690" w:rsidRPr="0084023B">
      <w:rPr>
        <w:b/>
        <w:sz w:val="20"/>
      </w:rPr>
      <w:tab/>
    </w:r>
    <w:r w:rsidR="00E02690" w:rsidRPr="0084023B">
      <w:rPr>
        <w:rStyle w:val="PageNumber"/>
        <w:rFonts w:ascii="Times New Roman Bold" w:hAnsi="Times New Roman Bold"/>
        <w:b/>
        <w:bCs/>
        <w:sz w:val="20"/>
      </w:rPr>
      <w:fldChar w:fldCharType="begin"/>
    </w:r>
    <w:r w:rsidR="00E02690" w:rsidRPr="0084023B">
      <w:rPr>
        <w:rStyle w:val="PageNumber"/>
        <w:rFonts w:ascii="Times New Roman Bold" w:hAnsi="Times New Roman Bold"/>
        <w:b/>
        <w:bCs/>
        <w:sz w:val="20"/>
      </w:rPr>
      <w:instrText xml:space="preserve"> PAGE </w:instrText>
    </w:r>
    <w:r w:rsidR="00E02690" w:rsidRPr="0084023B">
      <w:rPr>
        <w:rStyle w:val="PageNumber"/>
        <w:rFonts w:ascii="Times New Roman Bold" w:hAnsi="Times New Roman Bold"/>
        <w:b/>
        <w:bCs/>
        <w:sz w:val="20"/>
      </w:rPr>
      <w:fldChar w:fldCharType="separate"/>
    </w:r>
    <w:r w:rsidR="00EE349E">
      <w:rPr>
        <w:rStyle w:val="PageNumber"/>
        <w:rFonts w:ascii="Times New Roman Bold" w:hAnsi="Times New Roman Bold"/>
        <w:b/>
        <w:bCs/>
        <w:sz w:val="20"/>
      </w:rPr>
      <w:t>4</w:t>
    </w:r>
    <w:r w:rsidR="00E02690" w:rsidRPr="0084023B">
      <w:rPr>
        <w:rStyle w:val="PageNumber"/>
        <w:rFonts w:ascii="Times New Roman Bold" w:hAnsi="Times New Roman Bold"/>
        <w:b/>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C235" w14:textId="6A759276" w:rsidR="00E02690" w:rsidRPr="00C47E63" w:rsidRDefault="00C47E63" w:rsidP="00C47E63">
    <w:pPr>
      <w:pStyle w:val="Footer"/>
      <w:jc w:val="left"/>
      <w:rPr>
        <w:b/>
        <w:sz w:val="18"/>
        <w:szCs w:val="18"/>
      </w:rPr>
    </w:pPr>
    <w:r w:rsidRPr="00C47E63">
      <w:rPr>
        <w:b/>
        <w:sz w:val="18"/>
        <w:szCs w:val="18"/>
      </w:rPr>
      <w:t xml:space="preserve">FG QIT4N D1.4 (2021-11): </w:t>
    </w:r>
    <w:r w:rsidR="00FA11C5">
      <w:rPr>
        <w:b/>
        <w:sz w:val="18"/>
        <w:szCs w:val="18"/>
      </w:rPr>
      <w:t>S</w:t>
    </w:r>
    <w:r w:rsidR="00FA11C5" w:rsidRPr="00FA11C5">
      <w:rPr>
        <w:b/>
        <w:caps w:val="0"/>
        <w:sz w:val="18"/>
        <w:szCs w:val="18"/>
      </w:rPr>
      <w:t xml:space="preserve">tandardization outlook and technology maturity: </w:t>
    </w:r>
    <w:r w:rsidR="00FA11C5">
      <w:rPr>
        <w:b/>
        <w:caps w:val="0"/>
        <w:sz w:val="18"/>
        <w:szCs w:val="18"/>
      </w:rPr>
      <w:t>N</w:t>
    </w:r>
    <w:r w:rsidR="00FA11C5" w:rsidRPr="00FA11C5">
      <w:rPr>
        <w:b/>
        <w:caps w:val="0"/>
        <w:sz w:val="18"/>
        <w:szCs w:val="18"/>
      </w:rPr>
      <w:t xml:space="preserve">etwork aspects of </w:t>
    </w:r>
    <w:r w:rsidR="00FA11C5">
      <w:rPr>
        <w:b/>
        <w:caps w:val="0"/>
        <w:sz w:val="18"/>
        <w:szCs w:val="18"/>
      </w:rPr>
      <w:t>QIT</w:t>
    </w:r>
    <w:r w:rsidRPr="00C47E63">
      <w:rPr>
        <w:b/>
        <w:sz w:val="18"/>
        <w:szCs w:val="18"/>
      </w:rPr>
      <w:tab/>
    </w:r>
    <w:r w:rsidRPr="00C47E63">
      <w:rPr>
        <w:rStyle w:val="PageNumber"/>
        <w:bCs/>
        <w:sz w:val="18"/>
        <w:szCs w:val="18"/>
      </w:rPr>
      <w:fldChar w:fldCharType="begin"/>
    </w:r>
    <w:r w:rsidRPr="00C47E63">
      <w:rPr>
        <w:rStyle w:val="PageNumber"/>
        <w:bCs/>
        <w:sz w:val="18"/>
        <w:szCs w:val="18"/>
      </w:rPr>
      <w:instrText xml:space="preserve"> PAGE </w:instrText>
    </w:r>
    <w:r w:rsidRPr="00C47E63">
      <w:rPr>
        <w:rStyle w:val="PageNumber"/>
        <w:bCs/>
        <w:sz w:val="18"/>
        <w:szCs w:val="18"/>
      </w:rPr>
      <w:fldChar w:fldCharType="separate"/>
    </w:r>
    <w:r>
      <w:rPr>
        <w:rStyle w:val="PageNumber"/>
        <w:bCs/>
        <w:sz w:val="18"/>
        <w:szCs w:val="18"/>
      </w:rPr>
      <w:t>1</w:t>
    </w:r>
    <w:r w:rsidRPr="00C47E63">
      <w:rPr>
        <w:rStyle w:val="PageNumber"/>
        <w:b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19C6" w14:textId="0FDF409B" w:rsidR="00C47E63" w:rsidRPr="00C47E63" w:rsidRDefault="00C47E63" w:rsidP="00C47E63">
    <w:pPr>
      <w:pStyle w:val="Footer"/>
      <w:tabs>
        <w:tab w:val="left" w:pos="284"/>
      </w:tabs>
      <w:jc w:val="left"/>
      <w:rPr>
        <w:b/>
        <w:sz w:val="18"/>
        <w:szCs w:val="18"/>
      </w:rPr>
    </w:pPr>
    <w:r w:rsidRPr="00C47E63">
      <w:rPr>
        <w:rStyle w:val="PageNumber"/>
        <w:bCs/>
        <w:sz w:val="18"/>
        <w:szCs w:val="18"/>
      </w:rPr>
      <w:fldChar w:fldCharType="begin"/>
    </w:r>
    <w:r w:rsidRPr="00C47E63">
      <w:rPr>
        <w:rStyle w:val="PageNumber"/>
        <w:bCs/>
        <w:sz w:val="18"/>
        <w:szCs w:val="18"/>
      </w:rPr>
      <w:instrText xml:space="preserve"> PAGE </w:instrText>
    </w:r>
    <w:r w:rsidRPr="00C47E63">
      <w:rPr>
        <w:rStyle w:val="PageNumber"/>
        <w:bCs/>
        <w:sz w:val="18"/>
        <w:szCs w:val="18"/>
      </w:rPr>
      <w:fldChar w:fldCharType="separate"/>
    </w:r>
    <w:r>
      <w:rPr>
        <w:rStyle w:val="PageNumber"/>
        <w:bCs/>
        <w:sz w:val="18"/>
        <w:szCs w:val="18"/>
      </w:rPr>
      <w:t>ii</w:t>
    </w:r>
    <w:r w:rsidRPr="00C47E63">
      <w:rPr>
        <w:rStyle w:val="PageNumber"/>
        <w:bCs/>
        <w:sz w:val="18"/>
        <w:szCs w:val="18"/>
      </w:rPr>
      <w:fldChar w:fldCharType="end"/>
    </w:r>
    <w:r>
      <w:rPr>
        <w:rStyle w:val="PageNumber"/>
        <w:bCs/>
        <w:sz w:val="18"/>
        <w:szCs w:val="18"/>
      </w:rPr>
      <w:tab/>
    </w:r>
    <w:r w:rsidRPr="00C47E63">
      <w:rPr>
        <w:b/>
        <w:sz w:val="18"/>
        <w:szCs w:val="18"/>
      </w:rPr>
      <w:t xml:space="preserve">FG QIT4N D1.4 (2021-11): </w:t>
    </w:r>
    <w:r w:rsidR="00FA11C5">
      <w:rPr>
        <w:b/>
        <w:sz w:val="18"/>
        <w:szCs w:val="18"/>
      </w:rPr>
      <w:t>S</w:t>
    </w:r>
    <w:r w:rsidR="00FA11C5" w:rsidRPr="00FA11C5">
      <w:rPr>
        <w:b/>
        <w:caps w:val="0"/>
        <w:sz w:val="18"/>
        <w:szCs w:val="18"/>
      </w:rPr>
      <w:t xml:space="preserve">tandardization outlook and technology maturity: </w:t>
    </w:r>
    <w:r w:rsidR="00FA11C5">
      <w:rPr>
        <w:b/>
        <w:caps w:val="0"/>
        <w:sz w:val="18"/>
        <w:szCs w:val="18"/>
      </w:rPr>
      <w:t>N</w:t>
    </w:r>
    <w:r w:rsidR="00FA11C5" w:rsidRPr="00FA11C5">
      <w:rPr>
        <w:b/>
        <w:caps w:val="0"/>
        <w:sz w:val="18"/>
        <w:szCs w:val="18"/>
      </w:rPr>
      <w:t xml:space="preserve">etwork aspects of </w:t>
    </w:r>
    <w:r w:rsidR="00FA11C5">
      <w:rPr>
        <w:b/>
        <w:caps w:val="0"/>
        <w:sz w:val="18"/>
        <w:szCs w:val="18"/>
      </w:rPr>
      <w:t>QIT</w:t>
    </w:r>
    <w:r w:rsidRPr="00C47E63">
      <w:rPr>
        <w:b/>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DA35" w14:textId="7DF9BE65" w:rsidR="00C47E63" w:rsidRPr="00C47E63" w:rsidRDefault="00C47E63" w:rsidP="00C47E63">
    <w:pPr>
      <w:pStyle w:val="Footer"/>
      <w:jc w:val="left"/>
      <w:rPr>
        <w:b/>
        <w:sz w:val="18"/>
        <w:szCs w:val="18"/>
      </w:rPr>
    </w:pPr>
    <w:r w:rsidRPr="00C47E63">
      <w:rPr>
        <w:b/>
        <w:sz w:val="18"/>
        <w:szCs w:val="18"/>
      </w:rPr>
      <w:t xml:space="preserve">FG QIT4N D1.4 (2021-11): </w:t>
    </w:r>
    <w:r w:rsidR="00FA11C5">
      <w:rPr>
        <w:b/>
        <w:sz w:val="18"/>
        <w:szCs w:val="18"/>
      </w:rPr>
      <w:t>S</w:t>
    </w:r>
    <w:r w:rsidR="00FA11C5" w:rsidRPr="00FA11C5">
      <w:rPr>
        <w:b/>
        <w:caps w:val="0"/>
        <w:sz w:val="18"/>
        <w:szCs w:val="18"/>
      </w:rPr>
      <w:t xml:space="preserve">tandardization outlook and technology maturity: </w:t>
    </w:r>
    <w:r w:rsidR="00FA11C5">
      <w:rPr>
        <w:b/>
        <w:caps w:val="0"/>
        <w:sz w:val="18"/>
        <w:szCs w:val="18"/>
      </w:rPr>
      <w:t>N</w:t>
    </w:r>
    <w:r w:rsidR="00FA11C5" w:rsidRPr="00FA11C5">
      <w:rPr>
        <w:b/>
        <w:caps w:val="0"/>
        <w:sz w:val="18"/>
        <w:szCs w:val="18"/>
      </w:rPr>
      <w:t xml:space="preserve">etwork aspects of </w:t>
    </w:r>
    <w:r w:rsidR="00FA11C5">
      <w:rPr>
        <w:b/>
        <w:caps w:val="0"/>
        <w:sz w:val="18"/>
        <w:szCs w:val="18"/>
      </w:rPr>
      <w:t>QIT</w:t>
    </w:r>
    <w:r w:rsidRPr="00C47E63">
      <w:rPr>
        <w:b/>
        <w:sz w:val="18"/>
        <w:szCs w:val="18"/>
      </w:rPr>
      <w:tab/>
    </w:r>
    <w:r w:rsidRPr="00C47E63">
      <w:rPr>
        <w:rStyle w:val="PageNumber"/>
        <w:bCs/>
        <w:sz w:val="18"/>
        <w:szCs w:val="18"/>
      </w:rPr>
      <w:fldChar w:fldCharType="begin"/>
    </w:r>
    <w:r w:rsidRPr="00C47E63">
      <w:rPr>
        <w:rStyle w:val="PageNumber"/>
        <w:bCs/>
        <w:sz w:val="18"/>
        <w:szCs w:val="18"/>
      </w:rPr>
      <w:instrText xml:space="preserve"> PAGE </w:instrText>
    </w:r>
    <w:r w:rsidRPr="00C47E63">
      <w:rPr>
        <w:rStyle w:val="PageNumber"/>
        <w:bCs/>
        <w:sz w:val="18"/>
        <w:szCs w:val="18"/>
      </w:rPr>
      <w:fldChar w:fldCharType="separate"/>
    </w:r>
    <w:r w:rsidRPr="00C47E63">
      <w:rPr>
        <w:rStyle w:val="PageNumber"/>
        <w:bCs/>
        <w:sz w:val="18"/>
        <w:szCs w:val="18"/>
      </w:rPr>
      <w:t>4</w:t>
    </w:r>
    <w:r w:rsidRPr="00C47E63">
      <w:rPr>
        <w:rStyle w:val="PageNumber"/>
        <w:b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A2B5" w14:textId="77777777" w:rsidR="00E02690" w:rsidRPr="00B22DA4" w:rsidRDefault="00E02690"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49A3" w14:textId="77777777" w:rsidR="00415940" w:rsidRDefault="00415940">
      <w:r>
        <w:separator/>
      </w:r>
    </w:p>
  </w:footnote>
  <w:footnote w:type="continuationSeparator" w:id="0">
    <w:p w14:paraId="7992A132" w14:textId="77777777" w:rsidR="00415940" w:rsidRDefault="00415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4719" w14:textId="77777777" w:rsidR="00FD181F" w:rsidRDefault="00FD181F">
    <w:pPr>
      <w:pStyle w:val="Header"/>
    </w:pPr>
    <w:r>
      <w:rPr>
        <w:noProof/>
      </w:rPr>
      <w:drawing>
        <wp:anchor distT="0" distB="0" distL="114300" distR="114300" simplePos="0" relativeHeight="251660288" behindDoc="0" locked="0" layoutInCell="1" allowOverlap="1" wp14:anchorId="4B559F1E" wp14:editId="2EC618AB">
          <wp:simplePos x="0" y="0"/>
          <wp:positionH relativeFrom="column">
            <wp:posOffset>-762000</wp:posOffset>
          </wp:positionH>
          <wp:positionV relativeFrom="paragraph">
            <wp:posOffset>-492760</wp:posOffset>
          </wp:positionV>
          <wp:extent cx="1569720" cy="10771505"/>
          <wp:effectExtent l="0" t="0" r="0" b="0"/>
          <wp:wrapNone/>
          <wp:docPr id="6" name="Picture 6"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AD67" w14:textId="77777777" w:rsidR="00E02690" w:rsidRDefault="00E02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0E9D" w14:textId="77777777" w:rsidR="00E02690" w:rsidRPr="00B22DA4" w:rsidRDefault="00E02690" w:rsidP="00A9283F">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3B5B" w14:textId="77777777" w:rsidR="00E02690" w:rsidRPr="00B22DA4" w:rsidRDefault="00E02690" w:rsidP="00B22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EC7"/>
    <w:multiLevelType w:val="hybridMultilevel"/>
    <w:tmpl w:val="2A56B0F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57D43DA"/>
    <w:multiLevelType w:val="hybridMultilevel"/>
    <w:tmpl w:val="85685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50657B"/>
    <w:multiLevelType w:val="hybridMultilevel"/>
    <w:tmpl w:val="B746A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37246"/>
    <w:multiLevelType w:val="multilevel"/>
    <w:tmpl w:val="92FA114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6F013ABE"/>
    <w:multiLevelType w:val="multilevel"/>
    <w:tmpl w:val="73B66966"/>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792"/>
        </w:tabs>
        <w:ind w:left="792" w:hanging="792"/>
      </w:pPr>
      <w:rPr>
        <w:rFonts w:hint="default"/>
      </w:rPr>
    </w:lvl>
    <w:lvl w:ilvl="5">
      <w:start w:val="1"/>
      <w:numFmt w:val="decimal"/>
      <w:lvlText w:val="%1.%2.%3.%4.%5.%6"/>
      <w:lvlJc w:val="left"/>
      <w:pPr>
        <w:tabs>
          <w:tab w:val="num" w:pos="792"/>
        </w:tabs>
        <w:ind w:left="792" w:hanging="792"/>
      </w:pPr>
      <w:rPr>
        <w:rFonts w:hint="default"/>
      </w:rPr>
    </w:lvl>
    <w:lvl w:ilvl="6">
      <w:start w:val="1"/>
      <w:numFmt w:val="decimal"/>
      <w:lvlText w:val="%1.%2.%3.%4.%5.%6.%7"/>
      <w:lvlJc w:val="left"/>
      <w:pPr>
        <w:tabs>
          <w:tab w:val="num" w:pos="792"/>
        </w:tabs>
        <w:ind w:left="792" w:hanging="792"/>
      </w:pPr>
      <w:rPr>
        <w:rFonts w:hint="default"/>
      </w:rPr>
    </w:lvl>
    <w:lvl w:ilvl="7">
      <w:start w:val="1"/>
      <w:numFmt w:val="decimal"/>
      <w:lvlText w:val="%1.%2.%3.%4.%5.%6.%7.%8"/>
      <w:lvlJc w:val="left"/>
      <w:pPr>
        <w:tabs>
          <w:tab w:val="num" w:pos="792"/>
        </w:tabs>
        <w:ind w:left="792" w:hanging="792"/>
      </w:pPr>
      <w:rPr>
        <w:rFonts w:hint="default"/>
      </w:rPr>
    </w:lvl>
    <w:lvl w:ilvl="8">
      <w:start w:val="1"/>
      <w:numFmt w:val="decimal"/>
      <w:lvlText w:val="%1.%2.%3.%4.%5.%6.%7.%8.%9"/>
      <w:lvlJc w:val="left"/>
      <w:pPr>
        <w:tabs>
          <w:tab w:val="num" w:pos="792"/>
        </w:tabs>
        <w:ind w:left="792" w:hanging="792"/>
      </w:pPr>
      <w:rPr>
        <w:rFonts w:hint="default"/>
      </w:rPr>
    </w:lvl>
  </w:abstractNum>
  <w:abstractNum w:abstractNumId="5" w15:restartNumberingAfterBreak="0">
    <w:nsid w:val="71E831B9"/>
    <w:multiLevelType w:val="hybridMultilevel"/>
    <w:tmpl w:val="A17A7022"/>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78407716"/>
    <w:multiLevelType w:val="hybridMultilevel"/>
    <w:tmpl w:val="31D2AC2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92"/>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CB"/>
    <w:rsid w:val="00003CAA"/>
    <w:rsid w:val="00004A38"/>
    <w:rsid w:val="00006FD8"/>
    <w:rsid w:val="00007F4C"/>
    <w:rsid w:val="0003282B"/>
    <w:rsid w:val="00067382"/>
    <w:rsid w:val="00081075"/>
    <w:rsid w:val="00087100"/>
    <w:rsid w:val="000B48B5"/>
    <w:rsid w:val="000C5AFB"/>
    <w:rsid w:val="000D5811"/>
    <w:rsid w:val="0010092D"/>
    <w:rsid w:val="001010EC"/>
    <w:rsid w:val="00110578"/>
    <w:rsid w:val="00115522"/>
    <w:rsid w:val="00122352"/>
    <w:rsid w:val="00127CDE"/>
    <w:rsid w:val="00133E4A"/>
    <w:rsid w:val="00146A98"/>
    <w:rsid w:val="00152C27"/>
    <w:rsid w:val="00161111"/>
    <w:rsid w:val="00165A78"/>
    <w:rsid w:val="00176A25"/>
    <w:rsid w:val="00180510"/>
    <w:rsid w:val="00190A2B"/>
    <w:rsid w:val="00194D55"/>
    <w:rsid w:val="001C1902"/>
    <w:rsid w:val="001C219B"/>
    <w:rsid w:val="001D4793"/>
    <w:rsid w:val="001D72F3"/>
    <w:rsid w:val="001E0A1C"/>
    <w:rsid w:val="00216074"/>
    <w:rsid w:val="002240A7"/>
    <w:rsid w:val="002378FD"/>
    <w:rsid w:val="002506D1"/>
    <w:rsid w:val="002526CF"/>
    <w:rsid w:val="002701D8"/>
    <w:rsid w:val="00283488"/>
    <w:rsid w:val="0029185B"/>
    <w:rsid w:val="002A02DD"/>
    <w:rsid w:val="002A45A6"/>
    <w:rsid w:val="002B0E11"/>
    <w:rsid w:val="002C1A6F"/>
    <w:rsid w:val="002C67BB"/>
    <w:rsid w:val="002C6E29"/>
    <w:rsid w:val="002C73B6"/>
    <w:rsid w:val="002D323F"/>
    <w:rsid w:val="002D41EB"/>
    <w:rsid w:val="00300621"/>
    <w:rsid w:val="0030222D"/>
    <w:rsid w:val="003076FB"/>
    <w:rsid w:val="00320C88"/>
    <w:rsid w:val="003233ED"/>
    <w:rsid w:val="003349E0"/>
    <w:rsid w:val="003406E4"/>
    <w:rsid w:val="003451E4"/>
    <w:rsid w:val="00355736"/>
    <w:rsid w:val="0036764D"/>
    <w:rsid w:val="0037771B"/>
    <w:rsid w:val="00381067"/>
    <w:rsid w:val="003859FC"/>
    <w:rsid w:val="0039067C"/>
    <w:rsid w:val="003A4716"/>
    <w:rsid w:val="003B5C40"/>
    <w:rsid w:val="003B72FA"/>
    <w:rsid w:val="003D6ABF"/>
    <w:rsid w:val="003E4AF9"/>
    <w:rsid w:val="003F03EC"/>
    <w:rsid w:val="003F0EB5"/>
    <w:rsid w:val="0040627C"/>
    <w:rsid w:val="00412492"/>
    <w:rsid w:val="00415940"/>
    <w:rsid w:val="0041685E"/>
    <w:rsid w:val="004629B3"/>
    <w:rsid w:val="00467172"/>
    <w:rsid w:val="00467B14"/>
    <w:rsid w:val="0048410D"/>
    <w:rsid w:val="00492BA3"/>
    <w:rsid w:val="004963DB"/>
    <w:rsid w:val="004A02A2"/>
    <w:rsid w:val="004B39E2"/>
    <w:rsid w:val="004B5462"/>
    <w:rsid w:val="004B7371"/>
    <w:rsid w:val="004C062A"/>
    <w:rsid w:val="004C46CD"/>
    <w:rsid w:val="00501176"/>
    <w:rsid w:val="00501B49"/>
    <w:rsid w:val="00527463"/>
    <w:rsid w:val="00531D8B"/>
    <w:rsid w:val="0057729F"/>
    <w:rsid w:val="0058659A"/>
    <w:rsid w:val="005C415F"/>
    <w:rsid w:val="005C712C"/>
    <w:rsid w:val="005D7A09"/>
    <w:rsid w:val="00600915"/>
    <w:rsid w:val="0060241A"/>
    <w:rsid w:val="00611014"/>
    <w:rsid w:val="00614441"/>
    <w:rsid w:val="006145B8"/>
    <w:rsid w:val="00625684"/>
    <w:rsid w:val="00633928"/>
    <w:rsid w:val="0064792C"/>
    <w:rsid w:val="00651EBA"/>
    <w:rsid w:val="006547E3"/>
    <w:rsid w:val="00665E46"/>
    <w:rsid w:val="006727AE"/>
    <w:rsid w:val="00675621"/>
    <w:rsid w:val="006935CA"/>
    <w:rsid w:val="006A778F"/>
    <w:rsid w:val="006B0ED5"/>
    <w:rsid w:val="006D52A7"/>
    <w:rsid w:val="006D6C01"/>
    <w:rsid w:val="00721C92"/>
    <w:rsid w:val="00737170"/>
    <w:rsid w:val="00747D5E"/>
    <w:rsid w:val="00750177"/>
    <w:rsid w:val="00765C09"/>
    <w:rsid w:val="0077032A"/>
    <w:rsid w:val="00785779"/>
    <w:rsid w:val="0078796F"/>
    <w:rsid w:val="007F417E"/>
    <w:rsid w:val="007F4F25"/>
    <w:rsid w:val="0083023F"/>
    <w:rsid w:val="008311BF"/>
    <w:rsid w:val="0084023B"/>
    <w:rsid w:val="00844F16"/>
    <w:rsid w:val="008703D5"/>
    <w:rsid w:val="00875463"/>
    <w:rsid w:val="00893C0F"/>
    <w:rsid w:val="008A1AA1"/>
    <w:rsid w:val="008A693C"/>
    <w:rsid w:val="008B001E"/>
    <w:rsid w:val="008C2F1C"/>
    <w:rsid w:val="008D24BE"/>
    <w:rsid w:val="008E2B92"/>
    <w:rsid w:val="008E6D55"/>
    <w:rsid w:val="00907B6B"/>
    <w:rsid w:val="00911869"/>
    <w:rsid w:val="0095330F"/>
    <w:rsid w:val="00960647"/>
    <w:rsid w:val="00962424"/>
    <w:rsid w:val="00962725"/>
    <w:rsid w:val="00962987"/>
    <w:rsid w:val="009635CB"/>
    <w:rsid w:val="00974EA3"/>
    <w:rsid w:val="00981C2C"/>
    <w:rsid w:val="009A4898"/>
    <w:rsid w:val="009A4F98"/>
    <w:rsid w:val="009C01D1"/>
    <w:rsid w:val="009C14D3"/>
    <w:rsid w:val="009C46D8"/>
    <w:rsid w:val="009D26EB"/>
    <w:rsid w:val="009E317C"/>
    <w:rsid w:val="00A00FCA"/>
    <w:rsid w:val="00A01C5E"/>
    <w:rsid w:val="00A36E26"/>
    <w:rsid w:val="00A7792D"/>
    <w:rsid w:val="00A90B48"/>
    <w:rsid w:val="00A92588"/>
    <w:rsid w:val="00A9283F"/>
    <w:rsid w:val="00A937A3"/>
    <w:rsid w:val="00A93B35"/>
    <w:rsid w:val="00AA4884"/>
    <w:rsid w:val="00AB3760"/>
    <w:rsid w:val="00AF0764"/>
    <w:rsid w:val="00AF3A7B"/>
    <w:rsid w:val="00B22DA4"/>
    <w:rsid w:val="00B51CCD"/>
    <w:rsid w:val="00B6296C"/>
    <w:rsid w:val="00B639E4"/>
    <w:rsid w:val="00B713E6"/>
    <w:rsid w:val="00B847E7"/>
    <w:rsid w:val="00B87323"/>
    <w:rsid w:val="00B93849"/>
    <w:rsid w:val="00B9389B"/>
    <w:rsid w:val="00B9677B"/>
    <w:rsid w:val="00BB2C22"/>
    <w:rsid w:val="00BB7441"/>
    <w:rsid w:val="00BD6371"/>
    <w:rsid w:val="00BE631B"/>
    <w:rsid w:val="00BF6782"/>
    <w:rsid w:val="00C05DA3"/>
    <w:rsid w:val="00C066A8"/>
    <w:rsid w:val="00C1062C"/>
    <w:rsid w:val="00C26533"/>
    <w:rsid w:val="00C42501"/>
    <w:rsid w:val="00C45A60"/>
    <w:rsid w:val="00C47E63"/>
    <w:rsid w:val="00C519A6"/>
    <w:rsid w:val="00C80C5B"/>
    <w:rsid w:val="00C932B1"/>
    <w:rsid w:val="00CA3F8B"/>
    <w:rsid w:val="00CA60B6"/>
    <w:rsid w:val="00CA6A4B"/>
    <w:rsid w:val="00CA7EB6"/>
    <w:rsid w:val="00CE189D"/>
    <w:rsid w:val="00CE510C"/>
    <w:rsid w:val="00CF2AA2"/>
    <w:rsid w:val="00D27368"/>
    <w:rsid w:val="00D339C5"/>
    <w:rsid w:val="00D46926"/>
    <w:rsid w:val="00D509D0"/>
    <w:rsid w:val="00D8513D"/>
    <w:rsid w:val="00D86D14"/>
    <w:rsid w:val="00D9069A"/>
    <w:rsid w:val="00DE26FE"/>
    <w:rsid w:val="00DF41E8"/>
    <w:rsid w:val="00E02690"/>
    <w:rsid w:val="00E077AB"/>
    <w:rsid w:val="00E37350"/>
    <w:rsid w:val="00E41D57"/>
    <w:rsid w:val="00E46AC6"/>
    <w:rsid w:val="00E51A19"/>
    <w:rsid w:val="00E77DB9"/>
    <w:rsid w:val="00E841E3"/>
    <w:rsid w:val="00EB3A37"/>
    <w:rsid w:val="00EC2C0C"/>
    <w:rsid w:val="00EE349E"/>
    <w:rsid w:val="00F014D0"/>
    <w:rsid w:val="00F02868"/>
    <w:rsid w:val="00F040F0"/>
    <w:rsid w:val="00F05ED5"/>
    <w:rsid w:val="00F07D06"/>
    <w:rsid w:val="00F14A92"/>
    <w:rsid w:val="00F402D6"/>
    <w:rsid w:val="00F62345"/>
    <w:rsid w:val="00F75067"/>
    <w:rsid w:val="00F91456"/>
    <w:rsid w:val="00FA0911"/>
    <w:rsid w:val="00FA11C5"/>
    <w:rsid w:val="00FC1669"/>
    <w:rsid w:val="00FC331F"/>
    <w:rsid w:val="00FC51E5"/>
    <w:rsid w:val="00FD181F"/>
    <w:rsid w:val="00FD7800"/>
    <w:rsid w:val="00FE58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978C60"/>
  <w15:docId w15:val="{8263C57A-415E-4538-8C9E-D3A9148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C92"/>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721C92"/>
    <w:pPr>
      <w:keepNext/>
      <w:keepLines/>
      <w:spacing w:before="360"/>
      <w:ind w:left="794" w:hanging="794"/>
      <w:jc w:val="left"/>
      <w:outlineLvl w:val="0"/>
    </w:pPr>
    <w:rPr>
      <w:b/>
    </w:rPr>
  </w:style>
  <w:style w:type="paragraph" w:styleId="Heading2">
    <w:name w:val="heading 2"/>
    <w:basedOn w:val="Heading1"/>
    <w:next w:val="Normal"/>
    <w:qFormat/>
    <w:rsid w:val="00721C92"/>
    <w:pPr>
      <w:spacing w:before="240"/>
      <w:outlineLvl w:val="1"/>
    </w:pPr>
  </w:style>
  <w:style w:type="paragraph" w:styleId="Heading3">
    <w:name w:val="heading 3"/>
    <w:basedOn w:val="Heading1"/>
    <w:next w:val="Normal"/>
    <w:qFormat/>
    <w:rsid w:val="00721C92"/>
    <w:pPr>
      <w:spacing w:before="160"/>
      <w:outlineLvl w:val="2"/>
    </w:pPr>
  </w:style>
  <w:style w:type="paragraph" w:styleId="Heading4">
    <w:name w:val="heading 4"/>
    <w:basedOn w:val="Heading3"/>
    <w:next w:val="Normal"/>
    <w:qFormat/>
    <w:rsid w:val="00721C92"/>
    <w:pPr>
      <w:tabs>
        <w:tab w:val="clear" w:pos="794"/>
        <w:tab w:val="left" w:pos="1021"/>
      </w:tabs>
      <w:ind w:left="1021" w:hanging="1021"/>
      <w:outlineLvl w:val="3"/>
    </w:pPr>
  </w:style>
  <w:style w:type="paragraph" w:styleId="Heading5">
    <w:name w:val="heading 5"/>
    <w:basedOn w:val="Heading4"/>
    <w:next w:val="Normal"/>
    <w:qFormat/>
    <w:rsid w:val="00721C92"/>
    <w:pPr>
      <w:outlineLvl w:val="4"/>
    </w:pPr>
  </w:style>
  <w:style w:type="paragraph" w:styleId="Heading6">
    <w:name w:val="heading 6"/>
    <w:basedOn w:val="Heading4"/>
    <w:next w:val="Normal"/>
    <w:qFormat/>
    <w:rsid w:val="00721C92"/>
    <w:pPr>
      <w:tabs>
        <w:tab w:val="clear" w:pos="1021"/>
        <w:tab w:val="clear" w:pos="1191"/>
      </w:tabs>
      <w:ind w:left="1588" w:hanging="1588"/>
      <w:outlineLvl w:val="5"/>
    </w:pPr>
  </w:style>
  <w:style w:type="paragraph" w:styleId="Heading7">
    <w:name w:val="heading 7"/>
    <w:basedOn w:val="Heading6"/>
    <w:next w:val="Normal"/>
    <w:qFormat/>
    <w:rsid w:val="00721C92"/>
    <w:pPr>
      <w:outlineLvl w:val="6"/>
    </w:pPr>
  </w:style>
  <w:style w:type="paragraph" w:styleId="Heading8">
    <w:name w:val="heading 8"/>
    <w:basedOn w:val="Heading6"/>
    <w:next w:val="Normal"/>
    <w:qFormat/>
    <w:rsid w:val="00721C92"/>
    <w:pPr>
      <w:outlineLvl w:val="7"/>
    </w:pPr>
  </w:style>
  <w:style w:type="paragraph" w:styleId="Heading9">
    <w:name w:val="heading 9"/>
    <w:basedOn w:val="Heading6"/>
    <w:next w:val="Normal"/>
    <w:qFormat/>
    <w:rsid w:val="00721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1C92"/>
    <w:pPr>
      <w:tabs>
        <w:tab w:val="clear" w:pos="794"/>
        <w:tab w:val="clear" w:pos="1191"/>
        <w:tab w:val="clear" w:pos="1588"/>
        <w:tab w:val="clear" w:pos="1985"/>
      </w:tabs>
      <w:spacing w:before="0"/>
      <w:jc w:val="center"/>
    </w:pPr>
    <w:rPr>
      <w:sz w:val="18"/>
    </w:rPr>
  </w:style>
  <w:style w:type="paragraph" w:styleId="Footer">
    <w:name w:val="footer"/>
    <w:basedOn w:val="Normal"/>
    <w:rsid w:val="00721C92"/>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721C92"/>
  </w:style>
  <w:style w:type="paragraph" w:customStyle="1" w:styleId="ASN1">
    <w:name w:val="ASN.1"/>
    <w:rsid w:val="00721C92"/>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721C9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721C92"/>
    <w:pPr>
      <w:spacing w:before="80"/>
      <w:ind w:left="1531" w:hanging="851"/>
    </w:pPr>
  </w:style>
  <w:style w:type="paragraph" w:styleId="TOC3">
    <w:name w:val="toc 3"/>
    <w:basedOn w:val="TOC2"/>
    <w:rsid w:val="00721C92"/>
  </w:style>
  <w:style w:type="character" w:styleId="Hyperlink">
    <w:name w:val="Hyperlink"/>
    <w:basedOn w:val="DefaultParagraphFont"/>
    <w:rsid w:val="00721C92"/>
    <w:rPr>
      <w:color w:val="0000FF"/>
      <w:u w:val="single"/>
    </w:rPr>
  </w:style>
  <w:style w:type="paragraph" w:styleId="CommentText">
    <w:name w:val="annotation text"/>
    <w:basedOn w:val="Normal"/>
    <w:link w:val="CommentTextChar"/>
    <w:rsid w:val="00721C9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721C92"/>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semiHidden/>
    <w:rsid w:val="00721C92"/>
    <w:rPr>
      <w:sz w:val="16"/>
      <w:szCs w:val="16"/>
    </w:rPr>
  </w:style>
  <w:style w:type="paragraph" w:customStyle="1" w:styleId="Normalaftertitle0">
    <w:name w:val="Normal_after_title"/>
    <w:basedOn w:val="Normal"/>
    <w:next w:val="Normal"/>
    <w:rsid w:val="00721C92"/>
    <w:pPr>
      <w:spacing w:before="360"/>
    </w:pPr>
  </w:style>
  <w:style w:type="paragraph" w:customStyle="1" w:styleId="Rectitle">
    <w:name w:val="Rec_title"/>
    <w:basedOn w:val="Normal"/>
    <w:next w:val="Normalaftertitle0"/>
    <w:rsid w:val="00721C92"/>
    <w:pPr>
      <w:keepNext/>
      <w:keepLines/>
      <w:spacing w:before="360"/>
      <w:jc w:val="center"/>
    </w:pPr>
    <w:rPr>
      <w:b/>
      <w:sz w:val="28"/>
    </w:rPr>
  </w:style>
  <w:style w:type="paragraph" w:customStyle="1" w:styleId="RecNo">
    <w:name w:val="Rec_No"/>
    <w:basedOn w:val="Normal"/>
    <w:next w:val="Rectitle"/>
    <w:rsid w:val="00721C92"/>
    <w:pPr>
      <w:keepNext/>
      <w:keepLines/>
      <w:spacing w:before="0"/>
      <w:jc w:val="left"/>
    </w:pPr>
    <w:rPr>
      <w:b/>
      <w:sz w:val="28"/>
    </w:rPr>
  </w:style>
  <w:style w:type="paragraph" w:styleId="TOC4">
    <w:name w:val="toc 4"/>
    <w:basedOn w:val="TOC3"/>
    <w:semiHidden/>
    <w:rsid w:val="00721C92"/>
  </w:style>
  <w:style w:type="paragraph" w:styleId="TOC5">
    <w:name w:val="toc 5"/>
    <w:basedOn w:val="TOC4"/>
    <w:semiHidden/>
    <w:rsid w:val="00721C92"/>
  </w:style>
  <w:style w:type="paragraph" w:styleId="TOC6">
    <w:name w:val="toc 6"/>
    <w:basedOn w:val="TOC4"/>
    <w:semiHidden/>
    <w:rsid w:val="00721C92"/>
  </w:style>
  <w:style w:type="paragraph" w:styleId="TOC7">
    <w:name w:val="toc 7"/>
    <w:basedOn w:val="TOC4"/>
    <w:semiHidden/>
    <w:rsid w:val="00721C92"/>
  </w:style>
  <w:style w:type="paragraph" w:styleId="TOC8">
    <w:name w:val="toc 8"/>
    <w:basedOn w:val="TOC4"/>
    <w:semiHidden/>
    <w:rsid w:val="00721C92"/>
  </w:style>
  <w:style w:type="paragraph" w:styleId="TOC9">
    <w:name w:val="toc 9"/>
    <w:basedOn w:val="TOC3"/>
    <w:semiHidden/>
    <w:rsid w:val="00721C92"/>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721C92"/>
    <w:pPr>
      <w:spacing w:before="0"/>
    </w:pPr>
    <w:rPr>
      <w:rFonts w:ascii="Tahoma" w:hAnsi="Tahoma" w:cs="Tahoma"/>
      <w:sz w:val="16"/>
      <w:szCs w:val="16"/>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721C92"/>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721C92"/>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721C92"/>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721C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21C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721C92"/>
    <w:pPr>
      <w:keepNext/>
      <w:keepLines/>
      <w:spacing w:before="240" w:after="120"/>
      <w:jc w:val="center"/>
    </w:pPr>
  </w:style>
  <w:style w:type="paragraph" w:customStyle="1" w:styleId="toc0">
    <w:name w:val="toc 0"/>
    <w:basedOn w:val="Normal"/>
    <w:next w:val="TOC1"/>
    <w:rsid w:val="00721C92"/>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rsid w:val="0060241A"/>
    <w:pPr>
      <w:spacing w:after="120"/>
      <w:jc w:val="center"/>
    </w:pPr>
    <w:rPr>
      <w:b/>
      <w:bCs/>
      <w:szCs w:val="24"/>
    </w:rPr>
  </w:style>
  <w:style w:type="paragraph" w:customStyle="1" w:styleId="Tablelegend">
    <w:name w:val="Table_legend"/>
    <w:basedOn w:val="Normal"/>
    <w:rsid w:val="00721C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tabs>
        <w:tab w:val="clear" w:pos="794"/>
        <w:tab w:val="left" w:pos="810"/>
      </w:tabs>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BB2C22"/>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customStyle="1" w:styleId="Docnumber">
    <w:name w:val="Docnumber"/>
    <w:basedOn w:val="Normal"/>
    <w:link w:val="DocnumberChar"/>
    <w:qFormat/>
    <w:rsid w:val="00C05DA3"/>
    <w:pPr>
      <w:jc w:val="right"/>
    </w:pPr>
    <w:rPr>
      <w:b/>
      <w:bCs/>
      <w:sz w:val="40"/>
    </w:rPr>
  </w:style>
  <w:style w:type="character" w:customStyle="1" w:styleId="DocnumberChar">
    <w:name w:val="Docnumber Char"/>
    <w:basedOn w:val="DefaultParagraphFont"/>
    <w:link w:val="Docnumber"/>
    <w:qFormat/>
    <w:rsid w:val="00C05DA3"/>
    <w:rPr>
      <w:rFonts w:eastAsia="Times New Roman"/>
      <w:b/>
      <w:bCs/>
      <w:sz w:val="40"/>
      <w:lang w:val="en-GB" w:eastAsia="en-US"/>
    </w:rPr>
  </w:style>
  <w:style w:type="character" w:styleId="PlaceholderText">
    <w:name w:val="Placeholder Text"/>
    <w:basedOn w:val="DefaultParagraphFont"/>
    <w:uiPriority w:val="99"/>
    <w:semiHidden/>
    <w:rsid w:val="00C05DA3"/>
    <w:rPr>
      <w:rFonts w:ascii="Times New Roman" w:hAnsi="Times New Roman"/>
      <w:color w:val="808080"/>
    </w:rPr>
  </w:style>
  <w:style w:type="paragraph" w:styleId="ListParagraph">
    <w:name w:val="List Paragraph"/>
    <w:basedOn w:val="Normal"/>
    <w:link w:val="ListParagraphChar"/>
    <w:uiPriority w:val="34"/>
    <w:qFormat/>
    <w:rsid w:val="00C05DA3"/>
    <w:pPr>
      <w:spacing w:before="0" w:after="160" w:line="259"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link w:val="ListParagraph"/>
    <w:uiPriority w:val="34"/>
    <w:qFormat/>
    <w:locked/>
    <w:rsid w:val="00C05DA3"/>
    <w:rPr>
      <w:rFonts w:asciiTheme="minorHAnsi" w:eastAsiaTheme="minorEastAsia" w:hAnsiTheme="minorHAnsi" w:cstheme="minorBidi"/>
      <w:sz w:val="22"/>
      <w:szCs w:val="22"/>
      <w:lang w:val="en-GB" w:eastAsia="en-US"/>
    </w:rPr>
  </w:style>
  <w:style w:type="character" w:customStyle="1" w:styleId="CommentTextChar">
    <w:name w:val="Comment Text Char"/>
    <w:basedOn w:val="DefaultParagraphFont"/>
    <w:link w:val="CommentText"/>
    <w:rsid w:val="006A778F"/>
    <w:rPr>
      <w:rFonts w:eastAsia="Times New Roman"/>
      <w:lang w:eastAsia="en-US"/>
    </w:rPr>
  </w:style>
  <w:style w:type="character" w:customStyle="1" w:styleId="UnresolvedMention1">
    <w:name w:val="Unresolved Mention1"/>
    <w:basedOn w:val="DefaultParagraphFont"/>
    <w:uiPriority w:val="99"/>
    <w:semiHidden/>
    <w:unhideWhenUsed/>
    <w:rsid w:val="0041685E"/>
    <w:rPr>
      <w:color w:val="605E5C"/>
      <w:shd w:val="clear" w:color="auto" w:fill="E1DFDD"/>
    </w:rPr>
  </w:style>
  <w:style w:type="paragraph" w:styleId="FootnoteText">
    <w:name w:val="footnote text"/>
    <w:basedOn w:val="Note"/>
    <w:link w:val="FootnoteTextChar"/>
    <w:semiHidden/>
    <w:rsid w:val="00721C92"/>
    <w:pPr>
      <w:keepLines/>
      <w:tabs>
        <w:tab w:val="left" w:pos="255"/>
      </w:tabs>
      <w:ind w:left="255" w:hanging="255"/>
    </w:pPr>
  </w:style>
  <w:style w:type="character" w:customStyle="1" w:styleId="FootnoteTextChar">
    <w:name w:val="Footnote Text Char"/>
    <w:basedOn w:val="DefaultParagraphFont"/>
    <w:link w:val="FootnoteText"/>
    <w:semiHidden/>
    <w:rsid w:val="00EC2C0C"/>
    <w:rPr>
      <w:rFonts w:eastAsia="Times New Roman"/>
      <w:sz w:val="22"/>
      <w:lang w:val="en-GB" w:eastAsia="en-US"/>
    </w:rPr>
  </w:style>
  <w:style w:type="character" w:styleId="FootnoteReference">
    <w:name w:val="footnote reference"/>
    <w:basedOn w:val="DefaultParagraphFont"/>
    <w:semiHidden/>
    <w:rsid w:val="00721C92"/>
    <w:rPr>
      <w:position w:val="6"/>
      <w:sz w:val="18"/>
    </w:rPr>
  </w:style>
  <w:style w:type="table" w:customStyle="1" w:styleId="TableGrid1">
    <w:name w:val="Table Grid1"/>
    <w:basedOn w:val="TableNormal"/>
    <w:next w:val="TableGrid"/>
    <w:rsid w:val="00E77DB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7463"/>
    <w:rPr>
      <w:color w:val="605E5C"/>
      <w:shd w:val="clear" w:color="auto" w:fill="E1DFDD"/>
    </w:rPr>
  </w:style>
  <w:style w:type="paragraph" w:customStyle="1" w:styleId="AnnexNoTitle0">
    <w:name w:val="Annex_NoTitle"/>
    <w:basedOn w:val="Normal"/>
    <w:next w:val="Normalaftertitle0"/>
    <w:rsid w:val="00721C92"/>
    <w:pPr>
      <w:keepNext/>
      <w:keepLines/>
      <w:spacing w:before="720"/>
      <w:jc w:val="center"/>
      <w:outlineLvl w:val="0"/>
    </w:pPr>
    <w:rPr>
      <w:b/>
      <w:sz w:val="28"/>
    </w:rPr>
  </w:style>
  <w:style w:type="character" w:customStyle="1" w:styleId="Appdef">
    <w:name w:val="App_def"/>
    <w:basedOn w:val="DefaultParagraphFont"/>
    <w:rsid w:val="00721C92"/>
    <w:rPr>
      <w:rFonts w:ascii="Times New Roman" w:hAnsi="Times New Roman"/>
      <w:b/>
    </w:rPr>
  </w:style>
  <w:style w:type="character" w:customStyle="1" w:styleId="Appref">
    <w:name w:val="App_ref"/>
    <w:basedOn w:val="DefaultParagraphFont"/>
    <w:rsid w:val="00721C92"/>
  </w:style>
  <w:style w:type="paragraph" w:customStyle="1" w:styleId="AppendixNoTitle0">
    <w:name w:val="Appendix_NoTitle"/>
    <w:basedOn w:val="AnnexNoTitle0"/>
    <w:next w:val="Normalaftertitle0"/>
    <w:rsid w:val="00721C92"/>
  </w:style>
  <w:style w:type="character" w:customStyle="1" w:styleId="Artdef">
    <w:name w:val="Art_def"/>
    <w:basedOn w:val="DefaultParagraphFont"/>
    <w:rsid w:val="00721C92"/>
    <w:rPr>
      <w:rFonts w:ascii="Times New Roman" w:hAnsi="Times New Roman"/>
      <w:b/>
    </w:rPr>
  </w:style>
  <w:style w:type="paragraph" w:customStyle="1" w:styleId="Artheading">
    <w:name w:val="Art_heading"/>
    <w:basedOn w:val="Normal"/>
    <w:next w:val="Normalaftertitle0"/>
    <w:rsid w:val="00721C92"/>
    <w:pPr>
      <w:spacing w:before="480"/>
      <w:jc w:val="center"/>
    </w:pPr>
    <w:rPr>
      <w:b/>
      <w:sz w:val="28"/>
    </w:rPr>
  </w:style>
  <w:style w:type="paragraph" w:customStyle="1" w:styleId="ArtNo">
    <w:name w:val="Art_No"/>
    <w:basedOn w:val="Normal"/>
    <w:next w:val="Normal"/>
    <w:rsid w:val="00721C92"/>
    <w:pPr>
      <w:keepNext/>
      <w:keepLines/>
      <w:spacing w:before="480"/>
      <w:jc w:val="center"/>
    </w:pPr>
    <w:rPr>
      <w:caps/>
      <w:sz w:val="28"/>
    </w:rPr>
  </w:style>
  <w:style w:type="character" w:customStyle="1" w:styleId="Artref">
    <w:name w:val="Art_ref"/>
    <w:basedOn w:val="DefaultParagraphFont"/>
    <w:rsid w:val="00721C92"/>
  </w:style>
  <w:style w:type="paragraph" w:customStyle="1" w:styleId="Arttitle">
    <w:name w:val="Art_title"/>
    <w:basedOn w:val="Normal"/>
    <w:next w:val="Normalaftertitle0"/>
    <w:rsid w:val="00721C92"/>
    <w:pPr>
      <w:keepNext/>
      <w:keepLines/>
      <w:spacing w:before="240"/>
      <w:jc w:val="center"/>
    </w:pPr>
    <w:rPr>
      <w:b/>
      <w:sz w:val="28"/>
    </w:rPr>
  </w:style>
  <w:style w:type="character" w:customStyle="1" w:styleId="BalloonTextChar">
    <w:name w:val="Balloon Text Char"/>
    <w:basedOn w:val="DefaultParagraphFont"/>
    <w:link w:val="BalloonText"/>
    <w:rsid w:val="00721C92"/>
    <w:rPr>
      <w:rFonts w:ascii="Tahoma" w:eastAsia="Times New Roman" w:hAnsi="Tahoma" w:cs="Tahoma"/>
      <w:sz w:val="16"/>
      <w:szCs w:val="16"/>
      <w:lang w:val="en-GB" w:eastAsia="en-US"/>
    </w:rPr>
  </w:style>
  <w:style w:type="paragraph" w:customStyle="1" w:styleId="Call">
    <w:name w:val="Call"/>
    <w:basedOn w:val="Normal"/>
    <w:next w:val="Normal"/>
    <w:rsid w:val="00721C92"/>
    <w:pPr>
      <w:keepNext/>
      <w:keepLines/>
      <w:spacing w:before="160"/>
      <w:ind w:left="794"/>
      <w:jc w:val="left"/>
    </w:pPr>
    <w:rPr>
      <w:i/>
    </w:rPr>
  </w:style>
  <w:style w:type="paragraph" w:customStyle="1" w:styleId="ChapNo">
    <w:name w:val="Chap_No"/>
    <w:basedOn w:val="Normal"/>
    <w:next w:val="Normal"/>
    <w:rsid w:val="00721C92"/>
    <w:pPr>
      <w:keepNext/>
      <w:keepLines/>
      <w:spacing w:before="480"/>
      <w:jc w:val="center"/>
    </w:pPr>
    <w:rPr>
      <w:b/>
      <w:caps/>
      <w:sz w:val="28"/>
    </w:rPr>
  </w:style>
  <w:style w:type="paragraph" w:customStyle="1" w:styleId="Chaptitle">
    <w:name w:val="Chap_title"/>
    <w:basedOn w:val="Normal"/>
    <w:next w:val="Normalaftertitle0"/>
    <w:rsid w:val="00721C92"/>
    <w:pPr>
      <w:keepNext/>
      <w:keepLines/>
      <w:spacing w:before="240"/>
      <w:jc w:val="center"/>
    </w:pPr>
    <w:rPr>
      <w:b/>
      <w:sz w:val="28"/>
    </w:rPr>
  </w:style>
  <w:style w:type="paragraph" w:customStyle="1" w:styleId="enumlev1">
    <w:name w:val="enumlev1"/>
    <w:basedOn w:val="Normal"/>
    <w:rsid w:val="00721C92"/>
    <w:pPr>
      <w:spacing w:before="80"/>
      <w:ind w:left="794" w:hanging="794"/>
    </w:pPr>
  </w:style>
  <w:style w:type="paragraph" w:customStyle="1" w:styleId="enumlev2">
    <w:name w:val="enumlev2"/>
    <w:basedOn w:val="enumlev1"/>
    <w:rsid w:val="00721C92"/>
    <w:pPr>
      <w:ind w:left="1191" w:hanging="397"/>
    </w:pPr>
  </w:style>
  <w:style w:type="paragraph" w:customStyle="1" w:styleId="enumlev3">
    <w:name w:val="enumlev3"/>
    <w:basedOn w:val="enumlev2"/>
    <w:rsid w:val="00721C92"/>
    <w:pPr>
      <w:ind w:left="1588"/>
    </w:pPr>
  </w:style>
  <w:style w:type="paragraph" w:customStyle="1" w:styleId="Equationlegend">
    <w:name w:val="Equation_legend"/>
    <w:basedOn w:val="Normal"/>
    <w:rsid w:val="00721C92"/>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721C92"/>
    <w:pPr>
      <w:keepLines/>
      <w:spacing w:before="240" w:after="120"/>
      <w:jc w:val="center"/>
    </w:pPr>
    <w:rPr>
      <w:b/>
    </w:rPr>
  </w:style>
  <w:style w:type="paragraph" w:customStyle="1" w:styleId="Figurewithouttitle">
    <w:name w:val="Figure_without_title"/>
    <w:basedOn w:val="Normal"/>
    <w:next w:val="Normalaftertitle0"/>
    <w:rsid w:val="00721C92"/>
    <w:pPr>
      <w:keepLines/>
      <w:spacing w:before="240" w:after="120"/>
      <w:jc w:val="center"/>
    </w:pPr>
  </w:style>
  <w:style w:type="paragraph" w:customStyle="1" w:styleId="FirstFooter">
    <w:name w:val="FirstFooter"/>
    <w:basedOn w:val="Footer"/>
    <w:rsid w:val="00721C92"/>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721C92"/>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te">
    <w:name w:val="Note"/>
    <w:basedOn w:val="Normal"/>
    <w:rsid w:val="00721C92"/>
    <w:pPr>
      <w:spacing w:before="80"/>
    </w:pPr>
    <w:rPr>
      <w:sz w:val="22"/>
    </w:rPr>
  </w:style>
  <w:style w:type="paragraph" w:customStyle="1" w:styleId="Formal">
    <w:name w:val="Formal"/>
    <w:basedOn w:val="ASN1"/>
    <w:rsid w:val="00721C92"/>
    <w:rPr>
      <w:b w:val="0"/>
    </w:rPr>
  </w:style>
  <w:style w:type="paragraph" w:styleId="Index1">
    <w:name w:val="index 1"/>
    <w:basedOn w:val="Normal"/>
    <w:next w:val="Normal"/>
    <w:semiHidden/>
    <w:rsid w:val="00721C92"/>
    <w:pPr>
      <w:jc w:val="left"/>
    </w:pPr>
  </w:style>
  <w:style w:type="paragraph" w:styleId="Index2">
    <w:name w:val="index 2"/>
    <w:basedOn w:val="Normal"/>
    <w:next w:val="Normal"/>
    <w:semiHidden/>
    <w:rsid w:val="00721C92"/>
    <w:pPr>
      <w:ind w:left="284"/>
      <w:jc w:val="left"/>
    </w:pPr>
  </w:style>
  <w:style w:type="paragraph" w:styleId="Index3">
    <w:name w:val="index 3"/>
    <w:basedOn w:val="Normal"/>
    <w:next w:val="Normal"/>
    <w:semiHidden/>
    <w:rsid w:val="00721C92"/>
    <w:pPr>
      <w:ind w:left="567"/>
      <w:jc w:val="left"/>
    </w:pPr>
  </w:style>
  <w:style w:type="paragraph" w:customStyle="1" w:styleId="PartNo">
    <w:name w:val="Part_No"/>
    <w:basedOn w:val="Normal"/>
    <w:next w:val="Normal"/>
    <w:rsid w:val="00721C92"/>
    <w:pPr>
      <w:keepNext/>
      <w:keepLines/>
      <w:spacing w:before="480" w:after="80"/>
      <w:jc w:val="center"/>
    </w:pPr>
    <w:rPr>
      <w:caps/>
      <w:sz w:val="28"/>
    </w:rPr>
  </w:style>
  <w:style w:type="paragraph" w:customStyle="1" w:styleId="Partref">
    <w:name w:val="Part_ref"/>
    <w:basedOn w:val="Normal"/>
    <w:next w:val="Normal"/>
    <w:rsid w:val="00721C92"/>
    <w:pPr>
      <w:keepNext/>
      <w:keepLines/>
      <w:spacing w:before="280"/>
      <w:jc w:val="center"/>
    </w:pPr>
  </w:style>
  <w:style w:type="paragraph" w:customStyle="1" w:styleId="Parttitle">
    <w:name w:val="Part_title"/>
    <w:basedOn w:val="Normal"/>
    <w:next w:val="Normalaftertitle0"/>
    <w:rsid w:val="00721C92"/>
    <w:pPr>
      <w:keepNext/>
      <w:keepLines/>
      <w:spacing w:before="240" w:after="280"/>
      <w:jc w:val="center"/>
    </w:pPr>
    <w:rPr>
      <w:b/>
      <w:sz w:val="28"/>
    </w:rPr>
  </w:style>
  <w:style w:type="paragraph" w:customStyle="1" w:styleId="Recdate">
    <w:name w:val="Rec_date"/>
    <w:basedOn w:val="Normal"/>
    <w:next w:val="Normalaftertitle0"/>
    <w:rsid w:val="00721C9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721C92"/>
  </w:style>
  <w:style w:type="paragraph" w:customStyle="1" w:styleId="QuestionNo">
    <w:name w:val="Question_No"/>
    <w:basedOn w:val="RecNo"/>
    <w:next w:val="Normal"/>
    <w:rsid w:val="00721C92"/>
  </w:style>
  <w:style w:type="paragraph" w:customStyle="1" w:styleId="Recref">
    <w:name w:val="Rec_ref"/>
    <w:basedOn w:val="Normal"/>
    <w:next w:val="Recdate"/>
    <w:rsid w:val="00721C9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21C92"/>
  </w:style>
  <w:style w:type="paragraph" w:customStyle="1" w:styleId="Questiontitle">
    <w:name w:val="Question_title"/>
    <w:basedOn w:val="Rectitle"/>
    <w:next w:val="Questionref"/>
    <w:rsid w:val="00721C92"/>
  </w:style>
  <w:style w:type="paragraph" w:customStyle="1" w:styleId="Reftext">
    <w:name w:val="Ref_text"/>
    <w:basedOn w:val="Normal"/>
    <w:rsid w:val="00721C92"/>
    <w:pPr>
      <w:ind w:left="794" w:hanging="794"/>
      <w:jc w:val="left"/>
    </w:pPr>
  </w:style>
  <w:style w:type="paragraph" w:customStyle="1" w:styleId="Reftitle">
    <w:name w:val="Ref_title"/>
    <w:basedOn w:val="Normal"/>
    <w:next w:val="Reftext"/>
    <w:rsid w:val="00721C92"/>
    <w:pPr>
      <w:spacing w:before="480"/>
      <w:jc w:val="center"/>
    </w:pPr>
    <w:rPr>
      <w:b/>
    </w:rPr>
  </w:style>
  <w:style w:type="paragraph" w:customStyle="1" w:styleId="Repdate">
    <w:name w:val="Rep_date"/>
    <w:basedOn w:val="Recdate"/>
    <w:next w:val="Normalaftertitle0"/>
    <w:rsid w:val="00721C92"/>
  </w:style>
  <w:style w:type="paragraph" w:customStyle="1" w:styleId="RepNo">
    <w:name w:val="Rep_No"/>
    <w:basedOn w:val="RecNo"/>
    <w:next w:val="Normal"/>
    <w:rsid w:val="00721C92"/>
  </w:style>
  <w:style w:type="paragraph" w:customStyle="1" w:styleId="Repref">
    <w:name w:val="Rep_ref"/>
    <w:basedOn w:val="Recref"/>
    <w:next w:val="Repdate"/>
    <w:rsid w:val="00721C92"/>
  </w:style>
  <w:style w:type="paragraph" w:customStyle="1" w:styleId="Reptitle">
    <w:name w:val="Rep_title"/>
    <w:basedOn w:val="Rectitle"/>
    <w:next w:val="Repref"/>
    <w:rsid w:val="00721C92"/>
  </w:style>
  <w:style w:type="paragraph" w:customStyle="1" w:styleId="Resdate">
    <w:name w:val="Res_date"/>
    <w:basedOn w:val="Recdate"/>
    <w:next w:val="Normalaftertitle0"/>
    <w:rsid w:val="00721C92"/>
  </w:style>
  <w:style w:type="character" w:customStyle="1" w:styleId="Resdef">
    <w:name w:val="Res_def"/>
    <w:basedOn w:val="DefaultParagraphFont"/>
    <w:rsid w:val="00721C92"/>
    <w:rPr>
      <w:rFonts w:ascii="Times New Roman" w:hAnsi="Times New Roman"/>
      <w:b/>
    </w:rPr>
  </w:style>
  <w:style w:type="paragraph" w:customStyle="1" w:styleId="ResNo">
    <w:name w:val="Res_No"/>
    <w:basedOn w:val="RecNo"/>
    <w:next w:val="Normal"/>
    <w:rsid w:val="00721C92"/>
  </w:style>
  <w:style w:type="paragraph" w:customStyle="1" w:styleId="Resref">
    <w:name w:val="Res_ref"/>
    <w:basedOn w:val="Recref"/>
    <w:next w:val="Resdate"/>
    <w:rsid w:val="00721C92"/>
  </w:style>
  <w:style w:type="paragraph" w:customStyle="1" w:styleId="Restitle">
    <w:name w:val="Res_title"/>
    <w:basedOn w:val="Rectitle"/>
    <w:next w:val="Resref"/>
    <w:rsid w:val="00721C92"/>
  </w:style>
  <w:style w:type="paragraph" w:customStyle="1" w:styleId="Section1">
    <w:name w:val="Section_1"/>
    <w:basedOn w:val="Normal"/>
    <w:next w:val="Normal"/>
    <w:rsid w:val="00721C9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21C9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21C92"/>
    <w:pPr>
      <w:keepNext/>
      <w:keepLines/>
      <w:spacing w:before="480" w:after="80"/>
      <w:jc w:val="center"/>
    </w:pPr>
    <w:rPr>
      <w:caps/>
      <w:sz w:val="28"/>
    </w:rPr>
  </w:style>
  <w:style w:type="paragraph" w:customStyle="1" w:styleId="Sectiontitle">
    <w:name w:val="Section_title"/>
    <w:basedOn w:val="Normal"/>
    <w:next w:val="Normalaftertitle0"/>
    <w:rsid w:val="00721C92"/>
    <w:pPr>
      <w:keepNext/>
      <w:keepLines/>
      <w:spacing w:before="480" w:after="280"/>
      <w:jc w:val="center"/>
    </w:pPr>
    <w:rPr>
      <w:b/>
      <w:sz w:val="28"/>
    </w:rPr>
  </w:style>
  <w:style w:type="paragraph" w:customStyle="1" w:styleId="Source">
    <w:name w:val="Source"/>
    <w:basedOn w:val="Normal"/>
    <w:next w:val="Normalaftertitle0"/>
    <w:rsid w:val="00721C92"/>
    <w:pPr>
      <w:spacing w:before="840" w:after="200"/>
      <w:jc w:val="center"/>
    </w:pPr>
    <w:rPr>
      <w:b/>
      <w:sz w:val="28"/>
    </w:rPr>
  </w:style>
  <w:style w:type="paragraph" w:customStyle="1" w:styleId="SpecialFooter">
    <w:name w:val="Special Footer"/>
    <w:basedOn w:val="Footer"/>
    <w:rsid w:val="00721C9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721C92"/>
    <w:rPr>
      <w:b/>
      <w:color w:val="auto"/>
    </w:rPr>
  </w:style>
  <w:style w:type="paragraph" w:customStyle="1" w:styleId="TableNoTitle0">
    <w:name w:val="Table_NoTitle"/>
    <w:basedOn w:val="Normal"/>
    <w:next w:val="Tablehead"/>
    <w:rsid w:val="00721C92"/>
    <w:pPr>
      <w:keepNext/>
      <w:keepLines/>
      <w:spacing w:before="360" w:after="120"/>
      <w:jc w:val="center"/>
    </w:pPr>
    <w:rPr>
      <w:b/>
    </w:rPr>
  </w:style>
  <w:style w:type="paragraph" w:customStyle="1" w:styleId="Title1">
    <w:name w:val="Title 1"/>
    <w:basedOn w:val="Source"/>
    <w:next w:val="Normal"/>
    <w:rsid w:val="00721C9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21C92"/>
  </w:style>
  <w:style w:type="paragraph" w:customStyle="1" w:styleId="Title3">
    <w:name w:val="Title 3"/>
    <w:basedOn w:val="Title2"/>
    <w:next w:val="Normal"/>
    <w:rsid w:val="00721C92"/>
    <w:rPr>
      <w:caps w:val="0"/>
    </w:rPr>
  </w:style>
  <w:style w:type="paragraph" w:customStyle="1" w:styleId="Title4">
    <w:name w:val="Title 4"/>
    <w:basedOn w:val="Title3"/>
    <w:next w:val="Heading1"/>
    <w:rsid w:val="00721C9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36683">
      <w:bodyDiv w:val="1"/>
      <w:marLeft w:val="0"/>
      <w:marRight w:val="0"/>
      <w:marTop w:val="0"/>
      <w:marBottom w:val="0"/>
      <w:divBdr>
        <w:top w:val="none" w:sz="0" w:space="0" w:color="auto"/>
        <w:left w:val="none" w:sz="0" w:space="0" w:color="auto"/>
        <w:bottom w:val="none" w:sz="0" w:space="0" w:color="auto"/>
        <w:right w:val="none" w:sz="0" w:space="0" w:color="auto"/>
      </w:divBdr>
    </w:div>
    <w:div w:id="687870472">
      <w:bodyDiv w:val="1"/>
      <w:marLeft w:val="0"/>
      <w:marRight w:val="0"/>
      <w:marTop w:val="0"/>
      <w:marBottom w:val="0"/>
      <w:divBdr>
        <w:top w:val="none" w:sz="0" w:space="0" w:color="auto"/>
        <w:left w:val="none" w:sz="0" w:space="0" w:color="auto"/>
        <w:bottom w:val="none" w:sz="0" w:space="0" w:color="auto"/>
        <w:right w:val="none" w:sz="0" w:space="0" w:color="auto"/>
      </w:divBdr>
      <w:divsChild>
        <w:div w:id="318046850">
          <w:marLeft w:val="0"/>
          <w:marRight w:val="-17055"/>
          <w:marTop w:val="0"/>
          <w:marBottom w:val="0"/>
          <w:divBdr>
            <w:top w:val="none" w:sz="0" w:space="0" w:color="auto"/>
            <w:left w:val="none" w:sz="0" w:space="0" w:color="auto"/>
            <w:bottom w:val="none" w:sz="0" w:space="0" w:color="auto"/>
            <w:right w:val="none" w:sz="0" w:space="0" w:color="auto"/>
          </w:divBdr>
        </w:div>
        <w:div w:id="1553737775">
          <w:marLeft w:val="11647"/>
          <w:marRight w:val="-17055"/>
          <w:marTop w:val="0"/>
          <w:marBottom w:val="0"/>
          <w:divBdr>
            <w:top w:val="none" w:sz="0" w:space="0" w:color="auto"/>
            <w:left w:val="none" w:sz="0" w:space="0" w:color="auto"/>
            <w:bottom w:val="none" w:sz="0" w:space="0" w:color="auto"/>
            <w:right w:val="none" w:sz="0" w:space="0" w:color="auto"/>
          </w:divBdr>
          <w:divsChild>
            <w:div w:id="1760786589">
              <w:marLeft w:val="0"/>
              <w:marRight w:val="0"/>
              <w:marTop w:val="0"/>
              <w:marBottom w:val="0"/>
              <w:divBdr>
                <w:top w:val="none" w:sz="0" w:space="0" w:color="auto"/>
                <w:left w:val="none" w:sz="0" w:space="0" w:color="auto"/>
                <w:bottom w:val="none" w:sz="0" w:space="0" w:color="auto"/>
                <w:right w:val="none" w:sz="0" w:space="0" w:color="auto"/>
              </w:divBdr>
              <w:divsChild>
                <w:div w:id="733091838">
                  <w:marLeft w:val="0"/>
                  <w:marRight w:val="0"/>
                  <w:marTop w:val="0"/>
                  <w:marBottom w:val="0"/>
                  <w:divBdr>
                    <w:top w:val="none" w:sz="0" w:space="0" w:color="auto"/>
                    <w:left w:val="none" w:sz="0" w:space="0" w:color="auto"/>
                    <w:bottom w:val="none" w:sz="0" w:space="0" w:color="auto"/>
                    <w:right w:val="none" w:sz="0" w:space="0" w:color="auto"/>
                  </w:divBdr>
                  <w:divsChild>
                    <w:div w:id="1778524860">
                      <w:marLeft w:val="0"/>
                      <w:marRight w:val="0"/>
                      <w:marTop w:val="0"/>
                      <w:marBottom w:val="0"/>
                      <w:divBdr>
                        <w:top w:val="single" w:sz="6" w:space="0" w:color="C6BFBF"/>
                        <w:left w:val="single" w:sz="6" w:space="0" w:color="C6BFBF"/>
                        <w:bottom w:val="single" w:sz="6" w:space="0" w:color="C6BFBF"/>
                        <w:right w:val="single" w:sz="6" w:space="0" w:color="C6BFBF"/>
                      </w:divBdr>
                      <w:divsChild>
                        <w:div w:id="689719407">
                          <w:marLeft w:val="0"/>
                          <w:marRight w:val="0"/>
                          <w:marTop w:val="0"/>
                          <w:marBottom w:val="0"/>
                          <w:divBdr>
                            <w:top w:val="none" w:sz="0" w:space="0" w:color="auto"/>
                            <w:left w:val="none" w:sz="0" w:space="0" w:color="auto"/>
                            <w:bottom w:val="none" w:sz="0" w:space="0" w:color="auto"/>
                            <w:right w:val="none" w:sz="0" w:space="0" w:color="auto"/>
                          </w:divBdr>
                          <w:divsChild>
                            <w:div w:id="232157889">
                              <w:marLeft w:val="0"/>
                              <w:marRight w:val="0"/>
                              <w:marTop w:val="120"/>
                              <w:marBottom w:val="120"/>
                              <w:divBdr>
                                <w:top w:val="none" w:sz="0" w:space="3" w:color="auto"/>
                                <w:left w:val="none" w:sz="0" w:space="0" w:color="auto"/>
                                <w:bottom w:val="none" w:sz="0" w:space="3" w:color="auto"/>
                                <w:right w:val="single" w:sz="6" w:space="0" w:color="C6BFBF"/>
                              </w:divBdr>
                              <w:divsChild>
                                <w:div w:id="1623656068">
                                  <w:marLeft w:val="0"/>
                                  <w:marRight w:val="0"/>
                                  <w:marTop w:val="60"/>
                                  <w:marBottom w:val="0"/>
                                  <w:divBdr>
                                    <w:top w:val="none" w:sz="0" w:space="0" w:color="auto"/>
                                    <w:left w:val="none" w:sz="0" w:space="0" w:color="auto"/>
                                    <w:bottom w:val="none" w:sz="0" w:space="0" w:color="auto"/>
                                    <w:right w:val="none" w:sz="0" w:space="0" w:color="auto"/>
                                  </w:divBdr>
                                </w:div>
                              </w:divsChild>
                            </w:div>
                            <w:div w:id="193155506">
                              <w:marLeft w:val="0"/>
                              <w:marRight w:val="0"/>
                              <w:marTop w:val="120"/>
                              <w:marBottom w:val="120"/>
                              <w:divBdr>
                                <w:top w:val="none" w:sz="0" w:space="0" w:color="auto"/>
                                <w:left w:val="none" w:sz="0" w:space="0" w:color="auto"/>
                                <w:bottom w:val="none" w:sz="0" w:space="0" w:color="auto"/>
                                <w:right w:val="none" w:sz="0" w:space="0" w:color="auto"/>
                              </w:divBdr>
                            </w:div>
                            <w:div w:id="1146749690">
                              <w:marLeft w:val="0"/>
                              <w:marRight w:val="0"/>
                              <w:marTop w:val="0"/>
                              <w:marBottom w:val="0"/>
                              <w:divBdr>
                                <w:top w:val="single" w:sz="6" w:space="5" w:color="C6BFBF"/>
                                <w:left w:val="none" w:sz="0" w:space="0" w:color="auto"/>
                                <w:bottom w:val="none" w:sz="0" w:space="5"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nasa.gov/directorates/heo/scan/engineering/technology/technology_readiness_leve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tsbfgqit4n@itu.int" TargetMode="External"/><Relationship Id="rId17" Type="http://schemas.openxmlformats.org/officeDocument/2006/relationships/header" Target="header2.xml"/><Relationship Id="rId25" Type="http://schemas.openxmlformats.org/officeDocument/2006/relationships/hyperlink" Target="https://www.iso.org/standards.html" TargetMode="External"/><Relationship Id="rId2" Type="http://schemas.openxmlformats.org/officeDocument/2006/relationships/customXml" Target="../customXml/item2.xml"/><Relationship Id="rId16" Type="http://schemas.openxmlformats.org/officeDocument/2006/relationships/hyperlink" Target="mailto:lvbo@caict.ac.cn" TargetMode="Externa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T/focusgroups/qit4n/Pages/default.aspx" TargetMode="External"/><Relationship Id="rId24" Type="http://schemas.openxmlformats.org/officeDocument/2006/relationships/hyperlink" Target="https://ec.europa.eu/research/participants/data/ref/h2020/wp/2014_2015/annexes/h2020-wp1415-annex-g-trl_en.pdf" TargetMode="External"/><Relationship Id="rId5" Type="http://schemas.openxmlformats.org/officeDocument/2006/relationships/numbering" Target="numbering.xml"/><Relationship Id="rId15" Type="http://schemas.openxmlformats.org/officeDocument/2006/relationships/hyperlink" Target="mailto:barbara.goldstein@nist.gov" TargetMode="External"/><Relationship Id="rId23" Type="http://schemas.openxmlformats.org/officeDocument/2006/relationships/image" Target="media/image3.png"/><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7F75BBCE80F45BAD8A4E94A0D39C2" ma:contentTypeVersion="4" ma:contentTypeDescription="Create a new document." ma:contentTypeScope="" ma:versionID="b0980852953c5bb97d2e6e9086141302">
  <xsd:schema xmlns:xsd="http://www.w3.org/2001/XMLSchema" xmlns:xs="http://www.w3.org/2001/XMLSchema" xmlns:p="http://schemas.microsoft.com/office/2006/metadata/properties" xmlns:ns2="334a01d7-b565-4edd-92e5-cca83928c361" xmlns:ns3="2425a1df-4f9a-42f2-b0fa-3833dd06a54e" targetNamespace="http://schemas.microsoft.com/office/2006/metadata/properties" ma:root="true" ma:fieldsID="eea6768c82e2d699aba46c53ecca0b53" ns2:_="" ns3:_="">
    <xsd:import namespace="334a01d7-b565-4edd-92e5-cca83928c361"/>
    <xsd:import namespace="2425a1df-4f9a-42f2-b0fa-3833dd06a54e"/>
    <xsd:element name="properties">
      <xsd:complexType>
        <xsd:sequence>
          <xsd:element name="documentManagement">
            <xsd:complexType>
              <xsd:all>
                <xsd:element ref="ns2:Meeting"/>
                <xsd:element ref="ns2:Source"/>
                <xsd:element ref="ns2:Meeting_x0020_document_x0020_number"/>
                <xsd:element ref="ns3:W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01d7-b565-4edd-92e5-cca83928c361" elementFormDefault="qualified">
    <xsd:import namespace="http://schemas.microsoft.com/office/2006/documentManagement/types"/>
    <xsd:import namespace="http://schemas.microsoft.com/office/infopath/2007/PartnerControls"/>
    <xsd:element name="Meeting" ma:index="8" ma:displayName="Meeting" ma:description="Meeting location and date." ma:format="Dropdown" ma:internalName="Meeting">
      <xsd:simpleType>
        <xsd:restriction base="dms:Choice">
          <xsd:enumeration value="​​E-meeting, 15-22 November 2021"/>
          <xsd:enumeration value="E-meeting, 9-​20 August 2021​​"/>
          <xsd:enumeration value="E-meeting, ​​10-21 May 2021"/>
          <xsd:enumeration value="E-meeting, ​​25 January - 5 February 2021"/>
          <xsd:enumeration value="E-meeting, 26 October - 6 November 2020"/>
          <xsd:enumeration value="E-meeting, 27 July - 7 August 2020"/>
          <xsd:enumeration value="E-meeting, 15-26 June 2020"/>
          <xsd:enumeration value="E-meeting, 20-30 April 2020"/>
          <xsd:enumeration value="E-meeting, 18-20 February 2020"/>
          <xsd:enumeration value="Jinan, 9-10 December 2019"/>
        </xsd:restriction>
      </xsd:simpleType>
    </xsd:element>
    <xsd:element name="Source" ma:index="9" ma:displayName="Source" ma:description="Source of the document." ma:internalName="Source">
      <xsd:simpleType>
        <xsd:restriction base="dms:Text">
          <xsd:maxLength value="255"/>
        </xsd:restriction>
      </xsd:simpleType>
    </xsd:element>
    <xsd:element name="Meeting_x0020_document_x0020_number" ma:index="10" ma:displayName="Meeting document number" ma:default="###" ma:description="Meeting document number - Format (Doc###) Example: 001" ma:internalName="Meeting_x0020_document_x0020_number">
      <xsd:simpleType>
        <xsd:restriction base="dms:Text">
          <xsd:maxLength value="3"/>
        </xsd:restriction>
      </xsd:simpleType>
    </xsd:element>
  </xsd:schema>
  <xsd:schema xmlns:xsd="http://www.w3.org/2001/XMLSchema" xmlns:xs="http://www.w3.org/2001/XMLSchema" xmlns:dms="http://schemas.microsoft.com/office/2006/documentManagement/types" xmlns:pc="http://schemas.microsoft.com/office/infopath/2007/PartnerControls" targetNamespace="2425a1df-4f9a-42f2-b0fa-3833dd06a54e" elementFormDefault="qualified">
    <xsd:import namespace="http://schemas.microsoft.com/office/2006/documentManagement/types"/>
    <xsd:import namespace="http://schemas.microsoft.com/office/infopath/2007/PartnerControls"/>
    <xsd:element name="WG" ma:index="11" nillable="true" ma:displayName="WG" ma:description="Working Group" ma:internalName="WG">
      <xsd:complexType>
        <xsd:complexContent>
          <xsd:extension base="dms:MultiChoice">
            <xsd:sequence>
              <xsd:element name="Value" maxOccurs="unbounded" minOccurs="0" nillable="true">
                <xsd:simpleType>
                  <xsd:restriction base="dms:Choice">
                    <xsd:enumeration value="ALL"/>
                    <xsd:enumeration value="WG0"/>
                    <xsd:enumeration value="WG1"/>
                    <xsd:enumeration value="WG2"/>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 xmlns="334a01d7-b565-4edd-92e5-cca83928c361">D1.4 Editor</Source>
    <Meeting xmlns="334a01d7-b565-4edd-92e5-cca83928c361">​​E-meeting, 15-22 November 2021</Meeting>
    <Meeting_x0020_document_x0020_number xmlns="334a01d7-b565-4edd-92e5-cca83928c361">116</Meeting_x0020_document_x0020_number>
    <WG xmlns="2425a1df-4f9a-42f2-b0fa-3833dd06a54e">
      <Value>WG1</Value>
    </WG>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1DF63-0DB3-4701-9A46-0017D5D70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01d7-b565-4edd-92e5-cca83928c361"/>
    <ds:schemaRef ds:uri="2425a1df-4f9a-42f2-b0fa-3833dd06a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1E2B6-F73A-4F77-A433-10E0079BA3EE}">
  <ds:schemaRefs>
    <ds:schemaRef ds:uri="http://schemas.microsoft.com/office/2006/metadata/properties"/>
    <ds:schemaRef ds:uri="http://schemas.microsoft.com/office/infopath/2007/PartnerControls"/>
    <ds:schemaRef ds:uri="334a01d7-b565-4edd-92e5-cca83928c361"/>
    <ds:schemaRef ds:uri="2425a1df-4f9a-42f2-b0fa-3833dd06a54e"/>
  </ds:schemaRefs>
</ds:datastoreItem>
</file>

<file path=customXml/itemProps3.xml><?xml version="1.0" encoding="utf-8"?>
<ds:datastoreItem xmlns:ds="http://schemas.openxmlformats.org/officeDocument/2006/customXml" ds:itemID="{D0AE9BE9-1725-4AD1-A569-D5410060E28C}">
  <ds:schemaRefs>
    <ds:schemaRef ds:uri="http://schemas.openxmlformats.org/officeDocument/2006/bibliography"/>
  </ds:schemaRefs>
</ds:datastoreItem>
</file>

<file path=customXml/itemProps4.xml><?xml version="1.0" encoding="utf-8"?>
<ds:datastoreItem xmlns:ds="http://schemas.openxmlformats.org/officeDocument/2006/customXml" ds:itemID="{AC5A9728-E211-4A3B-BCEF-901E9E60B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QPUBE.dotm</Template>
  <TotalTime>1</TotalTime>
  <Pages>13</Pages>
  <Words>4311</Words>
  <Characters>24574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D1.4 Technical Report on Standardization outlook and technology maturity part 1: Network aspects of QIT</vt:lpstr>
    </vt:vector>
  </TitlesOfParts>
  <Manager>ITU-T</Manager>
  <Company>International Telecommunication Union (ITU)</Company>
  <LinksUpToDate>false</LinksUpToDate>
  <CharactersWithSpaces>28828</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 Technical Report on Standardization outlook and technology maturity: Network aspects of QIT</dc:title>
  <dc:creator>D1.4 Editor</dc:creator>
  <dc:description/>
  <cp:lastModifiedBy>TSB-AC</cp:lastModifiedBy>
  <cp:revision>5</cp:revision>
  <cp:lastPrinted>2021-12-03T08:28:00Z</cp:lastPrinted>
  <dcterms:created xsi:type="dcterms:W3CDTF">2022-01-20T15:51:00Z</dcterms:created>
  <dcterms:modified xsi:type="dcterms:W3CDTF">2022-01-20T15:52:00Z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0x010100D987F75BBCE80F45BAD8A4E94A0D39C2</vt:lpwstr>
  </property>
</Properties>
</file>