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-790575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7256C1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256C1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024E8F" w:rsidRDefault="009663D2" w:rsidP="00024E8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024E8F" w:rsidRPr="00024E8F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774"/>
            <w:r w:rsidR="00024E8F" w:rsidRPr="00024E8F">
              <w:rPr>
                <w:rFonts w:ascii="Arial" w:hAnsi="Arial"/>
                <w:b/>
                <w:bCs/>
                <w:sz w:val="36"/>
                <w:lang w:val="ru-RU"/>
              </w:rPr>
              <w:t>Упрочение электронных методов работы в деятельности</w:t>
            </w:r>
            <w:r w:rsidR="00024E8F" w:rsidRPr="00024E8F">
              <w:rPr>
                <w:rFonts w:ascii="Arial" w:hAnsi="Arial"/>
                <w:b/>
                <w:bCs/>
                <w:sz w:val="36"/>
                <w:lang w:val="ru-RU"/>
              </w:rPr>
              <w:br/>
              <w:t>Сектора стандартизации электросвязи МСЭ</w:t>
            </w:r>
            <w:bookmarkEnd w:id="6"/>
          </w:p>
        </w:tc>
      </w:tr>
      <w:bookmarkEnd w:id="5"/>
      <w:tr w:rsidR="009663D2" w:rsidRPr="007256C1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206E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206EF3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024E8F" w:rsidRPr="00A524B6" w:rsidRDefault="00024E8F" w:rsidP="00024E8F">
      <w:pPr>
        <w:pStyle w:val="ResNo"/>
        <w:spacing w:before="0"/>
      </w:pPr>
      <w:r w:rsidRPr="00A524B6">
        <w:lastRenderedPageBreak/>
        <w:t xml:space="preserve">РЕЗОЛЮЦИЯ </w:t>
      </w:r>
      <w:r w:rsidRPr="0078376A">
        <w:rPr>
          <w:rStyle w:val="href"/>
        </w:rPr>
        <w:t>32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024E8F" w:rsidRPr="00024E8F" w:rsidRDefault="00024E8F" w:rsidP="00024E8F">
      <w:pPr>
        <w:pStyle w:val="Restitle"/>
        <w:rPr>
          <w:lang w:val="ru-RU"/>
        </w:rPr>
      </w:pPr>
      <w:r w:rsidRPr="00024E8F">
        <w:rPr>
          <w:lang w:val="ru-RU"/>
        </w:rPr>
        <w:t>Упрочение электронных методов работы в деятельности</w:t>
      </w:r>
      <w:r>
        <w:rPr>
          <w:rFonts w:asciiTheme="minorHAnsi" w:hAnsiTheme="minorHAnsi"/>
          <w:lang w:val="ru-RU"/>
        </w:rPr>
        <w:br/>
      </w:r>
      <w:r w:rsidRPr="00024E8F">
        <w:rPr>
          <w:lang w:val="ru-RU"/>
        </w:rPr>
        <w:t>Сектора стандартизации электросвязи МСЭ</w:t>
      </w:r>
    </w:p>
    <w:p w:rsidR="00024E8F" w:rsidRPr="00024E8F" w:rsidRDefault="00024E8F" w:rsidP="00024E8F">
      <w:pPr>
        <w:pStyle w:val="Resref"/>
        <w:rPr>
          <w:lang w:val="ru-RU"/>
        </w:rPr>
      </w:pPr>
      <w:r w:rsidRPr="00024E8F">
        <w:rPr>
          <w:lang w:val="ru-RU"/>
        </w:rPr>
        <w:t>(Монреаль, 2000 г.; Флорианополис, 2004 г.; Йоханнесбург, 2008 г.; Дубай, 2012 г.)</w:t>
      </w:r>
    </w:p>
    <w:p w:rsidR="00024E8F" w:rsidRPr="00024E8F" w:rsidRDefault="00024E8F" w:rsidP="00024E8F">
      <w:pPr>
        <w:pStyle w:val="Normalaftertitle"/>
        <w:rPr>
          <w:lang w:val="ru-RU"/>
        </w:rPr>
      </w:pPr>
      <w:r w:rsidRPr="00024E8F">
        <w:rPr>
          <w:lang w:val="ru-RU"/>
        </w:rPr>
        <w:t>Всемирная ассамблея по стандартизации электросвязи (Дубай, 2012</w:t>
      </w:r>
      <w:r w:rsidRPr="00A524B6">
        <w:t> </w:t>
      </w:r>
      <w:r w:rsidRPr="00024E8F">
        <w:rPr>
          <w:lang w:val="ru-RU"/>
        </w:rPr>
        <w:t>г.),</w:t>
      </w:r>
    </w:p>
    <w:p w:rsidR="00024E8F" w:rsidRPr="00024E8F" w:rsidRDefault="00024E8F" w:rsidP="00024E8F">
      <w:pPr>
        <w:pStyle w:val="Call"/>
        <w:rPr>
          <w:lang w:val="ru-RU"/>
        </w:rPr>
      </w:pPr>
      <w:r w:rsidRPr="00024E8F">
        <w:rPr>
          <w:lang w:val="ru-RU"/>
        </w:rPr>
        <w:t>учитывая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i/>
          <w:iCs/>
          <w:lang w:val="ru-RU"/>
        </w:rPr>
        <w:t>а)</w:t>
      </w:r>
      <w:r w:rsidRPr="00024E8F">
        <w:rPr>
          <w:lang w:val="ru-RU"/>
        </w:rPr>
        <w:tab/>
        <w:t>стремительные темпы технологических изменений и обусловливаемую этим необходимость совершенствования и ускорения разработки стандартов;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b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что электронные методы работы (ЭМР) обеспечивают возможность для открытого, оперативного и беспрепятственного сотрудничества между всеми участниками деятельности Сектора стандартизации электросвязи МСЭ (МСЭ-Т);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i/>
          <w:iCs/>
          <w:lang w:val="ru-RU"/>
        </w:rPr>
        <w:t>с)</w:t>
      </w:r>
      <w:r w:rsidRPr="00024E8F">
        <w:rPr>
          <w:lang w:val="ru-RU"/>
        </w:rPr>
        <w:tab/>
        <w:t>что реализация возможностей ЭМР и связанных с ними механизмов создаст значительные преимущества для Членов МСЭ-Т, в том числе лиц, организаций и государств, которые обладают ограниченными ресурсами, позволяя им получать своевременный и эффективный доступ к информации о стандартах и процессам разработки и утверждения стандартов;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d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что ЭМР будут способствовать совершенствованию методов связи между Членами МСЭ</w:t>
      </w:r>
      <w:r w:rsidRPr="00024E8F">
        <w:rPr>
          <w:lang w:val="ru-RU"/>
        </w:rPr>
        <w:noBreakHyphen/>
        <w:t>Т, а</w:t>
      </w:r>
      <w:r w:rsidRPr="00A524B6">
        <w:t> </w:t>
      </w:r>
      <w:r w:rsidRPr="00024E8F">
        <w:rPr>
          <w:lang w:val="ru-RU"/>
        </w:rPr>
        <w:t>также между другими соответствующими организациями по стандартизации и МСЭ в целях разработки гармонизированных в глобальном масштабе стандартов;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i/>
          <w:iCs/>
          <w:lang w:val="ru-RU"/>
        </w:rPr>
        <w:t>е)</w:t>
      </w:r>
      <w:r w:rsidRPr="00024E8F">
        <w:rPr>
          <w:lang w:val="ru-RU"/>
        </w:rPr>
        <w:tab/>
        <w:t>ключевую роль Бюро стандартизации электросвязи (БСЭ) в обеспечении поддержки возможностей ЭМР;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f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решения, содержащиеся в Резолюции 66 (Пересм.</w:t>
      </w:r>
      <w:r>
        <w:rPr>
          <w:lang w:val="ru-RU"/>
        </w:rPr>
        <w:t> </w:t>
      </w:r>
      <w:r w:rsidRPr="00024E8F">
        <w:rPr>
          <w:lang w:val="ru-RU"/>
        </w:rPr>
        <w:t>Гвадалахара,</w:t>
      </w:r>
      <w:r w:rsidRPr="00A524B6">
        <w:t> </w:t>
      </w:r>
      <w:r w:rsidRPr="00024E8F">
        <w:rPr>
          <w:lang w:val="ru-RU"/>
        </w:rPr>
        <w:t>2010</w:t>
      </w:r>
      <w:r w:rsidRPr="00A524B6">
        <w:t> </w:t>
      </w:r>
      <w:r w:rsidRPr="00024E8F">
        <w:rPr>
          <w:lang w:val="ru-RU"/>
        </w:rPr>
        <w:t>г.) Полномочной конференции;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g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бюджетные трудности, с которыми сталкиваются развивающиеся страны</w:t>
      </w:r>
      <w:r w:rsidRPr="00024E8F">
        <w:rPr>
          <w:rStyle w:val="FootnoteReference"/>
          <w:lang w:val="ru-RU"/>
        </w:rPr>
        <w:footnoteReference w:customMarkFollows="1" w:id="1"/>
        <w:t>1</w:t>
      </w:r>
      <w:r w:rsidRPr="00024E8F">
        <w:rPr>
          <w:lang w:val="ru-RU"/>
        </w:rPr>
        <w:t>, активно участвующие в очных собраниях МСЭ-Т;</w:t>
      </w:r>
    </w:p>
    <w:p w:rsidR="00024E8F" w:rsidRPr="00024E8F" w:rsidRDefault="00024E8F" w:rsidP="00024E8F">
      <w:pPr>
        <w:rPr>
          <w:lang w:val="ru-RU"/>
        </w:rPr>
      </w:pPr>
      <w:r w:rsidRPr="004E4597">
        <w:rPr>
          <w:i/>
          <w:iCs/>
        </w:rPr>
        <w:t>h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Резолюцию 167 (Гвадалахара,</w:t>
      </w:r>
      <w:r>
        <w:rPr>
          <w:lang w:val="ru-RU"/>
        </w:rPr>
        <w:t> </w:t>
      </w:r>
      <w:r w:rsidRPr="00024E8F">
        <w:rPr>
          <w:lang w:val="ru-RU"/>
        </w:rPr>
        <w:t>2010 г.) Полномочной конференции, в которой предусматривается, 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в том числе рабочих группах, созданных Советом,</w:t>
      </w:r>
    </w:p>
    <w:p w:rsidR="00024E8F" w:rsidRPr="00206EF3" w:rsidRDefault="00024E8F" w:rsidP="00024E8F">
      <w:pPr>
        <w:pStyle w:val="Call"/>
        <w:rPr>
          <w:lang w:val="ru-RU"/>
        </w:rPr>
      </w:pPr>
      <w:r w:rsidRPr="00206EF3">
        <w:rPr>
          <w:lang w:val="ru-RU"/>
        </w:rPr>
        <w:t>отмечая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i/>
          <w:iCs/>
          <w:lang w:val="ru-RU"/>
        </w:rPr>
        <w:t>а)</w:t>
      </w:r>
      <w:r w:rsidRPr="00024E8F">
        <w:rPr>
          <w:lang w:val="ru-RU"/>
        </w:rPr>
        <w:tab/>
        <w:t>желание членов своевременно получать документы в электронной форме и необходимость уменьшения растущего объема документации в бумажной форме, создаваемой в ходе собраний и рассылаемой по почте;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b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что МСЭ-Т уже внедрены многие формы ЭМР, например, такие как электронное представление документов и служба электронных форумов;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c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желание Членов МСЭ-Т проводить собрания с помощью электронных средств;</w:t>
      </w:r>
    </w:p>
    <w:p w:rsidR="00024E8F" w:rsidRPr="00024E8F" w:rsidRDefault="00024E8F" w:rsidP="00024E8F">
      <w:pPr>
        <w:pageBreakBefore/>
        <w:rPr>
          <w:lang w:val="ru-RU"/>
        </w:rPr>
      </w:pPr>
      <w:r w:rsidRPr="00A524B6">
        <w:rPr>
          <w:i/>
          <w:iCs/>
        </w:rPr>
        <w:lastRenderedPageBreak/>
        <w:t>d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увеличение использования членами портативных компьютеров во время собраний;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e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преимущества, получаемые членами благодаря еще большему упрощению участия в разработке и утверждении Рекомендаций с помощью электронных средств, в особенности членами, не имеющими возможности участвовать в работе собраний исследовательских комиссий в Женеве и за ее пределами;</w:t>
      </w:r>
    </w:p>
    <w:p w:rsidR="00024E8F" w:rsidRPr="00024E8F" w:rsidRDefault="00024E8F" w:rsidP="00024E8F">
      <w:pPr>
        <w:rPr>
          <w:lang w:val="ru-RU"/>
        </w:rPr>
      </w:pPr>
      <w:r w:rsidRPr="004E4597">
        <w:rPr>
          <w:i/>
          <w:iCs/>
        </w:rPr>
        <w:t>f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дефицит пропускной способности и другие ограничения, в частности в развивающихся странах;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g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экономию, которую можно получить за счет расширения возможностей ЭМР в МСЭ-Т (например, снижение затрат на распространение бумажной документации, путевые расходы и т.</w:t>
      </w:r>
      <w:r>
        <w:t> </w:t>
      </w:r>
      <w:r w:rsidRPr="00024E8F">
        <w:rPr>
          <w:lang w:val="ru-RU"/>
        </w:rPr>
        <w:t>д.);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h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поощрение другими организациями по стандартизации электросвязи сотрудничества с использованием ЭМР;</w:t>
      </w:r>
    </w:p>
    <w:p w:rsidR="00024E8F" w:rsidRPr="00024E8F" w:rsidRDefault="00024E8F" w:rsidP="00024E8F">
      <w:pPr>
        <w:rPr>
          <w:lang w:val="ru-RU"/>
        </w:rPr>
      </w:pPr>
      <w:r w:rsidRPr="00A524B6">
        <w:rPr>
          <w:i/>
          <w:iCs/>
        </w:rPr>
        <w:t>i</w:t>
      </w:r>
      <w:r w:rsidRPr="00024E8F">
        <w:rPr>
          <w:i/>
          <w:iCs/>
          <w:lang w:val="ru-RU"/>
        </w:rPr>
        <w:t>)</w:t>
      </w:r>
      <w:r w:rsidRPr="00024E8F">
        <w:rPr>
          <w:lang w:val="ru-RU"/>
        </w:rPr>
        <w:tab/>
        <w:t>что альтернативный процесс утверждения (АПУ) (Рекомендация МСЭ-Т А.8) осуществляется прежде всего с помощью электронных средств,</w:t>
      </w:r>
    </w:p>
    <w:p w:rsidR="00024E8F" w:rsidRPr="00024E8F" w:rsidRDefault="00024E8F" w:rsidP="00024E8F">
      <w:pPr>
        <w:pStyle w:val="Call"/>
        <w:rPr>
          <w:lang w:val="ru-RU"/>
        </w:rPr>
      </w:pPr>
      <w:r w:rsidRPr="00024E8F">
        <w:rPr>
          <w:lang w:val="ru-RU"/>
        </w:rPr>
        <w:t>решает</w:t>
      </w:r>
      <w:r w:rsidRPr="00024E8F">
        <w:rPr>
          <w:i w:val="0"/>
          <w:iCs/>
          <w:lang w:val="ru-RU"/>
        </w:rPr>
        <w:t>,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lang w:val="ru-RU"/>
        </w:rPr>
        <w:t>1</w:t>
      </w:r>
      <w:r w:rsidRPr="00024E8F">
        <w:rPr>
          <w:lang w:val="ru-RU"/>
        </w:rPr>
        <w:tab/>
        <w:t>что основные задачи МСЭ-Т, связанные с ЭМР, должны состоять в том: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чтобы сотрудничество между Членами МСЭ-Т при разработке Рекомендаций осуществлялось с помощью электронных средств;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 xml:space="preserve">чтобы БСЭ в тесном сотрудничестве с Бюро </w:t>
      </w:r>
      <w:r>
        <w:rPr>
          <w:lang w:val="ru-RU"/>
        </w:rPr>
        <w:t>развития</w:t>
      </w:r>
      <w:r w:rsidRPr="00024E8F">
        <w:rPr>
          <w:lang w:val="ru-RU"/>
        </w:rPr>
        <w:t xml:space="preserve"> электросвязи</w:t>
      </w:r>
      <w:r>
        <w:rPr>
          <w:lang w:val="ru-RU"/>
        </w:rPr>
        <w:t xml:space="preserve"> МСЭ</w:t>
      </w:r>
      <w:r w:rsidRPr="00024E8F">
        <w:rPr>
          <w:lang w:val="ru-RU"/>
        </w:rPr>
        <w:t xml:space="preserve"> </w:t>
      </w:r>
      <w:r>
        <w:rPr>
          <w:lang w:val="ru-RU"/>
        </w:rPr>
        <w:t>(</w:t>
      </w:r>
      <w:r w:rsidRPr="00024E8F">
        <w:rPr>
          <w:lang w:val="ru-RU"/>
        </w:rPr>
        <w:t>БРЭ</w:t>
      </w:r>
      <w:r>
        <w:rPr>
          <w:lang w:val="ru-RU"/>
        </w:rPr>
        <w:t>)</w:t>
      </w:r>
      <w:r w:rsidRPr="00024E8F">
        <w:rPr>
          <w:lang w:val="ru-RU"/>
        </w:rPr>
        <w:t xml:space="preserve"> обеспечивало во время собраний, семинаров-практикумов и учебных программ МСЭ-Т средства и возможности ЭМР, в частности, чтобы помочь развивающимся странам, наименее развитым странам, малым островным развивающимся государствам, развивающимся странам, не имеющим выхода к морю, и странам с переходной экономикой, которые испытывают дефицит полосы пропускания и другие ограничения;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поощрять участие развивающихся стран с помощью электронных средств в собраниях МСЭ-Т посредством разработки более простых механизмов и руководящих указаний, а также путем освобождения таких участников от любых расходов, за исключением платы за местные вызовы и интернет-соединения;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 xml:space="preserve">что БСЭ в тесном сотрудничестве с БРЭ следует обеспечивать во время собраний, семинаров-практикумов и учебных программ МСЭ-Т средства и возможности ЭМР, а также поощрять участие развивающихся стран </w:t>
      </w:r>
      <w:r>
        <w:rPr>
          <w:lang w:val="ru-RU"/>
        </w:rPr>
        <w:t xml:space="preserve">путем </w:t>
      </w:r>
      <w:r w:rsidRPr="00024E8F">
        <w:rPr>
          <w:lang w:val="ru-RU"/>
        </w:rPr>
        <w:t>освобождения, в рамках кредитов, которые Совет вправе разрешить, этих участников от любых расходов, за исключением платы за местные вызовы и интернет-соединения;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чтобы БСЭ предоставляло всем Членам МСЭ-Т надлежащий и быстрый доступ к необходимой для их работы электронной документации, включая глобальный, унифицированный и сводный обзор пути разработки документов;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чтобы БСЭ предоставляло соответствующие системы и средства для поддержки проведения работ в МСЭ-Т с помощью электронных средств; и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чтобы все виды деятельности, процедуры, исследования и отчеты исследовательских комиссий МСЭ-Т размещались на веб-сайте МСЭ-Т так, чтобы облегчить поиск и нахождение всей соответствующей информации;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lang w:val="ru-RU"/>
        </w:rPr>
        <w:t>2</w:t>
      </w:r>
      <w:r w:rsidRPr="00024E8F">
        <w:rPr>
          <w:lang w:val="ru-RU"/>
        </w:rPr>
        <w:tab/>
        <w:t xml:space="preserve">что систематическое отражение этих задач в Плане действий по ЭМР, в том числе включение в него пунктов по отдельным мероприятиям, определяемым Членами МСЭ-Т или БСЭ, определение их приоритетности и руководство их выполнением должно осуществлять БСЭ при консультации с Консультативной группой по стандартизации электросвязи (КГСЭ), </w:t>
      </w:r>
    </w:p>
    <w:p w:rsidR="00024E8F" w:rsidRPr="00024E8F" w:rsidRDefault="00024E8F" w:rsidP="00024E8F">
      <w:pPr>
        <w:pStyle w:val="Call"/>
        <w:keepLines w:val="0"/>
        <w:pageBreakBefore/>
        <w:rPr>
          <w:lang w:val="ru-RU"/>
        </w:rPr>
      </w:pPr>
      <w:r w:rsidRPr="00024E8F">
        <w:rPr>
          <w:lang w:val="ru-RU"/>
        </w:rPr>
        <w:lastRenderedPageBreak/>
        <w:t>поручает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lang w:val="ru-RU"/>
        </w:rPr>
        <w:t>1</w:t>
      </w:r>
      <w:r w:rsidRPr="00024E8F">
        <w:rPr>
          <w:lang w:val="ru-RU"/>
        </w:rPr>
        <w:tab/>
        <w:t>Директору БСЭ: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вести План действий по ЭМР, охватывающий практические и физические аспекты расширения возможностей ЭМР в МСЭ-Т;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на регулярной основе определять и анализировать затраты и выгоды по отдельным пунктам Плана действий;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представлять на каждом собрании КГСЭ отчет о ходе работ по Плану действий, в том числе и о результатах описанного выше анализа затрат и выгод;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обеспечить исполнительный орган, бюджет в рамках БСЭ и ресурсы для скорейшего выполнения Плана действий;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разработать и разослать руководящие указания по использованию средств ЭМР в МСЭ-Т;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принять меры для предоставления надлежащих электронных средств для обеспечения участия или наблюдения (например, интернет-вещание, аудиоконференции, интернет</w:t>
      </w:r>
      <w:r w:rsidRPr="00024E8F">
        <w:rPr>
          <w:lang w:val="ru-RU"/>
        </w:rPr>
        <w:noBreakHyphen/>
        <w:t>конференции/совместное использование веб-документов, видеоконференции и т.</w:t>
      </w:r>
      <w:r w:rsidRPr="00A524B6">
        <w:t> </w:t>
      </w:r>
      <w:r w:rsidRPr="00024E8F">
        <w:rPr>
          <w:lang w:val="ru-RU"/>
        </w:rPr>
        <w:t>д.) в собраниях МСЭ-Т, семинарах-практикумах и учебных курсах для делегатов, не имеющих возможности лично участвовать в этих мероприятиях, и координировать эту деятельность с БРЭ для оказания помощи в предоставлении таких средств; и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создать веб-сайт МСЭ-Т, позволяющий легко осуществлять поиск и находить всю соответствующую информацию;</w:t>
      </w:r>
    </w:p>
    <w:p w:rsidR="00024E8F" w:rsidRPr="00024E8F" w:rsidRDefault="00024E8F" w:rsidP="00024E8F">
      <w:pPr>
        <w:rPr>
          <w:lang w:val="ru-RU"/>
        </w:rPr>
      </w:pPr>
      <w:r w:rsidRPr="00024E8F">
        <w:rPr>
          <w:lang w:val="ru-RU"/>
        </w:rPr>
        <w:t>2</w:t>
      </w:r>
      <w:r w:rsidRPr="00024E8F">
        <w:rPr>
          <w:lang w:val="ru-RU"/>
        </w:rPr>
        <w:tab/>
        <w:t>Рабочей группе по ЭМР в рамках КГСЭ продолжать работу в следующих направлениях: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действовать в качестве связующего звена между Членами МСЭ-Т и БСЭ по проблемам ЭМР, обеспечивая, в частности, обратную связь и консультации по вопросам содержания Плана действий, приоритетности предусмотренных в нем мероприятий и его реализации;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определять потребности пользователей и планировать принятие надлежащих мер с помощью соответствующих подгрупп и экспериментальных программ;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просить председателей исследовательских комиссий осуществлять взаимодействие по проблемам ЭМР;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поощрять вовлечение в работу всех участников деятельности МСЭ-Т, особенно экспертов по вопросам ЭМР от КГСЭ, исследовательских комиссий, БСЭ и соответствующих Бюро и департаментов МСЭ;</w:t>
      </w:r>
    </w:p>
    <w:p w:rsidR="00024E8F" w:rsidRPr="00024E8F" w:rsidRDefault="00024E8F" w:rsidP="00024E8F">
      <w:pPr>
        <w:pStyle w:val="enumlev1"/>
        <w:rPr>
          <w:lang w:val="ru-RU"/>
        </w:rPr>
      </w:pPr>
      <w:r w:rsidRPr="00024E8F">
        <w:rPr>
          <w:lang w:val="ru-RU"/>
        </w:rPr>
        <w:t>•</w:t>
      </w:r>
      <w:r w:rsidRPr="00024E8F">
        <w:rPr>
          <w:lang w:val="ru-RU"/>
        </w:rPr>
        <w:tab/>
        <w:t>продолжать работу с помощью электронных средств вне собраний КГСЭ, если это необходимо для выполнения ее задач.</w:t>
      </w: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2F4E58" w:rsidRPr="00024E8F" w:rsidRDefault="002F4E58" w:rsidP="002F4E58">
      <w:pPr>
        <w:rPr>
          <w:lang w:val="ru-RU"/>
        </w:rPr>
      </w:pPr>
    </w:p>
    <w:p w:rsidR="009D584F" w:rsidRPr="00435FDB" w:rsidRDefault="009D584F" w:rsidP="00435FDB">
      <w:pPr>
        <w:pStyle w:val="ResNo"/>
        <w:keepNext w:val="0"/>
        <w:keepLines w:val="0"/>
        <w:spacing w:before="0"/>
      </w:pPr>
    </w:p>
    <w:sectPr w:rsidR="009D584F" w:rsidRPr="00435FDB" w:rsidSect="00206EF3">
      <w:footerReference w:type="even" r:id="rId18"/>
      <w:footerReference w:type="default" r:id="rId19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206EF3" w:rsidRDefault="00E61B7B" w:rsidP="00206EF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Pr="009663D2" w:rsidRDefault="00206EF3" w:rsidP="00206EF3">
    <w:pPr>
      <w:pStyle w:val="Footer"/>
      <w:tabs>
        <w:tab w:val="left" w:pos="1134"/>
      </w:tabs>
    </w:pPr>
    <w:r w:rsidRPr="00206EF3">
      <w:rPr>
        <w:bCs/>
        <w:sz w:val="22"/>
        <w:szCs w:val="22"/>
      </w:rPr>
      <w:fldChar w:fldCharType="begin"/>
    </w:r>
    <w:r w:rsidRPr="00206EF3">
      <w:rPr>
        <w:bCs/>
        <w:sz w:val="22"/>
        <w:szCs w:val="22"/>
      </w:rPr>
      <w:instrText xml:space="preserve"> PAGE </w:instrText>
    </w:r>
    <w:r w:rsidRPr="00206EF3">
      <w:rPr>
        <w:bCs/>
        <w:sz w:val="22"/>
        <w:szCs w:val="22"/>
      </w:rPr>
      <w:fldChar w:fldCharType="separate"/>
    </w:r>
    <w:r w:rsidR="007256C1">
      <w:rPr>
        <w:bCs/>
        <w:sz w:val="22"/>
        <w:szCs w:val="22"/>
      </w:rPr>
      <w:t>2</w:t>
    </w:r>
    <w:r w:rsidRPr="00206EF3">
      <w:rPr>
        <w:bCs/>
        <w:sz w:val="22"/>
        <w:szCs w:val="22"/>
      </w:rPr>
      <w:fldChar w:fldCharType="end"/>
    </w:r>
    <w:r>
      <w:rPr>
        <w:b/>
        <w:szCs w:val="22"/>
        <w:lang w:val="ru-RU"/>
      </w:rPr>
      <w:tab/>
    </w:r>
    <w:r w:rsidRPr="00206EF3">
      <w:rPr>
        <w:b/>
        <w:sz w:val="22"/>
        <w:szCs w:val="22"/>
      </w:rPr>
      <w:t>ВАСЭ-</w:t>
    </w:r>
    <w:r w:rsidRPr="00206EF3">
      <w:rPr>
        <w:b/>
        <w:sz w:val="22"/>
        <w:szCs w:val="22"/>
        <w:lang w:val="ru-RU"/>
      </w:rPr>
      <w:t>12</w:t>
    </w:r>
    <w:r w:rsidRPr="00206EF3">
      <w:rPr>
        <w:b/>
        <w:sz w:val="22"/>
        <w:szCs w:val="22"/>
      </w:rPr>
      <w:t xml:space="preserve"> </w:t>
    </w:r>
    <w:r w:rsidRPr="00206EF3">
      <w:rPr>
        <w:b/>
        <w:sz w:val="22"/>
        <w:szCs w:val="22"/>
      </w:rPr>
      <w:sym w:font="Symbol" w:char="F02D"/>
    </w:r>
    <w:r w:rsidRPr="00206EF3">
      <w:rPr>
        <w:b/>
        <w:sz w:val="22"/>
        <w:szCs w:val="22"/>
      </w:rPr>
      <w:t xml:space="preserve"> </w:t>
    </w:r>
    <w:r w:rsidRPr="00206EF3">
      <w:rPr>
        <w:b/>
        <w:caps w:val="0"/>
        <w:sz w:val="22"/>
        <w:szCs w:val="22"/>
        <w:lang w:val="ru-RU"/>
      </w:rPr>
      <w:t xml:space="preserve">Резолюция </w:t>
    </w:r>
    <w:r w:rsidRPr="00206EF3">
      <w:rPr>
        <w:b/>
        <w:sz w:val="22"/>
        <w:szCs w:val="22"/>
      </w:rPr>
      <w:fldChar w:fldCharType="begin"/>
    </w:r>
    <w:r w:rsidRPr="00206EF3">
      <w:rPr>
        <w:b/>
        <w:sz w:val="22"/>
        <w:szCs w:val="22"/>
      </w:rPr>
      <w:instrText xml:space="preserve"> STYLEREF  href  \* MERGEFORMAT </w:instrText>
    </w:r>
    <w:r w:rsidRPr="00206EF3">
      <w:rPr>
        <w:b/>
        <w:sz w:val="22"/>
        <w:szCs w:val="22"/>
      </w:rPr>
      <w:fldChar w:fldCharType="separate"/>
    </w:r>
    <w:r w:rsidR="007256C1">
      <w:rPr>
        <w:b/>
        <w:sz w:val="22"/>
        <w:szCs w:val="22"/>
      </w:rPr>
      <w:t>32</w:t>
    </w:r>
    <w:r w:rsidRPr="00206EF3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 w:rsidP="00206EF3">
    <w:pPr>
      <w:pStyle w:val="Footer"/>
      <w:tabs>
        <w:tab w:val="left" w:pos="851"/>
      </w:tabs>
    </w:pPr>
    <w:r>
      <w:rPr>
        <w:lang w:val="en-US"/>
      </w:rPr>
      <w:tab/>
    </w:r>
    <w:r>
      <w:rPr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12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sym w:font="Symbol" w:char="F02D"/>
    </w:r>
    <w:r>
      <w:rPr>
        <w:b/>
        <w:bCs/>
        <w:sz w:val="22"/>
        <w:szCs w:val="22"/>
      </w:rPr>
      <w:t xml:space="preserve"> </w:t>
    </w:r>
    <w:r>
      <w:rPr>
        <w:b/>
        <w:bCs/>
        <w:caps w:val="0"/>
        <w:sz w:val="22"/>
        <w:szCs w:val="22"/>
        <w:lang w:val="ru-RU"/>
      </w:rPr>
      <w:t xml:space="preserve">Резолюция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STYLEREF  href  \* MERGEFORMAT </w:instrText>
    </w:r>
    <w:r>
      <w:rPr>
        <w:sz w:val="22"/>
        <w:szCs w:val="22"/>
      </w:rPr>
      <w:fldChar w:fldCharType="separate"/>
    </w:r>
    <w:r w:rsidR="007256C1" w:rsidRPr="007256C1">
      <w:rPr>
        <w:b/>
        <w:bCs/>
        <w:sz w:val="22"/>
        <w:szCs w:val="22"/>
        <w:lang w:val="en-US"/>
      </w:rPr>
      <w:t>32</w:t>
    </w:r>
    <w:r>
      <w:rPr>
        <w:sz w:val="22"/>
        <w:szCs w:val="22"/>
      </w:rPr>
      <w:fldChar w:fldCharType="end"/>
    </w:r>
    <w:r>
      <w:rPr>
        <w:b/>
        <w:bCs/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256C1">
      <w:rPr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024E8F" w:rsidRPr="004E4597" w:rsidRDefault="00024E8F" w:rsidP="00024E8F">
      <w:pPr>
        <w:pStyle w:val="FootnoteText"/>
        <w:rPr>
          <w:lang w:val="ru-RU"/>
        </w:rPr>
      </w:pPr>
      <w:r w:rsidRPr="004E4597">
        <w:rPr>
          <w:rStyle w:val="FootnoteReference"/>
          <w:lang w:val="ru-RU"/>
        </w:rPr>
        <w:t>1</w:t>
      </w:r>
      <w:r w:rsidRPr="004E4597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</w:t>
      </w:r>
      <w:r w:rsidRPr="004E4597">
        <w:rPr>
          <w:lang w:val="ru-RU"/>
        </w:rPr>
        <w:t xml:space="preserve">наименее развитые страны, малые островные развивающиеся государства, развивающиеся страны, не имеющие выхода к морю, </w:t>
      </w:r>
      <w:r>
        <w:rPr>
          <w:lang w:val="ru-RU"/>
        </w:rPr>
        <w:t>а также</w:t>
      </w:r>
      <w:r w:rsidRPr="004E4597">
        <w:rPr>
          <w:lang w:val="ru-RU"/>
        </w:rPr>
        <w:t xml:space="preserve"> страны с переходной экономикой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3" w:rsidRDefault="00206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4E8F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6EF3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559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256C1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BF6905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1056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8406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2013-04-22T15:36:00Z</dcterms:created>
  <dcterms:modified xsi:type="dcterms:W3CDTF">2013-04-24T13:37:00Z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