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DC5424">
              <w:rPr>
                <w:rFonts w:ascii="Arial" w:eastAsia="SimHei" w:hAnsi="Arial" w:cs="Arial"/>
                <w:spacing w:val="255"/>
                <w:sz w:val="28"/>
                <w:szCs w:val="28"/>
                <w:fitText w:val="8222" w:id="344731648"/>
                <w:lang w:eastAsia="zh-CN"/>
              </w:rPr>
              <w:t>国</w:t>
            </w:r>
            <w:r w:rsidRPr="00DC5424">
              <w:rPr>
                <w:rFonts w:ascii="Arial" w:eastAsia="SimHei" w:hAnsi="Arial" w:cs="Arial"/>
                <w:spacing w:val="255"/>
                <w:sz w:val="28"/>
                <w:szCs w:val="28"/>
                <w:fitText w:val="8222" w:id="344731648"/>
                <w:lang w:val="en-US" w:eastAsia="zh-CN"/>
              </w:rPr>
              <w:t xml:space="preserve">   </w:t>
            </w:r>
            <w:r w:rsidRPr="00DC5424">
              <w:rPr>
                <w:rFonts w:ascii="Arial" w:eastAsia="SimHei" w:hAnsi="Arial" w:cs="Arial"/>
                <w:spacing w:val="255"/>
                <w:sz w:val="28"/>
                <w:szCs w:val="28"/>
                <w:fitText w:val="8222" w:id="344731648"/>
                <w:lang w:eastAsia="zh-CN"/>
              </w:rPr>
              <w:t>际</w:t>
            </w:r>
            <w:r w:rsidRPr="00DC5424">
              <w:rPr>
                <w:rFonts w:ascii="Arial" w:eastAsia="SimHei" w:hAnsi="Arial" w:cs="Arial"/>
                <w:spacing w:val="255"/>
                <w:sz w:val="28"/>
                <w:szCs w:val="28"/>
                <w:fitText w:val="8222" w:id="344731648"/>
                <w:lang w:val="en-US" w:eastAsia="zh-CN"/>
              </w:rPr>
              <w:t xml:space="preserve">   </w:t>
            </w:r>
            <w:r w:rsidRPr="00DC5424">
              <w:rPr>
                <w:rFonts w:ascii="Arial" w:eastAsia="SimHei" w:hAnsi="Arial" w:cs="Arial"/>
                <w:spacing w:val="255"/>
                <w:sz w:val="28"/>
                <w:szCs w:val="28"/>
                <w:fitText w:val="8222" w:id="344731648"/>
                <w:lang w:eastAsia="zh-CN"/>
              </w:rPr>
              <w:t>电</w:t>
            </w:r>
            <w:r w:rsidRPr="00DC5424">
              <w:rPr>
                <w:rFonts w:ascii="Arial" w:eastAsia="SimHei" w:hAnsi="Arial" w:cs="Arial"/>
                <w:spacing w:val="255"/>
                <w:sz w:val="28"/>
                <w:szCs w:val="28"/>
                <w:fitText w:val="8222" w:id="344731648"/>
                <w:lang w:val="en-US" w:eastAsia="zh-CN"/>
              </w:rPr>
              <w:t xml:space="preserve">   </w:t>
            </w:r>
            <w:r w:rsidRPr="00DC5424">
              <w:rPr>
                <w:rFonts w:ascii="Arial" w:eastAsia="SimHei" w:hAnsi="Arial" w:cs="Arial"/>
                <w:spacing w:val="255"/>
                <w:sz w:val="28"/>
                <w:szCs w:val="28"/>
                <w:fitText w:val="8222" w:id="344731648"/>
                <w:lang w:eastAsia="zh-CN"/>
              </w:rPr>
              <w:t>信</w:t>
            </w:r>
            <w:r w:rsidRPr="00DC5424">
              <w:rPr>
                <w:rFonts w:ascii="Arial" w:eastAsia="SimHei" w:hAnsi="Arial" w:cs="Arial"/>
                <w:spacing w:val="255"/>
                <w:sz w:val="28"/>
                <w:szCs w:val="28"/>
                <w:fitText w:val="8222" w:id="344731648"/>
                <w:lang w:val="en-US" w:eastAsia="zh-CN"/>
              </w:rPr>
              <w:t xml:space="preserve">   </w:t>
            </w:r>
            <w:r w:rsidRPr="00DC5424">
              <w:rPr>
                <w:rFonts w:ascii="Arial" w:eastAsia="SimHei" w:hAnsi="Arial" w:cs="Arial"/>
                <w:spacing w:val="255"/>
                <w:sz w:val="28"/>
                <w:szCs w:val="28"/>
                <w:fitText w:val="8222" w:id="344731648"/>
                <w:lang w:eastAsia="zh-CN"/>
              </w:rPr>
              <w:t>联</w:t>
            </w:r>
            <w:r w:rsidRPr="00DC5424">
              <w:rPr>
                <w:rFonts w:ascii="Arial" w:eastAsia="SimHei" w:hAnsi="Arial" w:cs="Arial"/>
                <w:spacing w:val="255"/>
                <w:sz w:val="28"/>
                <w:szCs w:val="28"/>
                <w:fitText w:val="8222" w:id="344731648"/>
                <w:lang w:val="en-US" w:eastAsia="zh-CN"/>
              </w:rPr>
              <w:t xml:space="preserve">   </w:t>
            </w:r>
            <w:r w:rsidRPr="00DC5424">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9B096B">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9B096B">
              <w:rPr>
                <w:rFonts w:ascii="Arial" w:eastAsia="SimHei" w:hAnsi="Arial" w:cs="Arial"/>
                <w:b/>
                <w:bCs/>
                <w:sz w:val="36"/>
                <w:szCs w:val="28"/>
                <w:lang w:eastAsia="zh-CN"/>
              </w:rPr>
              <w:t>5</w:t>
            </w:r>
            <w:r w:rsidR="00D215AA">
              <w:rPr>
                <w:rFonts w:ascii="Arial" w:eastAsia="SimHei" w:hAnsi="Arial" w:cs="Arial"/>
                <w:b/>
                <w:bCs/>
                <w:sz w:val="36"/>
                <w:szCs w:val="28"/>
                <w:lang w:eastAsia="zh-CN"/>
              </w:rPr>
              <w:t>7</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9B096B">
              <w:rPr>
                <w:rFonts w:ascii="Arial" w:eastAsia="SimHei" w:hAnsi="Arial" w:cs="Arial"/>
                <w:b/>
                <w:bCs/>
                <w:sz w:val="36"/>
                <w:szCs w:val="28"/>
                <w:lang w:val="en-US" w:eastAsia="zh-CN"/>
              </w:rPr>
              <w:t xml:space="preserve"> </w:t>
            </w:r>
            <w:r w:rsidR="009B096B" w:rsidRPr="009B096B">
              <w:rPr>
                <w:rFonts w:eastAsia="SimHei" w:hint="eastAsia"/>
                <w:b/>
                <w:bCs/>
                <w:sz w:val="36"/>
                <w:szCs w:val="36"/>
                <w:lang w:eastAsia="zh-CN"/>
              </w:rPr>
              <w:t>加强国际电联三大部门之间就共同感兴趣的问题的协调和合作</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9706A6" w:rsidRPr="00E04A5F" w:rsidRDefault="009706A6" w:rsidP="009B096B">
      <w:pPr>
        <w:pStyle w:val="ResNo"/>
        <w:spacing w:before="240"/>
        <w:rPr>
          <w:lang w:eastAsia="zh-CN"/>
        </w:rPr>
      </w:pPr>
      <w:bookmarkStart w:id="3" w:name="_Toc219521742"/>
      <w:bookmarkStart w:id="4" w:name="_Toc348252472"/>
      <w:r w:rsidRPr="0038451B">
        <w:rPr>
          <w:rStyle w:val="href"/>
          <w:rFonts w:hint="eastAsia"/>
        </w:rPr>
        <w:lastRenderedPageBreak/>
        <w:t>第</w:t>
      </w:r>
      <w:r w:rsidRPr="0038451B">
        <w:rPr>
          <w:rStyle w:val="href"/>
          <w:rFonts w:hint="eastAsia"/>
        </w:rPr>
        <w:t>57</w:t>
      </w:r>
      <w:r w:rsidRPr="0038451B">
        <w:rPr>
          <w:rStyle w:val="href"/>
          <w:rFonts w:hint="eastAsia"/>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9706A6" w:rsidRPr="00E04A5F" w:rsidRDefault="009706A6" w:rsidP="001A3AF5">
      <w:pPr>
        <w:pStyle w:val="Restitle"/>
        <w:spacing w:before="240"/>
        <w:rPr>
          <w:lang w:eastAsia="zh-CN"/>
        </w:rPr>
      </w:pPr>
      <w:bookmarkStart w:id="5" w:name="_Toc219521743"/>
      <w:bookmarkStart w:id="6" w:name="_Toc348252473"/>
      <w:r w:rsidRPr="00E04A5F">
        <w:rPr>
          <w:rFonts w:hint="eastAsia"/>
          <w:lang w:eastAsia="zh-CN"/>
        </w:rPr>
        <w:t>加强</w:t>
      </w:r>
      <w:r>
        <w:rPr>
          <w:rFonts w:hint="eastAsia"/>
          <w:lang w:eastAsia="zh-CN"/>
        </w:rPr>
        <w:t>国际电联三大部门</w:t>
      </w:r>
      <w:r w:rsidRPr="00E04A5F">
        <w:rPr>
          <w:rFonts w:hint="eastAsia"/>
          <w:lang w:eastAsia="zh-CN"/>
        </w:rPr>
        <w:t>之间</w:t>
      </w:r>
      <w:r w:rsidRPr="00E04A5F">
        <w:rPr>
          <w:lang w:eastAsia="zh-CN"/>
        </w:rPr>
        <w:br/>
      </w:r>
      <w:r w:rsidRPr="00E04A5F">
        <w:rPr>
          <w:rFonts w:hint="eastAsia"/>
          <w:lang w:eastAsia="zh-CN"/>
        </w:rPr>
        <w:t>就共同感兴趣的问题的协调和合作</w:t>
      </w:r>
      <w:bookmarkEnd w:id="5"/>
      <w:bookmarkEnd w:id="6"/>
    </w:p>
    <w:p w:rsidR="009706A6" w:rsidRPr="005D02EC" w:rsidRDefault="009706A6" w:rsidP="009706A6">
      <w:pPr>
        <w:pStyle w:val="Resref"/>
        <w:rPr>
          <w:iCs/>
          <w:lang w:eastAsia="zh-CN"/>
        </w:rPr>
      </w:pPr>
      <w:r w:rsidRPr="005D02EC">
        <w:rPr>
          <w:rFonts w:hint="eastAsia"/>
          <w:iCs/>
          <w:lang w:eastAsia="zh-CN"/>
        </w:rPr>
        <w:t>（</w:t>
      </w:r>
      <w:r w:rsidRPr="005D02EC">
        <w:rPr>
          <w:rFonts w:hint="eastAsia"/>
          <w:iCs/>
          <w:lang w:eastAsia="zh-CN"/>
        </w:rPr>
        <w:t>2008</w:t>
      </w:r>
      <w:r w:rsidRPr="005D02EC">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5D02EC">
        <w:rPr>
          <w:rFonts w:hint="eastAsia"/>
          <w:iCs/>
          <w:lang w:eastAsia="zh-CN"/>
        </w:rPr>
        <w:t>）</w:t>
      </w:r>
    </w:p>
    <w:p w:rsidR="009706A6" w:rsidRPr="00E04A5F" w:rsidRDefault="009706A6" w:rsidP="009706A6">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9706A6" w:rsidRPr="00E04A5F" w:rsidRDefault="009706A6" w:rsidP="009706A6">
      <w:pPr>
        <w:pStyle w:val="Call"/>
        <w:rPr>
          <w:lang w:eastAsia="zh-CN"/>
        </w:rPr>
      </w:pPr>
      <w:r w:rsidRPr="00E04A5F">
        <w:rPr>
          <w:rFonts w:hint="eastAsia"/>
          <w:lang w:eastAsia="zh-CN"/>
        </w:rPr>
        <w:t>考虑到</w:t>
      </w:r>
    </w:p>
    <w:p w:rsidR="009706A6" w:rsidRDefault="009706A6" w:rsidP="009706A6">
      <w:pPr>
        <w:rPr>
          <w:lang w:eastAsia="zh-CN"/>
        </w:rPr>
      </w:pPr>
      <w:r w:rsidRPr="005D02EC">
        <w:rPr>
          <w:i/>
          <w:iCs/>
          <w:lang w:eastAsia="zh-CN"/>
        </w:rPr>
        <w:t>a)</w:t>
      </w:r>
      <w:r w:rsidRPr="00E04A5F">
        <w:rPr>
          <w:lang w:eastAsia="zh-CN"/>
        </w:rPr>
        <w:tab/>
      </w:r>
      <w:r w:rsidRPr="00E04A5F">
        <w:rPr>
          <w:rFonts w:hint="eastAsia"/>
          <w:lang w:eastAsia="zh-CN"/>
        </w:rPr>
        <w:t>国际电联无线电通信部门（</w:t>
      </w:r>
      <w:r w:rsidRPr="00E04A5F">
        <w:rPr>
          <w:rFonts w:hint="eastAsia"/>
          <w:lang w:eastAsia="zh-CN"/>
        </w:rPr>
        <w:t>ITU-R</w:t>
      </w:r>
      <w:r w:rsidRPr="00E04A5F">
        <w:rPr>
          <w:rFonts w:hint="eastAsia"/>
          <w:lang w:eastAsia="zh-CN"/>
        </w:rPr>
        <w:t>）、国际电联电信标准化部门（</w:t>
      </w:r>
      <w:r w:rsidRPr="00E04A5F">
        <w:rPr>
          <w:rFonts w:hint="eastAsia"/>
          <w:lang w:eastAsia="zh-CN"/>
        </w:rPr>
        <w:t>ITU-T</w:t>
      </w:r>
      <w:r w:rsidRPr="00E04A5F">
        <w:rPr>
          <w:rFonts w:hint="eastAsia"/>
          <w:lang w:eastAsia="zh-CN"/>
        </w:rPr>
        <w:t>）和国际电联电信发展</w:t>
      </w:r>
      <w:bookmarkStart w:id="7" w:name="_GoBack"/>
      <w:bookmarkEnd w:id="7"/>
      <w:r w:rsidRPr="00E04A5F">
        <w:rPr>
          <w:rFonts w:hint="eastAsia"/>
          <w:lang w:eastAsia="zh-CN"/>
        </w:rPr>
        <w:t>部门（</w:t>
      </w:r>
      <w:r w:rsidRPr="00E04A5F">
        <w:rPr>
          <w:rFonts w:hint="eastAsia"/>
          <w:lang w:eastAsia="zh-CN"/>
        </w:rPr>
        <w:t>ITU-D</w:t>
      </w:r>
      <w:r w:rsidRPr="00E04A5F">
        <w:rPr>
          <w:rFonts w:hint="eastAsia"/>
          <w:lang w:eastAsia="zh-CN"/>
        </w:rPr>
        <w:t>）之间合作和协作的基本原则在于有必要避免各部门活动的重复并确保高效而有效地开展工作；</w:t>
      </w:r>
    </w:p>
    <w:p w:rsidR="009706A6" w:rsidRPr="00E04A5F" w:rsidRDefault="009706A6" w:rsidP="009706A6">
      <w:pPr>
        <w:rPr>
          <w:lang w:eastAsia="zh-CN"/>
        </w:rPr>
      </w:pPr>
      <w:r w:rsidRPr="005D02EC">
        <w:rPr>
          <w:rFonts w:hint="eastAsia"/>
          <w:i/>
          <w:iCs/>
          <w:lang w:eastAsia="zh-CN"/>
        </w:rPr>
        <w:t>b</w:t>
      </w:r>
      <w:r w:rsidRPr="005D02EC">
        <w:rPr>
          <w:i/>
          <w:iCs/>
          <w:lang w:eastAsia="zh-CN"/>
        </w:rPr>
        <w:t>)</w:t>
      </w:r>
      <w:r w:rsidRPr="00E04A5F">
        <w:rPr>
          <w:lang w:eastAsia="zh-CN"/>
        </w:rPr>
        <w:tab/>
      </w:r>
      <w:r w:rsidRPr="00E04A5F">
        <w:rPr>
          <w:rFonts w:hint="eastAsia"/>
          <w:lang w:eastAsia="zh-CN"/>
        </w:rPr>
        <w:t>各部门共同感兴趣和关注的问题日益增多，包括：电磁兼容（</w:t>
      </w:r>
      <w:r w:rsidRPr="00E04A5F">
        <w:rPr>
          <w:lang w:eastAsia="zh-CN"/>
        </w:rPr>
        <w:t>EMC</w:t>
      </w:r>
      <w:r w:rsidRPr="00E04A5F">
        <w:rPr>
          <w:rFonts w:hint="eastAsia"/>
          <w:lang w:eastAsia="zh-CN"/>
        </w:rPr>
        <w:t>）、国际移动通信（</w:t>
      </w:r>
      <w:r w:rsidRPr="00E04A5F">
        <w:rPr>
          <w:lang w:eastAsia="zh-CN"/>
        </w:rPr>
        <w:t>IMT</w:t>
      </w:r>
      <w:r w:rsidRPr="00E04A5F">
        <w:rPr>
          <w:rFonts w:hint="eastAsia"/>
          <w:lang w:eastAsia="zh-CN"/>
        </w:rPr>
        <w:t>）、中间件、音视频传送、残疾人的接入能力、应急通信、信息通信技术（</w:t>
      </w:r>
      <w:r w:rsidRPr="00E04A5F">
        <w:rPr>
          <w:rFonts w:hint="eastAsia"/>
          <w:lang w:eastAsia="zh-CN"/>
        </w:rPr>
        <w:t>ICT</w:t>
      </w:r>
      <w:r w:rsidRPr="00E04A5F">
        <w:rPr>
          <w:rFonts w:hint="eastAsia"/>
          <w:lang w:eastAsia="zh-CN"/>
        </w:rPr>
        <w:t>）和气候变化及网络安全，</w:t>
      </w:r>
    </w:p>
    <w:p w:rsidR="009706A6" w:rsidRPr="00E04A5F" w:rsidRDefault="009706A6" w:rsidP="009706A6">
      <w:pPr>
        <w:pStyle w:val="Call"/>
        <w:rPr>
          <w:lang w:eastAsia="zh-CN"/>
        </w:rPr>
      </w:pPr>
      <w:r w:rsidRPr="00E04A5F">
        <w:rPr>
          <w:rFonts w:hint="eastAsia"/>
          <w:lang w:eastAsia="zh-CN"/>
        </w:rPr>
        <w:t>认识到</w:t>
      </w:r>
    </w:p>
    <w:p w:rsidR="009706A6" w:rsidRPr="00E04A5F" w:rsidRDefault="009706A6" w:rsidP="009706A6">
      <w:pPr>
        <w:rPr>
          <w:lang w:eastAsia="zh-CN"/>
        </w:rPr>
      </w:pPr>
      <w:r w:rsidRPr="005D02EC">
        <w:rPr>
          <w:i/>
          <w:iCs/>
          <w:lang w:eastAsia="zh-CN"/>
        </w:rPr>
        <w:t>a)</w:t>
      </w:r>
      <w:r w:rsidRPr="00E04A5F">
        <w:rPr>
          <w:lang w:eastAsia="zh-CN"/>
        </w:rPr>
        <w:tab/>
      </w:r>
      <w:r w:rsidRPr="00E04A5F">
        <w:rPr>
          <w:rFonts w:hint="eastAsia"/>
          <w:lang w:eastAsia="zh-CN"/>
        </w:rPr>
        <w:t>有必要按照世界电信发展大会第</w:t>
      </w:r>
      <w:r w:rsidRPr="00E04A5F">
        <w:rPr>
          <w:rFonts w:hint="eastAsia"/>
          <w:lang w:eastAsia="zh-CN"/>
        </w:rPr>
        <w:t>5</w:t>
      </w:r>
      <w:r w:rsidRPr="00E04A5F">
        <w:rPr>
          <w:rFonts w:hint="eastAsia"/>
          <w:lang w:eastAsia="zh-CN"/>
        </w:rPr>
        <w:t>号决议（</w:t>
      </w:r>
      <w:r>
        <w:rPr>
          <w:rFonts w:hint="eastAsia"/>
          <w:lang w:eastAsia="zh-CN"/>
        </w:rPr>
        <w:t>2010</w:t>
      </w:r>
      <w:r>
        <w:rPr>
          <w:rFonts w:hint="eastAsia"/>
          <w:lang w:eastAsia="zh-CN"/>
        </w:rPr>
        <w:t>年，海得拉巴，修订版</w:t>
      </w:r>
      <w:r w:rsidRPr="00E04A5F">
        <w:rPr>
          <w:rFonts w:hint="eastAsia"/>
          <w:lang w:eastAsia="zh-CN"/>
        </w:rPr>
        <w:t>）增强发展中国家</w:t>
      </w:r>
      <w:r w:rsidRPr="005F49C0">
        <w:rPr>
          <w:vertAlign w:val="superscript"/>
          <w:lang w:eastAsia="zh-CN"/>
        </w:rPr>
        <w:footnoteReference w:customMarkFollows="1" w:id="1"/>
        <w:t>1</w:t>
      </w:r>
      <w:r w:rsidRPr="00E04A5F">
        <w:rPr>
          <w:rFonts w:hint="eastAsia"/>
          <w:lang w:eastAsia="zh-CN"/>
        </w:rPr>
        <w:t>对国际电联工作的参与；</w:t>
      </w:r>
    </w:p>
    <w:p w:rsidR="009706A6" w:rsidRPr="00E04A5F" w:rsidRDefault="009706A6" w:rsidP="009706A6">
      <w:pPr>
        <w:rPr>
          <w:lang w:eastAsia="zh-CN"/>
        </w:rPr>
      </w:pPr>
      <w:r w:rsidRPr="005D02EC">
        <w:rPr>
          <w:rFonts w:hint="eastAsia"/>
          <w:i/>
          <w:iCs/>
          <w:lang w:eastAsia="zh-CN"/>
        </w:rPr>
        <w:t>b</w:t>
      </w:r>
      <w:r w:rsidRPr="005D02EC">
        <w:rPr>
          <w:i/>
          <w:iCs/>
          <w:lang w:eastAsia="zh-CN"/>
        </w:rPr>
        <w:t>)</w:t>
      </w:r>
      <w:r w:rsidRPr="00E04A5F">
        <w:rPr>
          <w:lang w:eastAsia="zh-CN"/>
        </w:rPr>
        <w:tab/>
      </w:r>
      <w:r w:rsidRPr="00E04A5F">
        <w:rPr>
          <w:rFonts w:hint="eastAsia"/>
          <w:lang w:eastAsia="zh-CN"/>
        </w:rPr>
        <w:t>“跨部门应急通信小组”作为这样一种机制已经建立起来，有助于确保在整个国际电联内部以及与国际电联以外关注此问题的各实体和组织就此项国际电联高度优先的问题开展密切合作；</w:t>
      </w:r>
    </w:p>
    <w:p w:rsidR="009706A6" w:rsidRPr="00E04A5F" w:rsidRDefault="009706A6" w:rsidP="009706A6">
      <w:pPr>
        <w:rPr>
          <w:lang w:eastAsia="zh-CN"/>
        </w:rPr>
      </w:pPr>
      <w:r w:rsidRPr="005D02EC">
        <w:rPr>
          <w:rFonts w:hint="eastAsia"/>
          <w:i/>
          <w:iCs/>
          <w:lang w:eastAsia="zh-CN"/>
        </w:rPr>
        <w:t>c)</w:t>
      </w:r>
      <w:r w:rsidRPr="00E04A5F">
        <w:rPr>
          <w:rFonts w:hint="eastAsia"/>
          <w:lang w:eastAsia="zh-CN"/>
        </w:rPr>
        <w:tab/>
      </w:r>
      <w:r w:rsidRPr="00E04A5F">
        <w:rPr>
          <w:rFonts w:hint="eastAsia"/>
          <w:lang w:eastAsia="zh-CN"/>
        </w:rPr>
        <w:t>所有顾问组均正在为落实全权代表大会有关缩小发展中国家与发达国家之间标准化工作差距的第</w:t>
      </w:r>
      <w:r w:rsidRPr="00E04A5F">
        <w:rPr>
          <w:rFonts w:hint="eastAsia"/>
          <w:lang w:eastAsia="zh-CN"/>
        </w:rPr>
        <w:t>123</w:t>
      </w:r>
      <w:r w:rsidRPr="00E04A5F">
        <w:rPr>
          <w:rFonts w:hint="eastAsia"/>
          <w:lang w:eastAsia="zh-CN"/>
        </w:rPr>
        <w:t>号决议（</w:t>
      </w:r>
      <w:r>
        <w:rPr>
          <w:rFonts w:hint="eastAsia"/>
          <w:lang w:eastAsia="zh-CN"/>
        </w:rPr>
        <w:t>2010</w:t>
      </w:r>
      <w:r>
        <w:rPr>
          <w:rFonts w:hint="eastAsia"/>
          <w:lang w:eastAsia="zh-CN"/>
        </w:rPr>
        <w:t>年，瓜达拉哈拉，修订版</w:t>
      </w:r>
      <w:r w:rsidRPr="00E04A5F">
        <w:rPr>
          <w:rFonts w:hint="eastAsia"/>
          <w:lang w:eastAsia="zh-CN"/>
        </w:rPr>
        <w:t>）开展协作，</w:t>
      </w:r>
    </w:p>
    <w:p w:rsidR="009706A6" w:rsidRPr="00E04A5F" w:rsidRDefault="009706A6" w:rsidP="009706A6">
      <w:pPr>
        <w:pStyle w:val="Call"/>
        <w:rPr>
          <w:lang w:eastAsia="zh-CN"/>
        </w:rPr>
      </w:pPr>
      <w:r w:rsidRPr="00E04A5F">
        <w:rPr>
          <w:rFonts w:hint="eastAsia"/>
          <w:lang w:eastAsia="zh-CN"/>
        </w:rPr>
        <w:t>顾及</w:t>
      </w:r>
    </w:p>
    <w:p w:rsidR="009706A6" w:rsidRPr="00E04A5F" w:rsidRDefault="009706A6" w:rsidP="009706A6">
      <w:pPr>
        <w:rPr>
          <w:lang w:eastAsia="zh-CN"/>
        </w:rPr>
      </w:pPr>
      <w:r w:rsidRPr="005D02EC">
        <w:rPr>
          <w:rFonts w:hint="eastAsia"/>
          <w:i/>
          <w:iCs/>
          <w:lang w:eastAsia="zh-CN"/>
        </w:rPr>
        <w:t>a)</w:t>
      </w:r>
      <w:r w:rsidRPr="00E04A5F">
        <w:rPr>
          <w:rFonts w:hint="eastAsia"/>
          <w:lang w:eastAsia="zh-CN"/>
        </w:rPr>
        <w:tab/>
      </w:r>
      <w:r w:rsidRPr="00E04A5F">
        <w:rPr>
          <w:rFonts w:hint="eastAsia"/>
          <w:lang w:eastAsia="zh-CN"/>
        </w:rPr>
        <w:t>除业已建立的机制外，需确定其它合作机制以应对</w:t>
      </w:r>
      <w:r w:rsidRPr="00E04A5F">
        <w:rPr>
          <w:rFonts w:hint="eastAsia"/>
          <w:lang w:eastAsia="zh-CN"/>
        </w:rPr>
        <w:t>ITU-R</w:t>
      </w:r>
      <w:r w:rsidRPr="00E04A5F">
        <w:rPr>
          <w:rFonts w:hint="eastAsia"/>
          <w:lang w:eastAsia="zh-CN"/>
        </w:rPr>
        <w:t>、</w:t>
      </w:r>
      <w:r w:rsidRPr="00E04A5F">
        <w:rPr>
          <w:lang w:eastAsia="zh-CN"/>
        </w:rPr>
        <w:t>ITU-T</w:t>
      </w:r>
      <w:r w:rsidRPr="00E04A5F">
        <w:rPr>
          <w:rFonts w:hint="eastAsia"/>
          <w:lang w:eastAsia="zh-CN"/>
        </w:rPr>
        <w:t>和</w:t>
      </w:r>
      <w:r w:rsidRPr="00E04A5F">
        <w:rPr>
          <w:rFonts w:hint="eastAsia"/>
          <w:lang w:eastAsia="zh-CN"/>
        </w:rPr>
        <w:t>ITU-D</w:t>
      </w:r>
      <w:r w:rsidRPr="00E04A5F">
        <w:rPr>
          <w:rFonts w:hint="eastAsia"/>
          <w:lang w:eastAsia="zh-CN"/>
        </w:rPr>
        <w:t>日益增加的共同感兴趣和关注的议题；</w:t>
      </w:r>
    </w:p>
    <w:p w:rsidR="009706A6" w:rsidRDefault="009706A6" w:rsidP="009706A6">
      <w:pPr>
        <w:rPr>
          <w:lang w:eastAsia="zh-CN"/>
        </w:rPr>
      </w:pPr>
      <w:r w:rsidRPr="005D02EC">
        <w:rPr>
          <w:rFonts w:hint="eastAsia"/>
          <w:i/>
          <w:iCs/>
          <w:lang w:eastAsia="zh-CN"/>
        </w:rPr>
        <w:t>b)</w:t>
      </w:r>
      <w:r w:rsidRPr="00E04A5F">
        <w:rPr>
          <w:rFonts w:hint="eastAsia"/>
          <w:lang w:eastAsia="zh-CN"/>
        </w:rPr>
        <w:tab/>
      </w:r>
      <w:r w:rsidRPr="00E04A5F">
        <w:rPr>
          <w:rFonts w:hint="eastAsia"/>
          <w:lang w:eastAsia="zh-CN"/>
        </w:rPr>
        <w:t>三个顾问机构的代表在讨论增强顾问组之间合作的方式中正在进行的磋商，</w:t>
      </w:r>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9706A6" w:rsidRPr="00E04A5F" w:rsidRDefault="009706A6" w:rsidP="009706A6">
      <w:pPr>
        <w:pStyle w:val="Call"/>
        <w:rPr>
          <w:lang w:eastAsia="zh-CN"/>
        </w:rPr>
      </w:pPr>
      <w:r w:rsidRPr="00E04A5F">
        <w:rPr>
          <w:rFonts w:hint="eastAsia"/>
          <w:lang w:eastAsia="zh-CN"/>
        </w:rPr>
        <w:lastRenderedPageBreak/>
        <w:t>做出决议</w:t>
      </w:r>
    </w:p>
    <w:p w:rsidR="009706A6" w:rsidRPr="00E04A5F" w:rsidRDefault="009706A6" w:rsidP="009706A6">
      <w:pPr>
        <w:rPr>
          <w:lang w:eastAsia="zh-CN"/>
        </w:rPr>
      </w:pPr>
      <w:r w:rsidRPr="00E04A5F">
        <w:rPr>
          <w:lang w:eastAsia="zh-CN"/>
        </w:rPr>
        <w:t>1</w:t>
      </w:r>
      <w:r w:rsidRPr="00E04A5F">
        <w:rPr>
          <w:lang w:eastAsia="zh-CN"/>
        </w:rPr>
        <w:tab/>
      </w:r>
      <w:r w:rsidRPr="00E04A5F">
        <w:rPr>
          <w:rFonts w:hint="eastAsia"/>
          <w:lang w:eastAsia="zh-CN"/>
        </w:rPr>
        <w:t>请无线电通信顾问组（</w:t>
      </w:r>
      <w:r w:rsidRPr="00E04A5F">
        <w:rPr>
          <w:lang w:eastAsia="zh-CN"/>
        </w:rPr>
        <w:t>RAG</w:t>
      </w:r>
      <w:r w:rsidRPr="00E04A5F">
        <w:rPr>
          <w:rFonts w:hint="eastAsia"/>
          <w:lang w:eastAsia="zh-CN"/>
        </w:rPr>
        <w:t>）、电信标准化顾问组（</w:t>
      </w:r>
      <w:r w:rsidRPr="00E04A5F">
        <w:rPr>
          <w:lang w:eastAsia="zh-CN"/>
        </w:rPr>
        <w:t>TSAG</w:t>
      </w:r>
      <w:r w:rsidRPr="00E04A5F">
        <w:rPr>
          <w:rFonts w:hint="eastAsia"/>
          <w:lang w:eastAsia="zh-CN"/>
        </w:rPr>
        <w:t>）和电信发展顾问组（</w:t>
      </w:r>
      <w:r w:rsidRPr="00E04A5F">
        <w:rPr>
          <w:rFonts w:hint="eastAsia"/>
          <w:lang w:eastAsia="zh-CN"/>
        </w:rPr>
        <w:t>TDAG</w:t>
      </w:r>
      <w:r w:rsidRPr="00E04A5F">
        <w:rPr>
          <w:rFonts w:hint="eastAsia"/>
          <w:lang w:eastAsia="zh-CN"/>
        </w:rPr>
        <w:t>）帮助确定三个部门共同关注的议题及增强各部门之间就共同感兴趣的问题开展合作和协作的机制；</w:t>
      </w:r>
    </w:p>
    <w:p w:rsidR="009706A6" w:rsidRDefault="009706A6" w:rsidP="009706A6">
      <w:pPr>
        <w:rPr>
          <w:lang w:val="en-US" w:eastAsia="zh-CN"/>
        </w:rPr>
      </w:pPr>
      <w:r w:rsidRPr="00E04A5F">
        <w:rPr>
          <w:lang w:eastAsia="zh-CN"/>
        </w:rPr>
        <w:t>2</w:t>
      </w:r>
      <w:r w:rsidRPr="00E04A5F">
        <w:rPr>
          <w:lang w:eastAsia="zh-CN"/>
        </w:rPr>
        <w:tab/>
      </w:r>
      <w:r w:rsidRPr="00E04A5F">
        <w:rPr>
          <w:rFonts w:hint="eastAsia"/>
          <w:lang w:eastAsia="zh-CN"/>
        </w:rPr>
        <w:t>请无线电通信局（</w:t>
      </w:r>
      <w:r w:rsidRPr="00E04A5F">
        <w:rPr>
          <w:rFonts w:hint="eastAsia"/>
          <w:lang w:eastAsia="zh-CN"/>
        </w:rPr>
        <w:t>BR</w:t>
      </w:r>
      <w:r w:rsidRPr="00E04A5F">
        <w:rPr>
          <w:rFonts w:hint="eastAsia"/>
          <w:lang w:eastAsia="zh-CN"/>
        </w:rPr>
        <w:t>）、电信标准化局（</w:t>
      </w:r>
      <w:r w:rsidRPr="00E04A5F">
        <w:rPr>
          <w:rFonts w:hint="eastAsia"/>
          <w:lang w:eastAsia="zh-CN"/>
        </w:rPr>
        <w:t>TSB</w:t>
      </w:r>
      <w:r w:rsidRPr="00E04A5F">
        <w:rPr>
          <w:rFonts w:hint="eastAsia"/>
          <w:lang w:eastAsia="zh-CN"/>
        </w:rPr>
        <w:t>）和电信发展局（</w:t>
      </w:r>
      <w:r w:rsidRPr="00E04A5F">
        <w:rPr>
          <w:rFonts w:hint="eastAsia"/>
          <w:lang w:eastAsia="zh-CN"/>
        </w:rPr>
        <w:t>BDT</w:t>
      </w:r>
      <w:r w:rsidRPr="00E04A5F">
        <w:rPr>
          <w:rFonts w:hint="eastAsia"/>
          <w:lang w:eastAsia="zh-CN"/>
        </w:rPr>
        <w:t>）主任相互协作，并向各自部门的顾问机构就在秘书处层面加强合作的方案做出报告，确保进行最为密切的协调。</w:t>
      </w: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p w:rsidR="001A3AF5" w:rsidRDefault="001A3AF5" w:rsidP="009706A6">
      <w:pPr>
        <w:rPr>
          <w:lang w:val="en-US" w:eastAsia="zh-CN"/>
        </w:rPr>
      </w:pPr>
    </w:p>
    <w:sectPr w:rsidR="001A3AF5" w:rsidSect="009B096B">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24" w:rsidRDefault="00DC5424">
      <w:r>
        <w:separator/>
      </w:r>
    </w:p>
  </w:endnote>
  <w:endnote w:type="continuationSeparator" w:id="0">
    <w:p w:rsidR="00DC5424" w:rsidRDefault="00DC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9B096B">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9B096B">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9B096B">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9B096B">
      <w:rPr>
        <w:rFonts w:hint="eastAsia"/>
        <w:lang w:val="en-US" w:eastAsia="zh-CN"/>
      </w:rPr>
      <w:t>第</w:t>
    </w:r>
    <w:r w:rsidR="009B096B">
      <w:rPr>
        <w:rFonts w:hint="eastAsia"/>
        <w:lang w:val="en-US" w:eastAsia="zh-CN"/>
      </w:rPr>
      <w:t>57</w:t>
    </w:r>
    <w:r w:rsidR="009B096B">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9B096B">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9B096B">
      <w:rPr>
        <w:rFonts w:hint="eastAsia"/>
        <w:lang w:val="en-US" w:eastAsia="zh-CN"/>
      </w:rPr>
      <w:t>第</w:t>
    </w:r>
    <w:r w:rsidR="009B096B">
      <w:rPr>
        <w:rFonts w:hint="eastAsia"/>
        <w:lang w:val="en-US" w:eastAsia="zh-CN"/>
      </w:rPr>
      <w:t>57</w:t>
    </w:r>
    <w:r w:rsidR="009B096B">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9B096B">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24" w:rsidRDefault="00DC5424">
      <w:r>
        <w:t>____________________</w:t>
      </w:r>
    </w:p>
  </w:footnote>
  <w:footnote w:type="continuationSeparator" w:id="0">
    <w:p w:rsidR="00DC5424" w:rsidRDefault="00DC5424">
      <w:r>
        <w:continuationSeparator/>
      </w:r>
    </w:p>
  </w:footnote>
  <w:footnote w:id="1">
    <w:p w:rsidR="0061564D" w:rsidRPr="00AB51C3" w:rsidRDefault="0061564D" w:rsidP="0038451B">
      <w:pPr>
        <w:pStyle w:val="FootnoteText"/>
        <w:rPr>
          <w:lang w:val="en-US" w:eastAsia="zh-CN"/>
        </w:rPr>
      </w:pPr>
      <w:r>
        <w:rPr>
          <w:rStyle w:val="FootnoteReference"/>
          <w:lang w:eastAsia="zh-CN"/>
        </w:rPr>
        <w:t>1</w:t>
      </w:r>
      <w:r>
        <w:rPr>
          <w:rFonts w:hint="eastAsia"/>
          <w:lang w:eastAsia="zh-CN"/>
        </w:rPr>
        <w:tab/>
      </w:r>
      <w:r w:rsidRPr="00534A5C">
        <w:rPr>
          <w:rFonts w:hint="eastAsia"/>
          <w:lang w:eastAsia="zh-CN"/>
        </w:rPr>
        <w:t>其中包括最不发达国家、</w:t>
      </w:r>
      <w:r w:rsidRPr="0038451B">
        <w:rPr>
          <w:rFonts w:hint="eastAsia"/>
          <w:lang w:eastAsia="zh-CN"/>
        </w:rPr>
        <w:t>小岛屿发展中国家</w:t>
      </w:r>
      <w:r w:rsidRPr="00534A5C">
        <w:rPr>
          <w:rFonts w:hint="eastAsia"/>
          <w:lang w:eastAsia="zh-CN"/>
        </w:rPr>
        <w:t>、内陆发展中国家和经济转型国家。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F31F3"/>
    <w:rsid w:val="000F73E9"/>
    <w:rsid w:val="00102512"/>
    <w:rsid w:val="00110100"/>
    <w:rsid w:val="00111522"/>
    <w:rsid w:val="00160CD7"/>
    <w:rsid w:val="001659E3"/>
    <w:rsid w:val="00166859"/>
    <w:rsid w:val="001702D5"/>
    <w:rsid w:val="00174958"/>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58C3"/>
    <w:rsid w:val="006D6104"/>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B096B"/>
    <w:rsid w:val="009C0D16"/>
    <w:rsid w:val="009C72B7"/>
    <w:rsid w:val="009D4367"/>
    <w:rsid w:val="009F7627"/>
    <w:rsid w:val="00A0052C"/>
    <w:rsid w:val="00A029BA"/>
    <w:rsid w:val="00A13A80"/>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5424"/>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868215-EDDF-4F96-A171-F508CB58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6</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3</cp:revision>
  <cp:lastPrinted>2013-03-27T17:13:00Z</cp:lastPrinted>
  <dcterms:created xsi:type="dcterms:W3CDTF">2013-04-18T08:22:00Z</dcterms:created>
  <dcterms:modified xsi:type="dcterms:W3CDTF">2013-04-18T13:58:00Z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